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FC8A42">
      <w:pPr>
        <w:pStyle w:val="43"/>
        <w:jc w:val="center"/>
        <w:outlineLvl w:val="1"/>
        <w:rPr>
          <w:rFonts w:hint="eastAsia" w:ascii="黑体" w:hAnsi="黑体" w:eastAsia="黑体"/>
          <w:sz w:val="40"/>
          <w:szCs w:val="40"/>
        </w:rPr>
      </w:pPr>
      <w:bookmarkStart w:id="0" w:name="_Toc225245647"/>
      <w:bookmarkStart w:id="1" w:name="_Toc100052355"/>
      <w:bookmarkStart w:id="2" w:name="_Toc36604187"/>
      <w:bookmarkStart w:id="3" w:name="_Toc101074865"/>
      <w:bookmarkStart w:id="4" w:name="_Toc225306494"/>
      <w:bookmarkStart w:id="5" w:name="_Toc73521629"/>
      <w:bookmarkStart w:id="6" w:name="_Toc73521541"/>
      <w:bookmarkStart w:id="7" w:name="_Toc73518110"/>
      <w:bookmarkStart w:id="8" w:name="_Toc73517632"/>
    </w:p>
    <w:p w14:paraId="3D1DE4F7">
      <w:pPr>
        <w:pStyle w:val="43"/>
        <w:jc w:val="center"/>
        <w:outlineLvl w:val="1"/>
        <w:rPr>
          <w:rFonts w:hint="eastAsia" w:ascii="黑体" w:hAnsi="黑体" w:eastAsia="黑体"/>
          <w:sz w:val="40"/>
          <w:szCs w:val="40"/>
        </w:rPr>
      </w:pPr>
      <w:r>
        <w:rPr>
          <w:rFonts w:hint="eastAsia" w:ascii="黑体" w:hAnsi="黑体" w:eastAsia="黑体"/>
          <w:sz w:val="40"/>
          <w:szCs w:val="40"/>
        </w:rPr>
        <w:t>新湖街道</w:t>
      </w:r>
      <w:r>
        <w:rPr>
          <w:rFonts w:hint="eastAsia" w:ascii="黑体" w:hAnsi="黑体" w:eastAsia="黑体"/>
          <w:sz w:val="40"/>
          <w:szCs w:val="40"/>
          <w:lang w:eastAsia="zh-CN"/>
        </w:rPr>
        <w:t>荔湖、科韵、云谷</w:t>
      </w:r>
      <w:r>
        <w:rPr>
          <w:rFonts w:hint="eastAsia" w:ascii="黑体" w:hAnsi="黑体" w:eastAsia="黑体"/>
          <w:sz w:val="40"/>
          <w:szCs w:val="40"/>
        </w:rPr>
        <w:t>三个社区党群服务中心  社会工作服务项目</w:t>
      </w:r>
    </w:p>
    <w:p w14:paraId="206901E9">
      <w:pPr>
        <w:bidi w:val="0"/>
        <w:rPr>
          <w:rFonts w:hint="eastAsia"/>
        </w:rPr>
      </w:pPr>
    </w:p>
    <w:p w14:paraId="28E65C5B">
      <w:pPr>
        <w:pStyle w:val="43"/>
        <w:jc w:val="center"/>
        <w:outlineLvl w:val="1"/>
        <w:rPr>
          <w:rFonts w:hint="eastAsia" w:ascii="黑体" w:hAnsi="黑体" w:eastAsia="黑体"/>
          <w:sz w:val="40"/>
          <w:szCs w:val="40"/>
        </w:rPr>
      </w:pPr>
      <w:r>
        <w:rPr>
          <w:rFonts w:hint="eastAsia" w:ascii="黑体" w:hAnsi="黑体" w:eastAsia="黑体"/>
          <w:sz w:val="40"/>
          <w:szCs w:val="40"/>
        </w:rPr>
        <w:t>招标文件信息</w:t>
      </w:r>
    </w:p>
    <w:tbl>
      <w:tblPr>
        <w:tblStyle w:val="48"/>
        <w:tblpPr w:leftFromText="180" w:rightFromText="180" w:vertAnchor="text" w:horzAnchor="page" w:tblpX="2043" w:tblpY="228"/>
        <w:tblOverlap w:val="never"/>
        <w:tblW w:w="7943" w:type="dxa"/>
        <w:tblCellSpacing w:w="0" w:type="dxa"/>
        <w:tblInd w:w="0" w:type="dxa"/>
        <w:tblLayout w:type="fixed"/>
        <w:tblCellMar>
          <w:top w:w="45" w:type="dxa"/>
          <w:left w:w="45" w:type="dxa"/>
          <w:bottom w:w="45" w:type="dxa"/>
          <w:right w:w="45" w:type="dxa"/>
        </w:tblCellMar>
      </w:tblPr>
      <w:tblGrid>
        <w:gridCol w:w="2723"/>
        <w:gridCol w:w="5220"/>
      </w:tblGrid>
      <w:tr w14:paraId="0D5E69B7">
        <w:tblPrEx>
          <w:tblCellMar>
            <w:top w:w="45" w:type="dxa"/>
            <w:left w:w="45" w:type="dxa"/>
            <w:bottom w:w="45" w:type="dxa"/>
            <w:right w:w="45" w:type="dxa"/>
          </w:tblCellMar>
        </w:tblPrEx>
        <w:trPr>
          <w:trHeight w:val="738" w:hRule="atLeast"/>
          <w:tblCellSpacing w:w="0" w:type="dxa"/>
        </w:trPr>
        <w:tc>
          <w:tcPr>
            <w:tcW w:w="2723" w:type="dxa"/>
            <w:shd w:val="clear" w:color="auto" w:fill="auto"/>
            <w:vAlign w:val="center"/>
          </w:tcPr>
          <w:p w14:paraId="118B6151">
            <w:pPr>
              <w:widowControl/>
              <w:jc w:val="right"/>
              <w:rPr>
                <w:rFonts w:hint="eastAsia" w:ascii="宋体" w:hAnsi="宋体" w:eastAsia="宋体" w:cs="宋体"/>
                <w:sz w:val="30"/>
                <w:szCs w:val="30"/>
              </w:rPr>
            </w:pPr>
            <w:r>
              <w:rPr>
                <w:rFonts w:ascii="宋体" w:hAnsi="宋体" w:cs="宋体"/>
                <w:kern w:val="0"/>
                <w:sz w:val="30"/>
                <w:szCs w:val="30"/>
                <w:lang w:bidi="ar"/>
              </w:rPr>
              <w:t>项目编号：</w:t>
            </w:r>
          </w:p>
        </w:tc>
        <w:tc>
          <w:tcPr>
            <w:tcW w:w="5220" w:type="dxa"/>
            <w:shd w:val="clear" w:color="auto" w:fill="auto"/>
            <w:vAlign w:val="center"/>
          </w:tcPr>
          <w:p w14:paraId="1337571B">
            <w:pPr>
              <w:widowControl/>
              <w:jc w:val="left"/>
              <w:rPr>
                <w:rFonts w:hint="eastAsia" w:ascii="宋体" w:hAnsi="宋体" w:eastAsia="宋体" w:cs="宋体"/>
                <w:sz w:val="30"/>
                <w:szCs w:val="30"/>
                <w:lang w:val="en-US" w:eastAsia="zh-CN"/>
              </w:rPr>
            </w:pPr>
            <w:r>
              <w:rPr>
                <w:rFonts w:ascii="宋体" w:hAnsi="宋体" w:cs="宋体"/>
                <w:kern w:val="0"/>
                <w:sz w:val="30"/>
                <w:szCs w:val="30"/>
                <w:lang w:bidi="ar"/>
              </w:rPr>
              <w:t>**********</w:t>
            </w:r>
          </w:p>
        </w:tc>
      </w:tr>
      <w:tr w14:paraId="63ECCF77">
        <w:tblPrEx>
          <w:tblCellMar>
            <w:top w:w="45" w:type="dxa"/>
            <w:left w:w="45" w:type="dxa"/>
            <w:bottom w:w="45" w:type="dxa"/>
            <w:right w:w="45" w:type="dxa"/>
          </w:tblCellMar>
        </w:tblPrEx>
        <w:trPr>
          <w:trHeight w:val="738" w:hRule="atLeast"/>
          <w:tblCellSpacing w:w="0" w:type="dxa"/>
        </w:trPr>
        <w:tc>
          <w:tcPr>
            <w:tcW w:w="2723" w:type="dxa"/>
            <w:shd w:val="clear" w:color="auto" w:fill="auto"/>
            <w:vAlign w:val="center"/>
          </w:tcPr>
          <w:p w14:paraId="53F95BCF">
            <w:pPr>
              <w:widowControl/>
              <w:jc w:val="right"/>
              <w:rPr>
                <w:rFonts w:hint="eastAsia" w:ascii="宋体" w:hAnsi="宋体" w:eastAsia="宋体" w:cs="宋体"/>
                <w:sz w:val="30"/>
                <w:szCs w:val="30"/>
              </w:rPr>
            </w:pPr>
            <w:r>
              <w:rPr>
                <w:rFonts w:ascii="宋体" w:hAnsi="宋体" w:cs="宋体"/>
                <w:kern w:val="0"/>
                <w:sz w:val="30"/>
                <w:szCs w:val="30"/>
                <w:lang w:bidi="ar"/>
              </w:rPr>
              <w:t>项目名称：</w:t>
            </w:r>
          </w:p>
        </w:tc>
        <w:tc>
          <w:tcPr>
            <w:tcW w:w="5220" w:type="dxa"/>
            <w:shd w:val="clear" w:color="auto" w:fill="auto"/>
            <w:vAlign w:val="center"/>
          </w:tcPr>
          <w:p w14:paraId="598D9CA4">
            <w:pPr>
              <w:widowControl/>
              <w:jc w:val="left"/>
              <w:rPr>
                <w:rFonts w:hint="eastAsia" w:ascii="宋体" w:hAnsi="宋体" w:eastAsia="宋体" w:cs="宋体"/>
                <w:sz w:val="30"/>
                <w:szCs w:val="30"/>
              </w:rPr>
            </w:pPr>
            <w:r>
              <w:rPr>
                <w:rFonts w:hint="eastAsia" w:ascii="宋体" w:hAnsi="宋体" w:cs="宋体"/>
                <w:kern w:val="0"/>
                <w:sz w:val="30"/>
                <w:szCs w:val="30"/>
                <w:lang w:bidi="ar"/>
              </w:rPr>
              <w:t>新湖街道荔湖、科韵、云谷三个社区党群服务中心  社会工作服务项目</w:t>
            </w:r>
          </w:p>
        </w:tc>
      </w:tr>
      <w:tr w14:paraId="374447F9">
        <w:trPr>
          <w:trHeight w:val="738" w:hRule="atLeast"/>
          <w:tblCellSpacing w:w="0" w:type="dxa"/>
        </w:trPr>
        <w:tc>
          <w:tcPr>
            <w:tcW w:w="2723" w:type="dxa"/>
            <w:shd w:val="clear" w:color="auto" w:fill="auto"/>
            <w:vAlign w:val="center"/>
          </w:tcPr>
          <w:p w14:paraId="76BE7F4C">
            <w:pPr>
              <w:widowControl/>
              <w:jc w:val="right"/>
              <w:rPr>
                <w:rFonts w:hint="eastAsia" w:ascii="宋体" w:hAnsi="宋体" w:eastAsia="宋体" w:cs="宋体"/>
                <w:sz w:val="30"/>
                <w:szCs w:val="30"/>
              </w:rPr>
            </w:pPr>
            <w:r>
              <w:rPr>
                <w:rFonts w:ascii="宋体" w:hAnsi="宋体" w:cs="宋体"/>
                <w:kern w:val="0"/>
                <w:sz w:val="30"/>
                <w:szCs w:val="30"/>
                <w:lang w:bidi="ar"/>
              </w:rPr>
              <w:t>包 号：</w:t>
            </w:r>
          </w:p>
        </w:tc>
        <w:tc>
          <w:tcPr>
            <w:tcW w:w="5220" w:type="dxa"/>
            <w:shd w:val="clear" w:color="auto" w:fill="auto"/>
            <w:vAlign w:val="center"/>
          </w:tcPr>
          <w:p w14:paraId="6CAAD8B4">
            <w:pPr>
              <w:widowControl/>
              <w:jc w:val="left"/>
              <w:rPr>
                <w:rFonts w:hint="eastAsia" w:ascii="宋体" w:hAnsi="宋体" w:eastAsia="宋体" w:cs="宋体"/>
                <w:sz w:val="30"/>
                <w:szCs w:val="30"/>
                <w:lang w:val="en-US" w:eastAsia="zh-CN"/>
              </w:rPr>
            </w:pPr>
            <w:r>
              <w:rPr>
                <w:rFonts w:ascii="宋体" w:hAnsi="宋体" w:cs="宋体"/>
                <w:kern w:val="0"/>
                <w:sz w:val="30"/>
                <w:szCs w:val="30"/>
                <w:lang w:bidi="ar"/>
              </w:rPr>
              <w:t>A</w:t>
            </w:r>
          </w:p>
        </w:tc>
      </w:tr>
      <w:tr w14:paraId="1A955564">
        <w:tblPrEx>
          <w:tblCellMar>
            <w:top w:w="45" w:type="dxa"/>
            <w:left w:w="45" w:type="dxa"/>
            <w:bottom w:w="45" w:type="dxa"/>
            <w:right w:w="45" w:type="dxa"/>
          </w:tblCellMar>
        </w:tblPrEx>
        <w:trPr>
          <w:trHeight w:val="738" w:hRule="atLeast"/>
          <w:tblCellSpacing w:w="0" w:type="dxa"/>
        </w:trPr>
        <w:tc>
          <w:tcPr>
            <w:tcW w:w="2723" w:type="dxa"/>
            <w:shd w:val="clear" w:color="auto" w:fill="auto"/>
            <w:vAlign w:val="center"/>
          </w:tcPr>
          <w:p w14:paraId="339E9804">
            <w:pPr>
              <w:widowControl/>
              <w:jc w:val="right"/>
              <w:rPr>
                <w:rFonts w:hint="eastAsia" w:ascii="宋体" w:hAnsi="宋体" w:eastAsia="宋体" w:cs="宋体"/>
                <w:sz w:val="30"/>
                <w:szCs w:val="30"/>
              </w:rPr>
            </w:pPr>
            <w:r>
              <w:rPr>
                <w:rFonts w:ascii="宋体" w:hAnsi="宋体" w:cs="宋体"/>
                <w:kern w:val="0"/>
                <w:sz w:val="30"/>
                <w:szCs w:val="30"/>
                <w:lang w:bidi="ar"/>
              </w:rPr>
              <w:t>项目类型：</w:t>
            </w:r>
          </w:p>
        </w:tc>
        <w:tc>
          <w:tcPr>
            <w:tcW w:w="5220" w:type="dxa"/>
            <w:shd w:val="clear" w:color="auto" w:fill="auto"/>
            <w:vAlign w:val="center"/>
          </w:tcPr>
          <w:p w14:paraId="71AC4908">
            <w:pPr>
              <w:widowControl/>
              <w:jc w:val="left"/>
              <w:rPr>
                <w:rFonts w:hint="eastAsia" w:ascii="宋体" w:hAnsi="宋体" w:eastAsia="宋体" w:cs="宋体"/>
                <w:sz w:val="30"/>
                <w:szCs w:val="30"/>
              </w:rPr>
            </w:pPr>
            <w:r>
              <w:rPr>
                <w:rFonts w:hint="eastAsia" w:ascii="宋体" w:hAnsi="宋体" w:cs="宋体"/>
                <w:kern w:val="0"/>
                <w:sz w:val="30"/>
                <w:szCs w:val="30"/>
                <w:lang w:bidi="ar"/>
              </w:rPr>
              <w:t>服务</w:t>
            </w:r>
            <w:r>
              <w:rPr>
                <w:rFonts w:ascii="宋体" w:hAnsi="宋体" w:cs="宋体"/>
                <w:kern w:val="0"/>
                <w:sz w:val="30"/>
                <w:szCs w:val="30"/>
                <w:lang w:bidi="ar"/>
              </w:rPr>
              <w:t>类</w:t>
            </w:r>
          </w:p>
        </w:tc>
      </w:tr>
      <w:tr w14:paraId="1E021012">
        <w:trPr>
          <w:trHeight w:val="738" w:hRule="atLeast"/>
          <w:tblCellSpacing w:w="0" w:type="dxa"/>
        </w:trPr>
        <w:tc>
          <w:tcPr>
            <w:tcW w:w="2723" w:type="dxa"/>
            <w:shd w:val="clear" w:color="auto" w:fill="auto"/>
            <w:vAlign w:val="center"/>
          </w:tcPr>
          <w:p w14:paraId="07230C23">
            <w:pPr>
              <w:widowControl/>
              <w:jc w:val="right"/>
              <w:rPr>
                <w:rFonts w:hint="eastAsia" w:ascii="宋体" w:hAnsi="宋体" w:eastAsia="宋体" w:cs="宋体"/>
                <w:sz w:val="30"/>
                <w:szCs w:val="30"/>
              </w:rPr>
            </w:pPr>
            <w:r>
              <w:rPr>
                <w:rFonts w:ascii="宋体" w:hAnsi="宋体" w:cs="宋体"/>
                <w:kern w:val="0"/>
                <w:sz w:val="30"/>
                <w:szCs w:val="30"/>
                <w:lang w:bidi="ar"/>
              </w:rPr>
              <w:t>采购方式：</w:t>
            </w:r>
          </w:p>
        </w:tc>
        <w:tc>
          <w:tcPr>
            <w:tcW w:w="5220" w:type="dxa"/>
            <w:shd w:val="clear" w:color="auto" w:fill="auto"/>
            <w:vAlign w:val="center"/>
          </w:tcPr>
          <w:p w14:paraId="1C5A364C">
            <w:pPr>
              <w:widowControl/>
              <w:jc w:val="left"/>
              <w:rPr>
                <w:rFonts w:hint="eastAsia" w:ascii="宋体" w:hAnsi="宋体" w:eastAsia="宋体" w:cs="宋体"/>
                <w:sz w:val="30"/>
                <w:szCs w:val="30"/>
              </w:rPr>
            </w:pPr>
            <w:r>
              <w:rPr>
                <w:rFonts w:ascii="宋体" w:hAnsi="宋体" w:cs="宋体"/>
                <w:kern w:val="0"/>
                <w:sz w:val="30"/>
                <w:szCs w:val="30"/>
                <w:lang w:bidi="ar"/>
              </w:rPr>
              <w:t>公开招标</w:t>
            </w:r>
          </w:p>
        </w:tc>
      </w:tr>
      <w:tr w14:paraId="769DE647">
        <w:trPr>
          <w:trHeight w:val="738" w:hRule="atLeast"/>
          <w:tblCellSpacing w:w="0" w:type="dxa"/>
        </w:trPr>
        <w:tc>
          <w:tcPr>
            <w:tcW w:w="2723" w:type="dxa"/>
            <w:shd w:val="clear" w:color="auto" w:fill="auto"/>
            <w:vAlign w:val="center"/>
          </w:tcPr>
          <w:p w14:paraId="39D02CD1">
            <w:pPr>
              <w:widowControl/>
              <w:jc w:val="right"/>
              <w:rPr>
                <w:rFonts w:hint="eastAsia" w:ascii="宋体" w:hAnsi="宋体" w:eastAsia="宋体" w:cs="宋体"/>
                <w:sz w:val="30"/>
                <w:szCs w:val="30"/>
              </w:rPr>
            </w:pPr>
            <w:r>
              <w:rPr>
                <w:rFonts w:ascii="宋体" w:hAnsi="宋体" w:cs="宋体"/>
                <w:kern w:val="0"/>
                <w:sz w:val="30"/>
                <w:szCs w:val="30"/>
                <w:lang w:bidi="ar"/>
              </w:rPr>
              <w:t>货币类型：</w:t>
            </w:r>
          </w:p>
        </w:tc>
        <w:tc>
          <w:tcPr>
            <w:tcW w:w="5220" w:type="dxa"/>
            <w:shd w:val="clear" w:color="auto" w:fill="auto"/>
            <w:vAlign w:val="center"/>
          </w:tcPr>
          <w:p w14:paraId="5D271CAD">
            <w:pPr>
              <w:widowControl/>
              <w:jc w:val="left"/>
              <w:rPr>
                <w:rFonts w:hint="eastAsia" w:ascii="宋体" w:hAnsi="宋体" w:eastAsia="宋体" w:cs="宋体"/>
                <w:sz w:val="30"/>
                <w:szCs w:val="30"/>
              </w:rPr>
            </w:pPr>
            <w:r>
              <w:rPr>
                <w:rFonts w:ascii="宋体" w:hAnsi="宋体" w:cs="宋体"/>
                <w:kern w:val="0"/>
                <w:sz w:val="30"/>
                <w:szCs w:val="30"/>
                <w:lang w:bidi="ar"/>
              </w:rPr>
              <w:t>人民币</w:t>
            </w:r>
          </w:p>
        </w:tc>
      </w:tr>
      <w:tr w14:paraId="5507666E">
        <w:trPr>
          <w:trHeight w:val="738" w:hRule="atLeast"/>
          <w:tblCellSpacing w:w="0" w:type="dxa"/>
        </w:trPr>
        <w:tc>
          <w:tcPr>
            <w:tcW w:w="2723" w:type="dxa"/>
            <w:shd w:val="clear" w:color="auto" w:fill="auto"/>
            <w:vAlign w:val="center"/>
          </w:tcPr>
          <w:p w14:paraId="5E631C72">
            <w:pPr>
              <w:widowControl/>
              <w:jc w:val="right"/>
              <w:rPr>
                <w:rFonts w:hint="eastAsia" w:ascii="宋体" w:hAnsi="宋体" w:eastAsia="宋体" w:cs="宋体"/>
                <w:sz w:val="30"/>
                <w:szCs w:val="30"/>
              </w:rPr>
            </w:pPr>
            <w:r>
              <w:rPr>
                <w:rFonts w:ascii="宋体" w:hAnsi="宋体" w:cs="宋体"/>
                <w:kern w:val="0"/>
                <w:sz w:val="30"/>
                <w:szCs w:val="30"/>
                <w:lang w:bidi="ar"/>
              </w:rPr>
              <w:t>评标方法：</w:t>
            </w:r>
          </w:p>
        </w:tc>
        <w:tc>
          <w:tcPr>
            <w:tcW w:w="5220" w:type="dxa"/>
            <w:shd w:val="clear" w:color="auto" w:fill="auto"/>
            <w:vAlign w:val="center"/>
          </w:tcPr>
          <w:p w14:paraId="18CD0FDE">
            <w:pPr>
              <w:widowControl/>
              <w:jc w:val="left"/>
              <w:rPr>
                <w:rFonts w:hint="eastAsia" w:ascii="宋体" w:hAnsi="宋体" w:eastAsia="宋体" w:cs="宋体"/>
                <w:sz w:val="30"/>
                <w:szCs w:val="30"/>
              </w:rPr>
            </w:pPr>
            <w:r>
              <w:rPr>
                <w:rFonts w:ascii="宋体" w:hAnsi="宋体" w:cs="宋体"/>
                <w:kern w:val="0"/>
                <w:sz w:val="30"/>
                <w:szCs w:val="30"/>
                <w:lang w:bidi="ar"/>
              </w:rPr>
              <w:t>综合评分法</w:t>
            </w:r>
          </w:p>
        </w:tc>
      </w:tr>
    </w:tbl>
    <w:p w14:paraId="7CDEFCA5">
      <w:pPr>
        <w:pStyle w:val="43"/>
        <w:jc w:val="center"/>
        <w:outlineLvl w:val="1"/>
        <w:rPr>
          <w:rFonts w:hint="eastAsia" w:ascii="黑体" w:hAnsi="黑体" w:eastAsia="黑体"/>
          <w:sz w:val="40"/>
          <w:szCs w:val="40"/>
        </w:rPr>
        <w:sectPr>
          <w:pgSz w:w="11906" w:h="16838"/>
          <w:pgMar w:top="720" w:right="1417" w:bottom="720" w:left="1417" w:header="851" w:footer="992" w:gutter="0"/>
          <w:cols w:space="720" w:num="1"/>
          <w:docGrid w:type="lines" w:linePitch="312" w:charSpace="0"/>
        </w:sectPr>
      </w:pPr>
    </w:p>
    <w:p w14:paraId="04C7B1D3">
      <w:pPr>
        <w:pStyle w:val="43"/>
        <w:jc w:val="center"/>
        <w:outlineLvl w:val="1"/>
        <w:rPr>
          <w:rFonts w:hint="eastAsia" w:ascii="黑体" w:hAnsi="黑体" w:eastAsia="黑体"/>
          <w:sz w:val="40"/>
          <w:szCs w:val="40"/>
        </w:rPr>
      </w:pPr>
    </w:p>
    <w:p w14:paraId="7FACACC7">
      <w:pPr>
        <w:pStyle w:val="43"/>
        <w:jc w:val="center"/>
        <w:outlineLvl w:val="1"/>
        <w:rPr>
          <w:rFonts w:ascii="黑体" w:hAnsi="黑体" w:eastAsia="黑体"/>
          <w:sz w:val="40"/>
          <w:szCs w:val="40"/>
        </w:rPr>
      </w:pPr>
      <w:r>
        <w:rPr>
          <w:rFonts w:hint="eastAsia" w:ascii="黑体" w:hAnsi="黑体" w:eastAsia="黑体"/>
          <w:sz w:val="40"/>
          <w:szCs w:val="40"/>
        </w:rPr>
        <w:t>资格性审查表</w:t>
      </w:r>
    </w:p>
    <w:tbl>
      <w:tblPr>
        <w:tblStyle w:val="48"/>
        <w:tblW w:w="9072"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20" w:type="dxa"/>
          <w:left w:w="108" w:type="dxa"/>
          <w:bottom w:w="20" w:type="dxa"/>
          <w:right w:w="108" w:type="dxa"/>
        </w:tblCellMar>
      </w:tblPr>
      <w:tblGrid>
        <w:gridCol w:w="794"/>
        <w:gridCol w:w="8278"/>
      </w:tblGrid>
      <w:tr w14:paraId="064C5F9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E6EFFA"/>
            <w:vAlign w:val="center"/>
          </w:tcPr>
          <w:p w14:paraId="4E469907">
            <w:pPr>
              <w:jc w:val="center"/>
              <w:rPr>
                <w:rFonts w:hint="eastAsia" w:ascii="宋体" w:hAnsi="宋体" w:eastAsia="宋体" w:cs="宋体"/>
                <w:b/>
                <w:bCs/>
                <w:sz w:val="24"/>
                <w:szCs w:val="24"/>
              </w:rPr>
            </w:pPr>
            <w:r>
              <w:rPr>
                <w:rFonts w:hint="eastAsia" w:ascii="宋体" w:hAnsi="宋体" w:eastAsia="宋体" w:cs="宋体"/>
                <w:b/>
                <w:bCs/>
                <w:sz w:val="24"/>
                <w:szCs w:val="24"/>
              </w:rPr>
              <w:t>序号</w:t>
            </w:r>
          </w:p>
        </w:tc>
        <w:tc>
          <w:tcPr>
            <w:tcW w:w="8278" w:type="dxa"/>
            <w:tcBorders>
              <w:top w:val="single" w:color="000000" w:sz="8" w:space="0"/>
              <w:left w:val="single" w:color="000000" w:sz="8" w:space="0"/>
              <w:bottom w:val="single" w:color="000000" w:sz="8" w:space="0"/>
              <w:right w:val="single" w:color="000000" w:sz="8" w:space="0"/>
            </w:tcBorders>
            <w:shd w:val="clear" w:color="auto" w:fill="E6EFFA"/>
            <w:vAlign w:val="center"/>
          </w:tcPr>
          <w:p w14:paraId="138E9331">
            <w:pPr>
              <w:jc w:val="center"/>
              <w:rPr>
                <w:rFonts w:hint="eastAsia" w:ascii="宋体" w:hAnsi="宋体" w:eastAsia="宋体" w:cs="宋体"/>
                <w:b/>
                <w:bCs/>
                <w:sz w:val="24"/>
                <w:szCs w:val="24"/>
              </w:rPr>
            </w:pPr>
            <w:r>
              <w:rPr>
                <w:rFonts w:hint="eastAsia" w:ascii="宋体" w:hAnsi="宋体" w:eastAsia="宋体" w:cs="宋体"/>
                <w:b/>
                <w:bCs/>
                <w:sz w:val="24"/>
                <w:szCs w:val="24"/>
              </w:rPr>
              <w:t>内容</w:t>
            </w:r>
          </w:p>
        </w:tc>
      </w:tr>
      <w:tr w14:paraId="522A499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jc w:val="center"/>
        </w:trPr>
        <w:tc>
          <w:tcPr>
            <w:tcW w:w="794" w:type="dxa"/>
            <w:tcBorders>
              <w:top w:val="single" w:color="000000" w:sz="8" w:space="0"/>
              <w:left w:val="single" w:color="000000" w:sz="8" w:space="0"/>
              <w:bottom w:val="single" w:color="000000" w:sz="8" w:space="0"/>
              <w:right w:val="single" w:color="000000" w:sz="8" w:space="0"/>
            </w:tcBorders>
            <w:vAlign w:val="center"/>
          </w:tcPr>
          <w:p w14:paraId="2DB76928">
            <w:pPr>
              <w:jc w:val="center"/>
              <w:rPr>
                <w:rFonts w:hint="eastAsia" w:ascii="宋体" w:hAnsi="宋体" w:eastAsia="宋体" w:cs="宋体"/>
                <w:szCs w:val="21"/>
              </w:rPr>
            </w:pPr>
            <w:r>
              <w:rPr>
                <w:rFonts w:hint="eastAsia" w:ascii="宋体" w:hAnsi="宋体" w:eastAsia="宋体" w:cs="宋体"/>
                <w:sz w:val="21"/>
                <w:szCs w:val="21"/>
              </w:rPr>
              <w:t>1</w:t>
            </w:r>
          </w:p>
        </w:tc>
        <w:tc>
          <w:tcPr>
            <w:tcW w:w="8278" w:type="dxa"/>
            <w:tcBorders>
              <w:top w:val="single" w:color="000000" w:sz="8" w:space="0"/>
              <w:left w:val="single" w:color="000000" w:sz="8" w:space="0"/>
              <w:bottom w:val="single" w:color="000000" w:sz="8" w:space="0"/>
              <w:right w:val="single" w:color="000000" w:sz="8" w:space="0"/>
            </w:tcBorders>
            <w:vAlign w:val="top"/>
          </w:tcPr>
          <w:p w14:paraId="791E8CE6">
            <w:pPr>
              <w:rPr>
                <w:rFonts w:hint="eastAsia" w:ascii="宋体" w:hAnsi="宋体" w:eastAsia="宋体" w:cs="宋体"/>
                <w:szCs w:val="21"/>
              </w:rPr>
            </w:pPr>
            <w:r>
              <w:rPr>
                <w:rFonts w:hint="eastAsia" w:ascii="宋体" w:hAnsi="宋体" w:eastAsia="宋体" w:cs="宋体"/>
                <w:sz w:val="21"/>
                <w:szCs w:val="21"/>
              </w:rPr>
              <w:t>投标人不符合资格要求，或未提交相应的资格证明资料（详见招标公告投标人资格要求，即申请人的资格要求）</w:t>
            </w:r>
          </w:p>
        </w:tc>
      </w:tr>
    </w:tbl>
    <w:p w14:paraId="13C39BEA">
      <w:pPr>
        <w:pStyle w:val="43"/>
        <w:spacing w:before="280"/>
        <w:jc w:val="center"/>
        <w:outlineLvl w:val="1"/>
        <w:rPr>
          <w:rFonts w:ascii="黑体" w:hAnsi="黑体" w:eastAsia="黑体"/>
          <w:sz w:val="40"/>
          <w:szCs w:val="40"/>
        </w:rPr>
      </w:pPr>
      <w:r>
        <w:rPr>
          <w:rFonts w:hint="eastAsia" w:ascii="黑体" w:hAnsi="黑体" w:eastAsia="黑体"/>
          <w:sz w:val="40"/>
          <w:szCs w:val="40"/>
        </w:rPr>
        <w:t>符合性审查表</w:t>
      </w:r>
    </w:p>
    <w:tbl>
      <w:tblPr>
        <w:tblStyle w:val="48"/>
        <w:tblW w:w="9072"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20" w:type="dxa"/>
          <w:left w:w="108" w:type="dxa"/>
          <w:bottom w:w="20" w:type="dxa"/>
          <w:right w:w="108" w:type="dxa"/>
        </w:tblCellMar>
      </w:tblPr>
      <w:tblGrid>
        <w:gridCol w:w="794"/>
        <w:gridCol w:w="8278"/>
      </w:tblGrid>
      <w:tr w14:paraId="6E9ED5F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E6EFFA"/>
            <w:vAlign w:val="center"/>
          </w:tcPr>
          <w:p w14:paraId="5DEF7C8C">
            <w:pPr>
              <w:jc w:val="center"/>
              <w:rPr>
                <w:rFonts w:ascii="宋体" w:hAnsi="宋体" w:cs="宋体"/>
                <w:b/>
                <w:bCs/>
                <w:color w:val="auto"/>
                <w:sz w:val="24"/>
                <w:szCs w:val="24"/>
              </w:rPr>
            </w:pPr>
            <w:r>
              <w:rPr>
                <w:b/>
                <w:bCs/>
                <w:color w:val="auto"/>
                <w:sz w:val="24"/>
                <w:szCs w:val="24"/>
              </w:rPr>
              <w:t>序号</w:t>
            </w:r>
          </w:p>
        </w:tc>
        <w:tc>
          <w:tcPr>
            <w:tcW w:w="8278" w:type="dxa"/>
            <w:tcBorders>
              <w:top w:val="single" w:color="000000" w:sz="8" w:space="0"/>
              <w:left w:val="single" w:color="000000" w:sz="8" w:space="0"/>
              <w:bottom w:val="single" w:color="000000" w:sz="8" w:space="0"/>
              <w:right w:val="single" w:color="000000" w:sz="8" w:space="0"/>
            </w:tcBorders>
            <w:shd w:val="clear" w:color="auto" w:fill="E6EFFA"/>
            <w:vAlign w:val="center"/>
          </w:tcPr>
          <w:p w14:paraId="76936C38">
            <w:pPr>
              <w:jc w:val="center"/>
              <w:rPr>
                <w:rFonts w:ascii="宋体" w:hAnsi="宋体" w:cs="宋体"/>
                <w:b/>
                <w:bCs/>
                <w:color w:val="auto"/>
                <w:sz w:val="24"/>
                <w:szCs w:val="24"/>
              </w:rPr>
            </w:pPr>
            <w:r>
              <w:rPr>
                <w:b/>
                <w:bCs/>
                <w:color w:val="auto"/>
                <w:sz w:val="24"/>
                <w:szCs w:val="24"/>
              </w:rPr>
              <w:t>内容</w:t>
            </w:r>
          </w:p>
        </w:tc>
      </w:tr>
      <w:tr w14:paraId="500603A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vAlign w:val="center"/>
          </w:tcPr>
          <w:p w14:paraId="026C24E0">
            <w:pPr>
              <w:jc w:val="center"/>
              <w:rPr>
                <w:rFonts w:ascii="宋体" w:hAnsi="宋体" w:cs="宋体"/>
                <w:color w:val="auto"/>
                <w:szCs w:val="21"/>
              </w:rPr>
            </w:pPr>
            <w:r>
              <w:rPr>
                <w:rFonts w:hint="eastAsia" w:ascii="宋体" w:hAnsi="宋体" w:eastAsia="宋体" w:cs="宋体"/>
                <w:sz w:val="21"/>
                <w:szCs w:val="21"/>
              </w:rPr>
              <w:t>1</w:t>
            </w:r>
          </w:p>
        </w:tc>
        <w:tc>
          <w:tcPr>
            <w:tcW w:w="8278" w:type="dxa"/>
            <w:tcBorders>
              <w:top w:val="single" w:color="000000" w:sz="8" w:space="0"/>
              <w:left w:val="single" w:color="000000" w:sz="8" w:space="0"/>
              <w:bottom w:val="single" w:color="000000" w:sz="8" w:space="0"/>
              <w:right w:val="single" w:color="000000" w:sz="8" w:space="0"/>
            </w:tcBorders>
            <w:vAlign w:val="top"/>
          </w:tcPr>
          <w:p w14:paraId="172B8D2E">
            <w:pPr>
              <w:rPr>
                <w:rFonts w:ascii="宋体" w:hAnsi="宋体" w:cs="宋体"/>
                <w:color w:val="auto"/>
                <w:szCs w:val="21"/>
              </w:rPr>
            </w:pPr>
            <w:r>
              <w:rPr>
                <w:rFonts w:hint="eastAsia"/>
                <w:lang w:val="en-US" w:eastAsia="zh-CN"/>
              </w:rPr>
              <w:t>不得</w:t>
            </w:r>
            <w:r>
              <w:rPr>
                <w:rFonts w:hint="eastAsia"/>
              </w:rPr>
              <w:t>将一个包的内容拆开投标；</w:t>
            </w:r>
          </w:p>
        </w:tc>
      </w:tr>
      <w:tr w14:paraId="4246E8E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vAlign w:val="center"/>
          </w:tcPr>
          <w:p w14:paraId="0382E153">
            <w:pPr>
              <w:jc w:val="center"/>
              <w:rPr>
                <w:rFonts w:ascii="宋体" w:hAnsi="宋体" w:cs="宋体"/>
                <w:color w:val="auto"/>
                <w:szCs w:val="21"/>
              </w:rPr>
            </w:pPr>
            <w:r>
              <w:rPr>
                <w:rFonts w:hint="eastAsia" w:ascii="宋体" w:hAnsi="宋体" w:eastAsia="宋体" w:cs="宋体"/>
                <w:sz w:val="21"/>
                <w:szCs w:val="21"/>
              </w:rPr>
              <w:t>2</w:t>
            </w:r>
          </w:p>
        </w:tc>
        <w:tc>
          <w:tcPr>
            <w:tcW w:w="8278" w:type="dxa"/>
            <w:tcBorders>
              <w:top w:val="single" w:color="000000" w:sz="8" w:space="0"/>
              <w:left w:val="single" w:color="000000" w:sz="8" w:space="0"/>
              <w:bottom w:val="single" w:color="000000" w:sz="8" w:space="0"/>
              <w:right w:val="single" w:color="000000" w:sz="8" w:space="0"/>
            </w:tcBorders>
            <w:vAlign w:val="top"/>
          </w:tcPr>
          <w:p w14:paraId="43B4BC29">
            <w:pPr>
              <w:rPr>
                <w:rFonts w:ascii="宋体" w:hAnsi="宋体" w:cs="宋体"/>
                <w:color w:val="auto"/>
                <w:szCs w:val="21"/>
              </w:rPr>
            </w:pPr>
            <w:r>
              <w:rPr>
                <w:rFonts w:hint="eastAsia"/>
              </w:rPr>
              <w:t>对同一项目投标时，</w:t>
            </w:r>
            <w:r>
              <w:rPr>
                <w:rFonts w:hint="eastAsia"/>
                <w:lang w:val="en-US" w:eastAsia="zh-CN"/>
              </w:rPr>
              <w:t>不得</w:t>
            </w:r>
            <w:r>
              <w:rPr>
                <w:rFonts w:hint="eastAsia"/>
              </w:rPr>
              <w:t>提供两套以上的投标方案（招标文件另有规定的除外）；</w:t>
            </w:r>
          </w:p>
        </w:tc>
      </w:tr>
      <w:tr w14:paraId="15F0CCE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vAlign w:val="center"/>
          </w:tcPr>
          <w:p w14:paraId="70CC6D09">
            <w:pPr>
              <w:jc w:val="center"/>
              <w:rPr>
                <w:rFonts w:ascii="宋体" w:hAnsi="宋体" w:cs="宋体"/>
                <w:color w:val="auto"/>
                <w:szCs w:val="21"/>
              </w:rPr>
            </w:pPr>
            <w:r>
              <w:rPr>
                <w:rFonts w:hint="eastAsia" w:ascii="宋体" w:hAnsi="宋体" w:eastAsia="宋体" w:cs="宋体"/>
                <w:sz w:val="21"/>
                <w:szCs w:val="21"/>
              </w:rPr>
              <w:t>3</w:t>
            </w:r>
          </w:p>
        </w:tc>
        <w:tc>
          <w:tcPr>
            <w:tcW w:w="8278" w:type="dxa"/>
            <w:tcBorders>
              <w:top w:val="single" w:color="000000" w:sz="8" w:space="0"/>
              <w:left w:val="single" w:color="000000" w:sz="8" w:space="0"/>
              <w:bottom w:val="single" w:color="000000" w:sz="8" w:space="0"/>
              <w:right w:val="single" w:color="000000" w:sz="8" w:space="0"/>
            </w:tcBorders>
            <w:vAlign w:val="top"/>
          </w:tcPr>
          <w:p w14:paraId="4A03A26C">
            <w:pPr>
              <w:rPr>
                <w:rFonts w:ascii="宋体" w:hAnsi="宋体" w:cs="宋体"/>
                <w:color w:val="auto"/>
                <w:szCs w:val="21"/>
              </w:rPr>
            </w:pPr>
            <w:r>
              <w:rPr>
                <w:rFonts w:hint="eastAsia"/>
              </w:rPr>
              <w:t>分项报价或投标总价</w:t>
            </w:r>
            <w:r>
              <w:rPr>
                <w:rFonts w:hint="eastAsia"/>
                <w:lang w:val="en-US" w:eastAsia="zh-CN"/>
              </w:rPr>
              <w:t>不得</w:t>
            </w:r>
            <w:r>
              <w:rPr>
                <w:rFonts w:hint="eastAsia"/>
              </w:rPr>
              <w:t>高于相应预算金额（或设定的预算金额下的最高限价）；</w:t>
            </w:r>
          </w:p>
        </w:tc>
      </w:tr>
      <w:tr w14:paraId="114AC2A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vAlign w:val="center"/>
          </w:tcPr>
          <w:p w14:paraId="5377E116">
            <w:pPr>
              <w:jc w:val="center"/>
              <w:rPr>
                <w:rFonts w:ascii="宋体" w:hAnsi="宋体" w:cs="宋体"/>
                <w:color w:val="auto"/>
                <w:szCs w:val="21"/>
              </w:rPr>
            </w:pPr>
            <w:r>
              <w:rPr>
                <w:rFonts w:hint="eastAsia" w:ascii="宋体" w:hAnsi="宋体" w:eastAsia="宋体" w:cs="宋体"/>
                <w:sz w:val="21"/>
                <w:szCs w:val="21"/>
              </w:rPr>
              <w:t>4</w:t>
            </w:r>
          </w:p>
        </w:tc>
        <w:tc>
          <w:tcPr>
            <w:tcW w:w="8278" w:type="dxa"/>
            <w:tcBorders>
              <w:top w:val="single" w:color="000000" w:sz="8" w:space="0"/>
              <w:left w:val="single" w:color="000000" w:sz="8" w:space="0"/>
              <w:bottom w:val="single" w:color="000000" w:sz="8" w:space="0"/>
              <w:right w:val="single" w:color="000000" w:sz="8" w:space="0"/>
            </w:tcBorders>
            <w:vAlign w:val="top"/>
          </w:tcPr>
          <w:p w14:paraId="3AA07903">
            <w:pPr>
              <w:rPr>
                <w:rFonts w:ascii="宋体" w:hAnsi="宋体" w:cs="宋体"/>
                <w:color w:val="auto"/>
                <w:szCs w:val="21"/>
              </w:rPr>
            </w:pPr>
            <w:r>
              <w:rPr>
                <w:rFonts w:hint="eastAsia"/>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14:paraId="79CCD52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vAlign w:val="center"/>
          </w:tcPr>
          <w:p w14:paraId="6C656189">
            <w:pPr>
              <w:jc w:val="center"/>
              <w:rPr>
                <w:rFonts w:ascii="宋体" w:hAnsi="宋体" w:cs="宋体"/>
                <w:color w:val="auto"/>
                <w:szCs w:val="21"/>
              </w:rPr>
            </w:pPr>
            <w:r>
              <w:rPr>
                <w:rFonts w:hint="eastAsia" w:ascii="宋体" w:hAnsi="宋体" w:eastAsia="宋体" w:cs="宋体"/>
                <w:sz w:val="21"/>
                <w:szCs w:val="21"/>
              </w:rPr>
              <w:t>5</w:t>
            </w:r>
          </w:p>
        </w:tc>
        <w:tc>
          <w:tcPr>
            <w:tcW w:w="8278" w:type="dxa"/>
            <w:tcBorders>
              <w:top w:val="single" w:color="000000" w:sz="8" w:space="0"/>
              <w:left w:val="single" w:color="000000" w:sz="8" w:space="0"/>
              <w:bottom w:val="single" w:color="000000" w:sz="8" w:space="0"/>
              <w:right w:val="single" w:color="000000" w:sz="8" w:space="0"/>
            </w:tcBorders>
            <w:vAlign w:val="top"/>
          </w:tcPr>
          <w:p w14:paraId="1522A21E">
            <w:pPr>
              <w:rPr>
                <w:rFonts w:ascii="宋体" w:hAnsi="宋体" w:cs="宋体"/>
                <w:color w:val="auto"/>
                <w:szCs w:val="21"/>
              </w:rPr>
            </w:pPr>
            <w:r>
              <w:rPr>
                <w:rFonts w:hint="eastAsia"/>
              </w:rPr>
              <w:t>所投货物、服务在技术、商务等方面没有实质性满足招标文件要求的（是否实质性满足招标文件要求，由评审委员会根据实质性条款响应情况做出评判；</w:t>
            </w:r>
            <w:r>
              <w:rPr>
                <w:rFonts w:hint="eastAsia"/>
                <w:b/>
                <w:bCs/>
              </w:rPr>
              <w:t>若招标文件未设置实质性条款，不得据此做投标无效处理</w:t>
            </w:r>
            <w:r>
              <w:rPr>
                <w:rFonts w:hint="eastAsia"/>
              </w:rPr>
              <w:t>）；</w:t>
            </w:r>
          </w:p>
        </w:tc>
      </w:tr>
      <w:tr w14:paraId="48C20F2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vAlign w:val="center"/>
          </w:tcPr>
          <w:p w14:paraId="1FA565B3">
            <w:pPr>
              <w:jc w:val="center"/>
              <w:rPr>
                <w:rFonts w:ascii="宋体" w:hAnsi="宋体" w:cs="宋体"/>
                <w:color w:val="auto"/>
                <w:szCs w:val="21"/>
              </w:rPr>
            </w:pPr>
            <w:r>
              <w:rPr>
                <w:rFonts w:hint="eastAsia" w:ascii="宋体" w:hAnsi="宋体" w:eastAsia="宋体" w:cs="宋体"/>
                <w:sz w:val="21"/>
                <w:szCs w:val="21"/>
              </w:rPr>
              <w:t>6</w:t>
            </w:r>
          </w:p>
        </w:tc>
        <w:tc>
          <w:tcPr>
            <w:tcW w:w="8278" w:type="dxa"/>
            <w:tcBorders>
              <w:top w:val="single" w:color="000000" w:sz="8" w:space="0"/>
              <w:left w:val="single" w:color="000000" w:sz="8" w:space="0"/>
              <w:bottom w:val="single" w:color="000000" w:sz="8" w:space="0"/>
              <w:right w:val="single" w:color="000000" w:sz="8" w:space="0"/>
            </w:tcBorders>
            <w:vAlign w:val="top"/>
          </w:tcPr>
          <w:p w14:paraId="07EE9B09">
            <w:pPr>
              <w:rPr>
                <w:rFonts w:ascii="宋体" w:hAnsi="宋体" w:cs="宋体"/>
                <w:color w:val="auto"/>
                <w:szCs w:val="21"/>
              </w:rPr>
            </w:pPr>
            <w:r>
              <w:rPr>
                <w:rFonts w:hint="eastAsia"/>
              </w:rPr>
              <w:t>未按招标文件所提供的样式填写《投标函》；未按招标文件所提供的《政府采购投标及履约承诺函》进行承诺；未按招标文件对投标文件组成的要求提供投标文件；</w:t>
            </w:r>
          </w:p>
        </w:tc>
      </w:tr>
      <w:tr w14:paraId="3A74003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vAlign w:val="center"/>
          </w:tcPr>
          <w:p w14:paraId="3711DA38">
            <w:pPr>
              <w:jc w:val="center"/>
              <w:rPr>
                <w:rFonts w:ascii="宋体" w:hAnsi="宋体" w:cs="宋体"/>
                <w:color w:val="auto"/>
                <w:szCs w:val="21"/>
              </w:rPr>
            </w:pPr>
            <w:r>
              <w:rPr>
                <w:rFonts w:hint="eastAsia" w:ascii="宋体" w:hAnsi="宋体" w:eastAsia="宋体" w:cs="宋体"/>
                <w:sz w:val="21"/>
                <w:szCs w:val="21"/>
              </w:rPr>
              <w:t>7</w:t>
            </w:r>
          </w:p>
        </w:tc>
        <w:tc>
          <w:tcPr>
            <w:tcW w:w="8278" w:type="dxa"/>
            <w:tcBorders>
              <w:top w:val="single" w:color="000000" w:sz="8" w:space="0"/>
              <w:left w:val="single" w:color="000000" w:sz="8" w:space="0"/>
              <w:bottom w:val="single" w:color="000000" w:sz="8" w:space="0"/>
              <w:right w:val="single" w:color="000000" w:sz="8" w:space="0"/>
            </w:tcBorders>
            <w:vAlign w:val="top"/>
          </w:tcPr>
          <w:p w14:paraId="566C6DBA">
            <w:pPr>
              <w:rPr>
                <w:rFonts w:ascii="宋体" w:hAnsi="宋体" w:cs="宋体"/>
                <w:color w:val="auto"/>
                <w:szCs w:val="21"/>
              </w:rPr>
            </w:pPr>
            <w:r>
              <w:rPr>
                <w:rFonts w:hint="eastAsia"/>
                <w:color w:val="auto"/>
                <w:lang w:val="en-US" w:eastAsia="zh-CN"/>
              </w:rPr>
              <w:t>采购标的/服务</w:t>
            </w:r>
            <w:r>
              <w:rPr>
                <w:rFonts w:hint="eastAsia" w:ascii="Times New Roman" w:eastAsia="宋体"/>
                <w:color w:val="auto"/>
                <w:lang w:val="en-US" w:eastAsia="zh-CN"/>
              </w:rPr>
              <w:t>清单</w:t>
            </w:r>
            <w:r>
              <w:rPr>
                <w:rFonts w:hint="eastAsia"/>
                <w:color w:val="auto"/>
                <w:lang w:val="en-US" w:eastAsia="zh-CN"/>
              </w:rPr>
              <w:t>/报价等任意一类</w:t>
            </w:r>
            <w:r>
              <w:rPr>
                <w:rFonts w:hint="eastAsia" w:ascii="Times New Roman" w:eastAsia="宋体"/>
                <w:color w:val="auto"/>
                <w:lang w:val="en-US" w:eastAsia="zh-CN"/>
              </w:rPr>
              <w:t>有缺漏项或响应不全</w:t>
            </w:r>
            <w:r>
              <w:rPr>
                <w:rFonts w:hint="eastAsia"/>
                <w:color w:val="auto"/>
                <w:lang w:val="en-US" w:eastAsia="zh-CN"/>
              </w:rPr>
              <w:t>，</w:t>
            </w:r>
            <w:r>
              <w:rPr>
                <w:rFonts w:hint="eastAsia"/>
              </w:rPr>
              <w:t>或者对招标文件规定的项目需求内容或者需求数量进行修改</w:t>
            </w:r>
            <w:r>
              <w:rPr>
                <w:rFonts w:hint="eastAsia"/>
                <w:szCs w:val="21"/>
              </w:rPr>
              <w:t>，评审委员会判定投标响应不满足采购需求</w:t>
            </w:r>
            <w:r>
              <w:rPr>
                <w:rFonts w:hint="eastAsia"/>
              </w:rPr>
              <w:t>；</w:t>
            </w:r>
          </w:p>
        </w:tc>
      </w:tr>
      <w:tr w14:paraId="3F09BF4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vAlign w:val="center"/>
          </w:tcPr>
          <w:p w14:paraId="675A30C4">
            <w:pPr>
              <w:jc w:val="center"/>
              <w:rPr>
                <w:rFonts w:ascii="宋体" w:hAnsi="宋体" w:cs="宋体"/>
                <w:color w:val="auto"/>
                <w:szCs w:val="21"/>
              </w:rPr>
            </w:pPr>
            <w:r>
              <w:rPr>
                <w:rFonts w:hint="eastAsia" w:ascii="宋体" w:hAnsi="宋体" w:eastAsia="宋体" w:cs="宋体"/>
                <w:sz w:val="21"/>
                <w:szCs w:val="21"/>
              </w:rPr>
              <w:t>8</w:t>
            </w:r>
          </w:p>
        </w:tc>
        <w:tc>
          <w:tcPr>
            <w:tcW w:w="8278" w:type="dxa"/>
            <w:tcBorders>
              <w:top w:val="single" w:color="000000" w:sz="8" w:space="0"/>
              <w:left w:val="single" w:color="000000" w:sz="8" w:space="0"/>
              <w:bottom w:val="single" w:color="000000" w:sz="8" w:space="0"/>
              <w:right w:val="single" w:color="000000" w:sz="8" w:space="0"/>
            </w:tcBorders>
            <w:vAlign w:val="top"/>
          </w:tcPr>
          <w:p w14:paraId="7C25B845">
            <w:pPr>
              <w:rPr>
                <w:rFonts w:ascii="宋体" w:hAnsi="宋体" w:cs="宋体"/>
                <w:color w:val="auto"/>
                <w:szCs w:val="21"/>
              </w:rPr>
            </w:pPr>
            <w:r>
              <w:rPr>
                <w:rFonts w:hint="eastAsia"/>
              </w:rPr>
              <w:t>投标文件存在列放位置错误，导致属于信息公开情形的没有被公开；</w:t>
            </w:r>
          </w:p>
        </w:tc>
      </w:tr>
      <w:tr w14:paraId="11E4A4D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vAlign w:val="center"/>
          </w:tcPr>
          <w:p w14:paraId="4B84E918">
            <w:pPr>
              <w:jc w:val="center"/>
              <w:rPr>
                <w:rFonts w:ascii="宋体" w:hAnsi="宋体" w:cs="宋体"/>
                <w:color w:val="auto"/>
                <w:szCs w:val="21"/>
              </w:rPr>
            </w:pPr>
            <w:r>
              <w:rPr>
                <w:rFonts w:hint="eastAsia" w:ascii="宋体" w:hAnsi="宋体" w:eastAsia="宋体" w:cs="宋体"/>
                <w:sz w:val="21"/>
                <w:szCs w:val="21"/>
              </w:rPr>
              <w:t>9</w:t>
            </w:r>
          </w:p>
        </w:tc>
        <w:tc>
          <w:tcPr>
            <w:tcW w:w="8278" w:type="dxa"/>
            <w:tcBorders>
              <w:top w:val="single" w:color="000000" w:sz="8" w:space="0"/>
              <w:left w:val="single" w:color="000000" w:sz="8" w:space="0"/>
              <w:bottom w:val="single" w:color="000000" w:sz="8" w:space="0"/>
              <w:right w:val="single" w:color="000000" w:sz="8" w:space="0"/>
            </w:tcBorders>
            <w:vAlign w:val="top"/>
          </w:tcPr>
          <w:p w14:paraId="32E37BD0">
            <w:pPr>
              <w:rPr>
                <w:rFonts w:ascii="宋体" w:hAnsi="宋体" w:cs="宋体"/>
                <w:color w:val="auto"/>
                <w:szCs w:val="21"/>
              </w:rPr>
            </w:pPr>
            <w:r>
              <w:rPr>
                <w:rFonts w:hint="eastAsia"/>
              </w:rPr>
              <w:t>投标文件电子文档</w:t>
            </w:r>
            <w:r>
              <w:rPr>
                <w:rFonts w:hint="eastAsia"/>
                <w:lang w:val="en-US" w:eastAsia="zh-CN"/>
              </w:rPr>
              <w:t>不得</w:t>
            </w:r>
            <w:r>
              <w:rPr>
                <w:rFonts w:hint="eastAsia"/>
              </w:rPr>
              <w:t>带病毒；</w:t>
            </w:r>
          </w:p>
        </w:tc>
      </w:tr>
      <w:tr w14:paraId="2A8146A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vAlign w:val="center"/>
          </w:tcPr>
          <w:p w14:paraId="468D013A">
            <w:pPr>
              <w:jc w:val="center"/>
              <w:rPr>
                <w:rFonts w:ascii="宋体" w:hAnsi="宋体" w:cs="宋体"/>
                <w:color w:val="auto"/>
                <w:szCs w:val="21"/>
              </w:rPr>
            </w:pPr>
            <w:r>
              <w:rPr>
                <w:rFonts w:hint="eastAsia" w:ascii="宋体" w:hAnsi="宋体" w:eastAsia="宋体" w:cs="宋体"/>
                <w:sz w:val="21"/>
                <w:szCs w:val="21"/>
              </w:rPr>
              <w:t>10</w:t>
            </w:r>
          </w:p>
        </w:tc>
        <w:tc>
          <w:tcPr>
            <w:tcW w:w="8278" w:type="dxa"/>
            <w:tcBorders>
              <w:top w:val="single" w:color="000000" w:sz="8" w:space="0"/>
              <w:left w:val="single" w:color="000000" w:sz="8" w:space="0"/>
              <w:bottom w:val="single" w:color="000000" w:sz="8" w:space="0"/>
              <w:right w:val="single" w:color="000000" w:sz="8" w:space="0"/>
            </w:tcBorders>
            <w:vAlign w:val="top"/>
          </w:tcPr>
          <w:p w14:paraId="58DD5AAC">
            <w:pPr>
              <w:rPr>
                <w:rFonts w:ascii="宋体" w:hAnsi="宋体" w:cs="宋体"/>
                <w:color w:val="auto"/>
                <w:szCs w:val="21"/>
              </w:rPr>
            </w:pPr>
            <w:r>
              <w:rPr>
                <w:rFonts w:hint="eastAsia"/>
              </w:rPr>
              <w:t>投标文件用不属于本公司的电子密钥或电子营业执照进行加密的；</w:t>
            </w:r>
          </w:p>
        </w:tc>
      </w:tr>
      <w:tr w14:paraId="34A01EC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vAlign w:val="center"/>
          </w:tcPr>
          <w:p w14:paraId="014034D9">
            <w:pPr>
              <w:jc w:val="center"/>
              <w:textAlignment w:val="top"/>
              <w:rPr>
                <w:rFonts w:ascii="宋体" w:hAnsi="宋体" w:cs="宋体"/>
                <w:color w:val="auto"/>
                <w:szCs w:val="21"/>
              </w:rPr>
            </w:pPr>
            <w:r>
              <w:rPr>
                <w:rFonts w:hint="eastAsia" w:ascii="宋体" w:hAnsi="宋体" w:eastAsia="宋体" w:cs="宋体"/>
                <w:color w:val="auto"/>
                <w:sz w:val="21"/>
                <w:szCs w:val="21"/>
              </w:rPr>
              <w:t>11</w:t>
            </w:r>
          </w:p>
        </w:tc>
        <w:tc>
          <w:tcPr>
            <w:tcW w:w="8278" w:type="dxa"/>
            <w:tcBorders>
              <w:top w:val="single" w:color="000000" w:sz="8" w:space="0"/>
              <w:left w:val="single" w:color="000000" w:sz="8" w:space="0"/>
              <w:bottom w:val="single" w:color="000000" w:sz="8" w:space="0"/>
              <w:right w:val="single" w:color="000000" w:sz="8" w:space="0"/>
            </w:tcBorders>
            <w:vAlign w:val="top"/>
          </w:tcPr>
          <w:p w14:paraId="7F98B24B">
            <w:pPr>
              <w:widowControl/>
              <w:jc w:val="left"/>
              <w:textAlignment w:val="top"/>
              <w:rPr>
                <w:color w:val="auto"/>
              </w:rPr>
            </w:pPr>
            <w:r>
              <w:rPr>
                <w:rFonts w:hint="eastAsia" w:ascii="Times New Roman" w:hAnsi="Times New Roman" w:eastAsia="宋体" w:cs="Times New Roman"/>
                <w:sz w:val="21"/>
                <w:szCs w:val="24"/>
              </w:rPr>
              <w:t>不同投标供应商投标文件“文件制作机器码”一致</w:t>
            </w:r>
            <w:r>
              <w:rPr>
                <w:rFonts w:hint="eastAsia" w:ascii="Times New Roman" w:hAnsi="Times New Roman" w:eastAsia="宋体" w:cs="Times New Roman"/>
                <w:sz w:val="21"/>
                <w:szCs w:val="24"/>
                <w:lang w:eastAsia="zh-CN"/>
              </w:rPr>
              <w:t>；</w:t>
            </w:r>
          </w:p>
        </w:tc>
      </w:tr>
      <w:tr w14:paraId="5FDACA5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vAlign w:val="center"/>
          </w:tcPr>
          <w:p w14:paraId="4563BBB3">
            <w:pPr>
              <w:jc w:val="center"/>
              <w:textAlignment w:val="top"/>
              <w:rPr>
                <w:rFonts w:ascii="宋体" w:hAnsi="宋体" w:cs="宋体"/>
                <w:color w:val="auto"/>
                <w:szCs w:val="21"/>
              </w:rPr>
            </w:pPr>
            <w:r>
              <w:rPr>
                <w:rFonts w:hint="eastAsia" w:ascii="宋体" w:hAnsi="宋体" w:eastAsia="宋体" w:cs="宋体"/>
                <w:color w:val="auto"/>
                <w:sz w:val="21"/>
                <w:szCs w:val="21"/>
              </w:rPr>
              <w:t>12</w:t>
            </w:r>
          </w:p>
        </w:tc>
        <w:tc>
          <w:tcPr>
            <w:tcW w:w="8278" w:type="dxa"/>
            <w:tcBorders>
              <w:top w:val="single" w:color="000000" w:sz="8" w:space="0"/>
              <w:left w:val="single" w:color="000000" w:sz="8" w:space="0"/>
              <w:bottom w:val="single" w:color="000000" w:sz="8" w:space="0"/>
              <w:right w:val="single" w:color="000000" w:sz="8" w:space="0"/>
            </w:tcBorders>
            <w:vAlign w:val="top"/>
          </w:tcPr>
          <w:p w14:paraId="10F335B0">
            <w:pPr>
              <w:widowControl/>
              <w:jc w:val="left"/>
              <w:textAlignment w:val="top"/>
              <w:rPr>
                <w:color w:val="auto"/>
              </w:rPr>
            </w:pPr>
            <w:r>
              <w:rPr>
                <w:rFonts w:hint="eastAsia" w:ascii="Times New Roman" w:hAnsi="Times New Roman" w:eastAsia="宋体" w:cs="Times New Roman"/>
                <w:sz w:val="21"/>
                <w:szCs w:val="24"/>
              </w:rPr>
              <w:t>不同投标供应商投标文件“文件创建标识码”一致</w:t>
            </w:r>
            <w:r>
              <w:rPr>
                <w:rFonts w:hint="eastAsia" w:ascii="Times New Roman" w:hAnsi="Times New Roman" w:eastAsia="宋体" w:cs="Times New Roman"/>
                <w:sz w:val="21"/>
                <w:szCs w:val="24"/>
                <w:lang w:eastAsia="zh-CN"/>
              </w:rPr>
              <w:t>；</w:t>
            </w:r>
          </w:p>
        </w:tc>
      </w:tr>
      <w:tr w14:paraId="75DFA54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jc w:val="center"/>
        </w:trPr>
        <w:tc>
          <w:tcPr>
            <w:tcW w:w="794" w:type="dxa"/>
            <w:tcBorders>
              <w:top w:val="single" w:color="000000" w:sz="8" w:space="0"/>
              <w:left w:val="single" w:color="000000" w:sz="8" w:space="0"/>
              <w:bottom w:val="single" w:color="000000" w:sz="8" w:space="0"/>
              <w:right w:val="single" w:color="000000" w:sz="8" w:space="0"/>
            </w:tcBorders>
            <w:vAlign w:val="center"/>
          </w:tcPr>
          <w:p w14:paraId="748B8100">
            <w:pPr>
              <w:jc w:val="center"/>
              <w:rPr>
                <w:rFonts w:hint="eastAsia" w:ascii="宋体" w:hAnsi="宋体" w:eastAsia="宋体" w:cs="宋体"/>
                <w:color w:val="auto"/>
                <w:szCs w:val="21"/>
                <w:lang w:eastAsia="zh-CN"/>
              </w:rPr>
            </w:pPr>
            <w:r>
              <w:rPr>
                <w:rFonts w:hint="eastAsia" w:ascii="宋体" w:hAnsi="宋体" w:eastAsia="宋体" w:cs="宋体"/>
                <w:sz w:val="21"/>
                <w:szCs w:val="21"/>
              </w:rPr>
              <w:t>13</w:t>
            </w:r>
          </w:p>
        </w:tc>
        <w:tc>
          <w:tcPr>
            <w:tcW w:w="8278" w:type="dxa"/>
            <w:tcBorders>
              <w:top w:val="single" w:color="000000" w:sz="8" w:space="0"/>
              <w:left w:val="single" w:color="000000" w:sz="8" w:space="0"/>
              <w:bottom w:val="single" w:color="000000" w:sz="8" w:space="0"/>
              <w:right w:val="single" w:color="000000" w:sz="8" w:space="0"/>
            </w:tcBorders>
            <w:vAlign w:val="top"/>
          </w:tcPr>
          <w:p w14:paraId="13D8A8F7">
            <w:pPr>
              <w:rPr>
                <w:rFonts w:hint="eastAsia" w:ascii="宋体" w:hAnsi="宋体" w:eastAsia="宋体" w:cs="宋体"/>
                <w:color w:val="auto"/>
                <w:szCs w:val="21"/>
                <w:lang w:eastAsia="zh-CN"/>
              </w:rPr>
            </w:pPr>
            <w:r>
              <w:rPr>
                <w:rFonts w:hint="eastAsia"/>
              </w:rPr>
              <w:t>法律、法规、规章、规范性文件规定的其他情形。</w:t>
            </w:r>
          </w:p>
        </w:tc>
      </w:tr>
    </w:tbl>
    <w:p w14:paraId="49F962CA">
      <w:pPr>
        <w:pStyle w:val="43"/>
        <w:jc w:val="center"/>
        <w:outlineLvl w:val="1"/>
        <w:rPr>
          <w:rFonts w:hint="eastAsia" w:ascii="黑体" w:hAnsi="黑体" w:eastAsia="黑体"/>
          <w:sz w:val="40"/>
          <w:szCs w:val="40"/>
        </w:rPr>
        <w:sectPr>
          <w:pgSz w:w="11906" w:h="16838"/>
          <w:pgMar w:top="720" w:right="1417" w:bottom="720" w:left="1417" w:header="851" w:footer="992" w:gutter="0"/>
          <w:cols w:space="720" w:num="1"/>
          <w:docGrid w:type="lines" w:linePitch="312" w:charSpace="0"/>
        </w:sectPr>
      </w:pPr>
    </w:p>
    <w:p w14:paraId="3A8DD4DB">
      <w:pPr>
        <w:pStyle w:val="43"/>
        <w:jc w:val="center"/>
        <w:outlineLvl w:val="1"/>
        <w:rPr>
          <w:rFonts w:hint="eastAsia" w:ascii="黑体" w:hAnsi="黑体" w:eastAsia="黑体"/>
          <w:sz w:val="40"/>
          <w:szCs w:val="40"/>
        </w:rPr>
      </w:pPr>
    </w:p>
    <w:p w14:paraId="11224C16">
      <w:pPr>
        <w:pStyle w:val="43"/>
        <w:jc w:val="center"/>
        <w:outlineLvl w:val="1"/>
        <w:rPr>
          <w:rFonts w:ascii="黑体" w:hAnsi="黑体" w:eastAsia="黑体"/>
          <w:sz w:val="40"/>
          <w:szCs w:val="40"/>
        </w:rPr>
      </w:pPr>
      <w:r>
        <w:rPr>
          <w:rFonts w:hint="eastAsia" w:ascii="黑体" w:hAnsi="黑体" w:eastAsia="黑体"/>
          <w:sz w:val="40"/>
          <w:szCs w:val="40"/>
        </w:rPr>
        <w:t>评标信息</w:t>
      </w:r>
    </w:p>
    <w:tbl>
      <w:tblPr>
        <w:tblStyle w:val="48"/>
        <w:tblW w:w="9072" w:type="dxa"/>
        <w:jc w:val="center"/>
        <w:tblCellSpacing w:w="0" w:type="dxa"/>
        <w:tblLayout w:type="fixed"/>
        <w:tblCellMar>
          <w:top w:w="45" w:type="dxa"/>
          <w:left w:w="45" w:type="dxa"/>
          <w:bottom w:w="45" w:type="dxa"/>
          <w:right w:w="45" w:type="dxa"/>
        </w:tblCellMar>
      </w:tblPr>
      <w:tblGrid>
        <w:gridCol w:w="8768"/>
        <w:gridCol w:w="304"/>
      </w:tblGrid>
      <w:tr w14:paraId="1697E123">
        <w:tblPrEx>
          <w:tblCellMar>
            <w:top w:w="45" w:type="dxa"/>
            <w:left w:w="45" w:type="dxa"/>
            <w:bottom w:w="45" w:type="dxa"/>
            <w:right w:w="45" w:type="dxa"/>
          </w:tblCellMar>
        </w:tblPrEx>
        <w:trPr>
          <w:tblCellSpacing w:w="0" w:type="dxa"/>
          <w:jc w:val="center"/>
        </w:trPr>
        <w:tc>
          <w:tcPr>
            <w:tcW w:w="8768" w:type="dxa"/>
            <w:tcBorders>
              <w:top w:val="nil"/>
              <w:left w:val="nil"/>
              <w:bottom w:val="nil"/>
              <w:right w:val="nil"/>
            </w:tcBorders>
            <w:vAlign w:val="center"/>
          </w:tcPr>
          <w:p w14:paraId="0FC8DC1E">
            <w:pPr>
              <w:rPr>
                <w:rFonts w:ascii="宋体" w:hAnsi="宋体" w:cs="宋体"/>
                <w:b/>
                <w:bCs/>
                <w:sz w:val="24"/>
              </w:rPr>
            </w:pPr>
            <w:r>
              <w:rPr>
                <w:b/>
                <w:bCs/>
              </w:rPr>
              <w:t>评标方法：综合评分法</w:t>
            </w:r>
          </w:p>
        </w:tc>
        <w:tc>
          <w:tcPr>
            <w:tcW w:w="304" w:type="dxa"/>
            <w:tcBorders>
              <w:top w:val="nil"/>
              <w:left w:val="nil"/>
              <w:bottom w:val="nil"/>
              <w:right w:val="nil"/>
            </w:tcBorders>
            <w:vAlign w:val="center"/>
          </w:tcPr>
          <w:p w14:paraId="26900CDC">
            <w:pPr>
              <w:jc w:val="right"/>
              <w:rPr>
                <w:rFonts w:ascii="宋体" w:hAnsi="宋体" w:cs="宋体"/>
                <w:b/>
                <w:bCs/>
                <w:sz w:val="24"/>
              </w:rPr>
            </w:pPr>
          </w:p>
        </w:tc>
      </w:tr>
      <w:tr w14:paraId="76B90550">
        <w:tblPrEx>
          <w:tblCellMar>
            <w:top w:w="45" w:type="dxa"/>
            <w:left w:w="45" w:type="dxa"/>
            <w:bottom w:w="45" w:type="dxa"/>
            <w:right w:w="45" w:type="dxa"/>
          </w:tblCellMar>
        </w:tblPrEx>
        <w:trPr>
          <w:tblCellSpacing w:w="0" w:type="dxa"/>
          <w:jc w:val="center"/>
        </w:trPr>
        <w:tc>
          <w:tcPr>
            <w:tcW w:w="9072" w:type="dxa"/>
            <w:gridSpan w:val="2"/>
            <w:tcBorders>
              <w:top w:val="nil"/>
              <w:left w:val="nil"/>
              <w:bottom w:val="nil"/>
              <w:right w:val="nil"/>
            </w:tcBorders>
            <w:vAlign w:val="center"/>
          </w:tcPr>
          <w:p w14:paraId="547D4F55">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b/>
                <w:bCs/>
                <w:sz w:val="21"/>
                <w:szCs w:val="21"/>
              </w:rPr>
              <w:t>综合评分法，是指投标文件满足招标文件全部实质性要求，且按照招标文件规定的各项因素进行综合评审，评标总得分排名前列的投标人为中标候选人的评标方法。</w:t>
            </w:r>
          </w:p>
          <w:p w14:paraId="0E8AC97D">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价格分计算方法：</w:t>
            </w:r>
          </w:p>
          <w:p w14:paraId="7416A746">
            <w:pPr>
              <w:keepNext w:val="0"/>
              <w:keepLines w:val="0"/>
              <w:pageBreakBefore w:val="0"/>
              <w:widowControl/>
              <w:kinsoku/>
              <w:wordWrap/>
              <w:overflowPunct/>
              <w:topLinePunct w:val="0"/>
              <w:autoSpaceDE/>
              <w:autoSpaceDN/>
              <w:bidi w:val="0"/>
              <w:adjustRightInd/>
              <w:snapToGrid/>
              <w:spacing w:beforeAutospacing="0" w:afterAutospacing="0" w:line="240" w:lineRule="auto"/>
              <w:ind w:left="0" w:firstLine="420" w:firstLineChars="200"/>
              <w:jc w:val="left"/>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 xml:space="preserve">采用低价优先法计算，即满足招标文件要求且投标价格最低的投标报价为评标基准价，其价格分为满分。其他投标人的价格分统一按照下列公式计算： </w:t>
            </w:r>
          </w:p>
          <w:p w14:paraId="6BCC0D4F">
            <w:pPr>
              <w:keepNext w:val="0"/>
              <w:keepLines w:val="0"/>
              <w:pageBreakBefore w:val="0"/>
              <w:widowControl/>
              <w:kinsoku/>
              <w:wordWrap/>
              <w:overflowPunct/>
              <w:topLinePunct w:val="0"/>
              <w:autoSpaceDE/>
              <w:autoSpaceDN/>
              <w:bidi w:val="0"/>
              <w:adjustRightInd/>
              <w:snapToGrid/>
              <w:spacing w:beforeAutospacing="0" w:afterAutospacing="0" w:line="240" w:lineRule="auto"/>
              <w:ind w:left="0" w:firstLine="420" w:firstLineChars="200"/>
              <w:jc w:val="left"/>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 xml:space="preserve">投标报价得分=(评标基准价／投标报价)×100 </w:t>
            </w:r>
          </w:p>
          <w:p w14:paraId="1DAAE6F3">
            <w:pPr>
              <w:keepNext w:val="0"/>
              <w:keepLines w:val="0"/>
              <w:pageBreakBefore w:val="0"/>
              <w:widowControl/>
              <w:kinsoku/>
              <w:wordWrap/>
              <w:overflowPunct/>
              <w:topLinePunct w:val="0"/>
              <w:autoSpaceDE/>
              <w:autoSpaceDN/>
              <w:bidi w:val="0"/>
              <w:adjustRightInd/>
              <w:snapToGrid/>
              <w:spacing w:beforeAutospacing="0" w:afterAutospacing="0" w:line="240" w:lineRule="auto"/>
              <w:ind w:left="0" w:firstLine="420" w:firstLineChars="200"/>
              <w:jc w:val="left"/>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 xml:space="preserve">评标总得分＝F1×A1＋F2×A2＋……＋Fn×An </w:t>
            </w:r>
          </w:p>
          <w:p w14:paraId="3E595AF4">
            <w:pPr>
              <w:keepNext w:val="0"/>
              <w:keepLines w:val="0"/>
              <w:pageBreakBefore w:val="0"/>
              <w:widowControl/>
              <w:kinsoku/>
              <w:wordWrap/>
              <w:overflowPunct/>
              <w:topLinePunct w:val="0"/>
              <w:autoSpaceDE/>
              <w:autoSpaceDN/>
              <w:bidi w:val="0"/>
              <w:adjustRightInd/>
              <w:snapToGrid/>
              <w:spacing w:beforeAutospacing="0" w:afterAutospacing="0" w:line="240" w:lineRule="auto"/>
              <w:ind w:left="0" w:firstLine="420" w:firstLineChars="200"/>
              <w:jc w:val="left"/>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 xml:space="preserve">F1、F2……Fn分别为各项评审因素的得分； </w:t>
            </w:r>
          </w:p>
          <w:p w14:paraId="25D69752">
            <w:pPr>
              <w:keepNext w:val="0"/>
              <w:keepLines w:val="0"/>
              <w:pageBreakBefore w:val="0"/>
              <w:widowControl/>
              <w:kinsoku/>
              <w:wordWrap/>
              <w:overflowPunct/>
              <w:topLinePunct w:val="0"/>
              <w:autoSpaceDE/>
              <w:autoSpaceDN/>
              <w:bidi w:val="0"/>
              <w:adjustRightInd/>
              <w:snapToGrid/>
              <w:spacing w:beforeAutospacing="0" w:afterAutospacing="0" w:line="240" w:lineRule="auto"/>
              <w:ind w:left="0" w:firstLine="420" w:firstLineChars="200"/>
              <w:jc w:val="left"/>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 xml:space="preserve">A1、A2、……An 分别为各项评审因素所占的权重(A1＋A2＋……＋An＝1)。 </w:t>
            </w:r>
          </w:p>
          <w:p w14:paraId="5CB8D3B3">
            <w:pPr>
              <w:keepNext w:val="0"/>
              <w:keepLines w:val="0"/>
              <w:pageBreakBefore w:val="0"/>
              <w:widowControl/>
              <w:kinsoku/>
              <w:wordWrap/>
              <w:overflowPunct/>
              <w:topLinePunct w:val="0"/>
              <w:autoSpaceDE/>
              <w:autoSpaceDN/>
              <w:bidi w:val="0"/>
              <w:adjustRightInd/>
              <w:snapToGrid/>
              <w:spacing w:beforeAutospacing="0" w:afterAutospacing="0" w:line="240" w:lineRule="auto"/>
              <w:ind w:left="0" w:firstLine="420" w:firstLineChars="200"/>
              <w:jc w:val="left"/>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评标过程中，不得去掉报价中的最高报价和最低报价。</w:t>
            </w:r>
          </w:p>
          <w:p w14:paraId="4047072F">
            <w:pPr>
              <w:pStyle w:val="43"/>
              <w:spacing w:beforeAutospacing="0" w:afterAutospacing="0" w:line="240" w:lineRule="auto"/>
              <w:ind w:left="0" w:firstLine="420" w:firstLineChars="200"/>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因落实政府采购政策进行价格调整的，以调整后的价格计算评标基准价和投标报价。</w:t>
            </w:r>
          </w:p>
          <w:tbl>
            <w:tblPr>
              <w:tblStyle w:val="48"/>
              <w:tblW w:w="4997" w:type="pct"/>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20" w:type="dxa"/>
                <w:left w:w="108" w:type="dxa"/>
                <w:bottom w:w="20" w:type="dxa"/>
                <w:right w:w="108" w:type="dxa"/>
              </w:tblCellMar>
            </w:tblPr>
            <w:tblGrid>
              <w:gridCol w:w="682"/>
              <w:gridCol w:w="725"/>
              <w:gridCol w:w="2427"/>
              <w:gridCol w:w="641"/>
              <w:gridCol w:w="4482"/>
            </w:tblGrid>
            <w:tr w14:paraId="124DA55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380" w:type="pct"/>
                  <w:tcBorders>
                    <w:top w:val="single" w:color="000000" w:sz="8" w:space="0"/>
                    <w:left w:val="single" w:color="000000" w:sz="8" w:space="0"/>
                    <w:bottom w:val="single" w:color="000000" w:sz="8" w:space="0"/>
                    <w:right w:val="single" w:color="000000" w:sz="8" w:space="0"/>
                  </w:tcBorders>
                  <w:shd w:val="clear" w:color="auto" w:fill="E6EFFA"/>
                  <w:vAlign w:val="center"/>
                </w:tcPr>
                <w:p w14:paraId="485AC428">
                  <w:pPr>
                    <w:keepNext w:val="0"/>
                    <w:pageBreakBefore w:val="0"/>
                    <w:kinsoku/>
                    <w:wordWrap w:val="0"/>
                    <w:overflowPunct/>
                    <w:topLinePunct w:val="0"/>
                    <w:bidi w:val="0"/>
                    <w:snapToGrid/>
                    <w:spacing w:line="240" w:lineRule="auto"/>
                    <w:jc w:val="center"/>
                    <w:rPr>
                      <w:rFonts w:hint="eastAsia" w:ascii="宋体" w:hAnsi="宋体" w:eastAsia="宋体" w:cs="宋体"/>
                      <w:b/>
                      <w:bCs/>
                      <w:sz w:val="21"/>
                      <w:szCs w:val="21"/>
                      <w:highlight w:val="none"/>
                    </w:rPr>
                  </w:pPr>
                  <w:r>
                    <w:rPr>
                      <w:rFonts w:hint="eastAsia" w:ascii="宋体" w:hAnsi="宋体" w:eastAsia="宋体" w:cs="宋体"/>
                      <w:b/>
                      <w:bCs/>
                      <w:sz w:val="21"/>
                      <w:szCs w:val="21"/>
                      <w:highlight w:val="none"/>
                    </w:rPr>
                    <w:t>序号</w:t>
                  </w:r>
                </w:p>
              </w:tc>
              <w:tc>
                <w:tcPr>
                  <w:tcW w:w="2117" w:type="pct"/>
                  <w:gridSpan w:val="3"/>
                  <w:tcBorders>
                    <w:top w:val="single" w:color="000000" w:sz="8" w:space="0"/>
                    <w:left w:val="single" w:color="000000" w:sz="8" w:space="0"/>
                    <w:bottom w:val="single" w:color="000000" w:sz="8" w:space="0"/>
                    <w:right w:val="single" w:color="000000" w:sz="8" w:space="0"/>
                  </w:tcBorders>
                  <w:shd w:val="clear" w:color="auto" w:fill="E6EFFA"/>
                  <w:vAlign w:val="center"/>
                </w:tcPr>
                <w:p w14:paraId="21E58AFD">
                  <w:pPr>
                    <w:keepNext w:val="0"/>
                    <w:pageBreakBefore w:val="0"/>
                    <w:kinsoku/>
                    <w:wordWrap w:val="0"/>
                    <w:overflowPunct/>
                    <w:topLinePunct w:val="0"/>
                    <w:bidi w:val="0"/>
                    <w:snapToGrid/>
                    <w:spacing w:line="240" w:lineRule="auto"/>
                    <w:jc w:val="center"/>
                    <w:rPr>
                      <w:rFonts w:hint="eastAsia" w:ascii="宋体" w:hAnsi="宋体" w:eastAsia="宋体" w:cs="宋体"/>
                      <w:b/>
                      <w:bCs/>
                      <w:sz w:val="21"/>
                      <w:szCs w:val="21"/>
                      <w:highlight w:val="none"/>
                    </w:rPr>
                  </w:pPr>
                  <w:r>
                    <w:rPr>
                      <w:rFonts w:hint="eastAsia" w:ascii="宋体" w:hAnsi="宋体" w:eastAsia="宋体" w:cs="宋体"/>
                      <w:b/>
                      <w:bCs/>
                      <w:sz w:val="21"/>
                      <w:szCs w:val="21"/>
                      <w:highlight w:val="none"/>
                    </w:rPr>
                    <w:t>评分项</w:t>
                  </w:r>
                </w:p>
              </w:tc>
              <w:tc>
                <w:tcPr>
                  <w:tcW w:w="2501" w:type="pct"/>
                  <w:tcBorders>
                    <w:top w:val="single" w:color="000000" w:sz="8" w:space="0"/>
                    <w:left w:val="single" w:color="000000" w:sz="8" w:space="0"/>
                    <w:bottom w:val="single" w:color="000000" w:sz="8" w:space="0"/>
                    <w:right w:val="single" w:color="000000" w:sz="8" w:space="0"/>
                  </w:tcBorders>
                  <w:shd w:val="clear" w:color="auto" w:fill="E6EFFA"/>
                  <w:vAlign w:val="center"/>
                </w:tcPr>
                <w:p w14:paraId="311F91FB">
                  <w:pPr>
                    <w:keepNext w:val="0"/>
                    <w:pageBreakBefore w:val="0"/>
                    <w:kinsoku/>
                    <w:wordWrap w:val="0"/>
                    <w:overflowPunct/>
                    <w:topLinePunct w:val="0"/>
                    <w:bidi w:val="0"/>
                    <w:snapToGrid/>
                    <w:spacing w:line="240" w:lineRule="auto"/>
                    <w:jc w:val="center"/>
                    <w:rPr>
                      <w:rFonts w:hint="eastAsia" w:ascii="宋体" w:hAnsi="宋体" w:eastAsia="宋体" w:cs="宋体"/>
                      <w:b/>
                      <w:bCs/>
                      <w:sz w:val="21"/>
                      <w:szCs w:val="21"/>
                      <w:highlight w:val="none"/>
                    </w:rPr>
                  </w:pPr>
                  <w:r>
                    <w:rPr>
                      <w:rFonts w:hint="eastAsia" w:ascii="宋体" w:hAnsi="宋体" w:eastAsia="宋体" w:cs="宋体"/>
                      <w:b/>
                      <w:bCs/>
                      <w:sz w:val="21"/>
                      <w:szCs w:val="21"/>
                      <w:highlight w:val="none"/>
                    </w:rPr>
                    <w:t>权重</w:t>
                  </w:r>
                  <w:r>
                    <w:rPr>
                      <w:rFonts w:hint="eastAsia" w:ascii="宋体" w:hAnsi="宋体" w:eastAsia="宋体" w:cs="宋体"/>
                      <w:b/>
                      <w:bCs/>
                      <w:sz w:val="21"/>
                      <w:szCs w:val="21"/>
                      <w:highlight w:val="none"/>
                      <w:lang w:eastAsia="zh-CN"/>
                    </w:rPr>
                    <w:t>（</w:t>
                  </w:r>
                  <w:r>
                    <w:rPr>
                      <w:rFonts w:hint="eastAsia" w:ascii="宋体" w:hAnsi="宋体" w:eastAsia="宋体" w:cs="宋体"/>
                      <w:b/>
                      <w:bCs/>
                      <w:sz w:val="21"/>
                      <w:szCs w:val="21"/>
                      <w:highlight w:val="none"/>
                    </w:rPr>
                    <w:t>%</w:t>
                  </w:r>
                  <w:r>
                    <w:rPr>
                      <w:rFonts w:hint="eastAsia" w:ascii="宋体" w:hAnsi="宋体" w:eastAsia="宋体" w:cs="宋体"/>
                      <w:b/>
                      <w:bCs/>
                      <w:sz w:val="21"/>
                      <w:szCs w:val="21"/>
                      <w:highlight w:val="none"/>
                      <w:lang w:eastAsia="zh-CN"/>
                    </w:rPr>
                    <w:t>）</w:t>
                  </w:r>
                </w:p>
              </w:tc>
            </w:tr>
            <w:tr w14:paraId="5D44B35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380" w:type="pct"/>
                  <w:vMerge w:val="restart"/>
                  <w:tcBorders>
                    <w:top w:val="single" w:color="000000" w:sz="8" w:space="0"/>
                    <w:left w:val="single" w:color="000000" w:sz="8" w:space="0"/>
                    <w:bottom w:val="single" w:color="000000" w:sz="8" w:space="0"/>
                    <w:right w:val="single" w:color="000000" w:sz="8" w:space="0"/>
                  </w:tcBorders>
                </w:tcPr>
                <w:p w14:paraId="3FCA7157">
                  <w:pPr>
                    <w:keepNext w:val="0"/>
                    <w:pageBreakBefore w:val="0"/>
                    <w:kinsoku/>
                    <w:wordWrap w:val="0"/>
                    <w:overflowPunct/>
                    <w:topLinePunct w:val="0"/>
                    <w:bidi w:val="0"/>
                    <w:snapToGrid/>
                    <w:spacing w:line="240" w:lineRule="auto"/>
                    <w:jc w:val="center"/>
                    <w:rPr>
                      <w:rFonts w:hint="eastAsia" w:ascii="宋体" w:hAnsi="宋体" w:eastAsia="宋体" w:cs="宋体"/>
                      <w:b/>
                      <w:bCs/>
                      <w:color w:val="0000FF"/>
                      <w:sz w:val="21"/>
                      <w:szCs w:val="21"/>
                      <w:highlight w:val="none"/>
                      <w:lang w:val="en-US" w:eastAsia="zh-CN"/>
                    </w:rPr>
                  </w:pPr>
                  <w:r>
                    <w:rPr>
                      <w:rFonts w:hint="eastAsia" w:ascii="宋体" w:hAnsi="宋体" w:eastAsia="宋体" w:cs="宋体"/>
                      <w:b/>
                      <w:bCs/>
                      <w:color w:val="0000FF"/>
                      <w:sz w:val="21"/>
                      <w:szCs w:val="21"/>
                      <w:highlight w:val="none"/>
                      <w:lang w:val="en-US" w:eastAsia="zh-CN"/>
                    </w:rPr>
                    <w:t>1</w:t>
                  </w:r>
                </w:p>
              </w:tc>
              <w:tc>
                <w:tcPr>
                  <w:tcW w:w="2117" w:type="pct"/>
                  <w:gridSpan w:val="3"/>
                  <w:tcBorders>
                    <w:top w:val="single" w:color="000000" w:sz="8" w:space="0"/>
                    <w:left w:val="single" w:color="000000" w:sz="8" w:space="0"/>
                    <w:bottom w:val="single" w:color="000000" w:sz="8" w:space="0"/>
                    <w:right w:val="single" w:color="000000" w:sz="8" w:space="0"/>
                  </w:tcBorders>
                  <w:vAlign w:val="center"/>
                </w:tcPr>
                <w:p w14:paraId="7B5ACDB0">
                  <w:pPr>
                    <w:keepNext w:val="0"/>
                    <w:pageBreakBefore w:val="0"/>
                    <w:kinsoku/>
                    <w:wordWrap w:val="0"/>
                    <w:overflowPunct/>
                    <w:topLinePunct w:val="0"/>
                    <w:bidi w:val="0"/>
                    <w:snapToGrid/>
                    <w:spacing w:line="240" w:lineRule="auto"/>
                    <w:jc w:val="center"/>
                    <w:rPr>
                      <w:rFonts w:hint="eastAsia" w:ascii="宋体" w:hAnsi="宋体" w:eastAsia="宋体" w:cs="宋体"/>
                      <w:b/>
                      <w:bCs/>
                      <w:color w:val="0000FF"/>
                      <w:sz w:val="21"/>
                      <w:szCs w:val="21"/>
                      <w:highlight w:val="none"/>
                      <w:lang w:val="en-US" w:eastAsia="zh-CN"/>
                    </w:rPr>
                  </w:pPr>
                  <w:r>
                    <w:rPr>
                      <w:rFonts w:hint="eastAsia" w:ascii="宋体" w:hAnsi="宋体" w:eastAsia="宋体" w:cs="宋体"/>
                      <w:b/>
                      <w:bCs/>
                      <w:color w:val="0000FF"/>
                      <w:sz w:val="21"/>
                      <w:szCs w:val="21"/>
                      <w:highlight w:val="none"/>
                      <w:lang w:val="en-US" w:eastAsia="zh-CN"/>
                    </w:rPr>
                    <w:t>价格部分</w:t>
                  </w:r>
                </w:p>
              </w:tc>
              <w:tc>
                <w:tcPr>
                  <w:tcW w:w="2501" w:type="pct"/>
                  <w:tcBorders>
                    <w:top w:val="single" w:color="000000" w:sz="8" w:space="0"/>
                    <w:left w:val="single" w:color="000000" w:sz="8" w:space="0"/>
                    <w:bottom w:val="single" w:color="000000" w:sz="8" w:space="0"/>
                    <w:right w:val="single" w:color="000000" w:sz="8" w:space="0"/>
                  </w:tcBorders>
                  <w:vAlign w:val="center"/>
                </w:tcPr>
                <w:p w14:paraId="75B1FC1F">
                  <w:pPr>
                    <w:keepNext w:val="0"/>
                    <w:pageBreakBefore w:val="0"/>
                    <w:kinsoku/>
                    <w:wordWrap w:val="0"/>
                    <w:overflowPunct/>
                    <w:topLinePunct w:val="0"/>
                    <w:bidi w:val="0"/>
                    <w:snapToGrid/>
                    <w:spacing w:line="240" w:lineRule="auto"/>
                    <w:jc w:val="center"/>
                    <w:rPr>
                      <w:rFonts w:hint="eastAsia" w:ascii="宋体" w:hAnsi="宋体" w:eastAsia="宋体" w:cs="宋体"/>
                      <w:b/>
                      <w:bCs/>
                      <w:color w:val="0000FF"/>
                      <w:sz w:val="21"/>
                      <w:szCs w:val="21"/>
                      <w:highlight w:val="none"/>
                      <w:lang w:val="en-US" w:eastAsia="zh-CN"/>
                    </w:rPr>
                  </w:pPr>
                  <w:r>
                    <w:rPr>
                      <w:rFonts w:hint="eastAsia" w:ascii="宋体" w:hAnsi="宋体" w:eastAsia="宋体" w:cs="宋体"/>
                      <w:b/>
                      <w:bCs/>
                      <w:color w:val="0000FF"/>
                      <w:sz w:val="21"/>
                      <w:szCs w:val="21"/>
                      <w:highlight w:val="none"/>
                      <w:lang w:val="en-US" w:eastAsia="zh-CN"/>
                    </w:rPr>
                    <w:t>10</w:t>
                  </w:r>
                </w:p>
              </w:tc>
            </w:tr>
            <w:tr w14:paraId="1A03BC4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380" w:type="pct"/>
                  <w:vMerge w:val="continue"/>
                  <w:tcBorders>
                    <w:top w:val="single" w:color="000000" w:sz="8" w:space="0"/>
                    <w:left w:val="single" w:color="000000" w:sz="8" w:space="0"/>
                    <w:bottom w:val="single" w:color="000000" w:sz="8" w:space="0"/>
                    <w:right w:val="single" w:color="000000" w:sz="8" w:space="0"/>
                  </w:tcBorders>
                  <w:vAlign w:val="center"/>
                </w:tcPr>
                <w:p w14:paraId="545560B1">
                  <w:pPr>
                    <w:keepNext w:val="0"/>
                    <w:pageBreakBefore w:val="0"/>
                    <w:kinsoku/>
                    <w:wordWrap w:val="0"/>
                    <w:overflowPunct/>
                    <w:topLinePunct w:val="0"/>
                    <w:bidi w:val="0"/>
                    <w:snapToGrid/>
                    <w:spacing w:line="240" w:lineRule="auto"/>
                    <w:jc w:val="center"/>
                    <w:rPr>
                      <w:rFonts w:hint="eastAsia" w:ascii="宋体" w:hAnsi="宋体" w:eastAsia="宋体" w:cs="宋体"/>
                      <w:b/>
                      <w:bCs/>
                      <w:color w:val="0000FF"/>
                      <w:sz w:val="21"/>
                      <w:szCs w:val="21"/>
                      <w:highlight w:val="none"/>
                      <w:lang w:val="en-US" w:eastAsia="zh-CN"/>
                    </w:rPr>
                  </w:pPr>
                </w:p>
              </w:tc>
              <w:tc>
                <w:tcPr>
                  <w:tcW w:w="4619" w:type="pct"/>
                  <w:gridSpan w:val="4"/>
                  <w:tcBorders>
                    <w:top w:val="single" w:color="000000" w:sz="8" w:space="0"/>
                    <w:left w:val="single" w:color="000000" w:sz="8" w:space="0"/>
                    <w:bottom w:val="single" w:color="000000" w:sz="8" w:space="0"/>
                    <w:right w:val="single" w:color="000000" w:sz="8" w:space="0"/>
                  </w:tcBorders>
                </w:tcPr>
                <w:p w14:paraId="16864E69">
                  <w:pPr>
                    <w:keepNext w:val="0"/>
                    <w:pageBreakBefore w:val="0"/>
                    <w:kinsoku/>
                    <w:wordWrap w:val="0"/>
                    <w:overflowPunct/>
                    <w:topLinePunct w:val="0"/>
                    <w:bidi w:val="0"/>
                    <w:snapToGrid/>
                    <w:spacing w:line="240" w:lineRule="auto"/>
                    <w:jc w:val="center"/>
                    <w:rPr>
                      <w:rFonts w:hint="eastAsia" w:ascii="宋体" w:hAnsi="宋体" w:eastAsia="宋体" w:cs="宋体"/>
                      <w:b/>
                      <w:bCs/>
                      <w:color w:val="0000FF"/>
                      <w:sz w:val="21"/>
                      <w:szCs w:val="21"/>
                      <w:highlight w:val="none"/>
                      <w:lang w:val="en-US" w:eastAsia="zh-CN"/>
                    </w:rPr>
                  </w:pPr>
                </w:p>
              </w:tc>
            </w:tr>
            <w:tr w14:paraId="6763F5A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90" w:hRule="atLeast"/>
                <w:jc w:val="center"/>
              </w:trPr>
              <w:tc>
                <w:tcPr>
                  <w:tcW w:w="380" w:type="pct"/>
                  <w:vMerge w:val="restart"/>
                  <w:tcBorders>
                    <w:top w:val="single" w:color="000000" w:sz="8" w:space="0"/>
                    <w:left w:val="single" w:color="000000" w:sz="8" w:space="0"/>
                    <w:bottom w:val="single" w:color="000000" w:sz="8" w:space="0"/>
                    <w:right w:val="single" w:color="000000" w:sz="8" w:space="0"/>
                  </w:tcBorders>
                </w:tcPr>
                <w:p w14:paraId="55C31428">
                  <w:pPr>
                    <w:keepNext w:val="0"/>
                    <w:pageBreakBefore w:val="0"/>
                    <w:kinsoku/>
                    <w:wordWrap w:val="0"/>
                    <w:overflowPunct/>
                    <w:topLinePunct w:val="0"/>
                    <w:bidi w:val="0"/>
                    <w:snapToGrid/>
                    <w:spacing w:line="240" w:lineRule="auto"/>
                    <w:jc w:val="center"/>
                    <w:rPr>
                      <w:rFonts w:hint="eastAsia" w:ascii="宋体" w:hAnsi="宋体" w:eastAsia="宋体" w:cs="宋体"/>
                      <w:b/>
                      <w:bCs/>
                      <w:color w:val="0000FF"/>
                      <w:sz w:val="21"/>
                      <w:szCs w:val="21"/>
                      <w:highlight w:val="none"/>
                      <w:lang w:val="en-US" w:eastAsia="zh-CN"/>
                    </w:rPr>
                  </w:pPr>
                  <w:r>
                    <w:rPr>
                      <w:rFonts w:hint="eastAsia" w:ascii="宋体" w:hAnsi="宋体" w:eastAsia="宋体" w:cs="宋体"/>
                      <w:b/>
                      <w:bCs/>
                      <w:color w:val="0000FF"/>
                      <w:sz w:val="21"/>
                      <w:szCs w:val="21"/>
                      <w:highlight w:val="none"/>
                      <w:lang w:val="en-US" w:eastAsia="zh-CN"/>
                    </w:rPr>
                    <w:t>2</w:t>
                  </w:r>
                </w:p>
              </w:tc>
              <w:tc>
                <w:tcPr>
                  <w:tcW w:w="2117" w:type="pct"/>
                  <w:gridSpan w:val="3"/>
                  <w:tcBorders>
                    <w:top w:val="single" w:color="000000" w:sz="8" w:space="0"/>
                    <w:left w:val="single" w:color="000000" w:sz="8" w:space="0"/>
                    <w:bottom w:val="single" w:color="000000" w:sz="8" w:space="0"/>
                    <w:right w:val="single" w:color="000000" w:sz="8" w:space="0"/>
                  </w:tcBorders>
                  <w:vAlign w:val="center"/>
                </w:tcPr>
                <w:p w14:paraId="1F81D01D">
                  <w:pPr>
                    <w:keepNext w:val="0"/>
                    <w:pageBreakBefore w:val="0"/>
                    <w:kinsoku/>
                    <w:wordWrap w:val="0"/>
                    <w:overflowPunct/>
                    <w:topLinePunct w:val="0"/>
                    <w:bidi w:val="0"/>
                    <w:snapToGrid/>
                    <w:spacing w:line="240" w:lineRule="auto"/>
                    <w:jc w:val="center"/>
                    <w:rPr>
                      <w:rFonts w:hint="eastAsia" w:ascii="宋体" w:hAnsi="宋体" w:eastAsia="宋体" w:cs="宋体"/>
                      <w:b/>
                      <w:bCs/>
                      <w:color w:val="0000FF"/>
                      <w:sz w:val="21"/>
                      <w:szCs w:val="21"/>
                      <w:highlight w:val="none"/>
                      <w:lang w:val="en-US" w:eastAsia="zh-CN"/>
                    </w:rPr>
                  </w:pPr>
                  <w:r>
                    <w:rPr>
                      <w:rFonts w:hint="eastAsia" w:ascii="宋体" w:hAnsi="宋体" w:eastAsia="宋体" w:cs="宋体"/>
                      <w:b/>
                      <w:bCs/>
                      <w:color w:val="0000FF"/>
                      <w:sz w:val="21"/>
                      <w:szCs w:val="21"/>
                      <w:highlight w:val="none"/>
                      <w:lang w:val="en-US" w:eastAsia="zh-CN"/>
                    </w:rPr>
                    <w:t>综合实力部分</w:t>
                  </w:r>
                </w:p>
              </w:tc>
              <w:tc>
                <w:tcPr>
                  <w:tcW w:w="2501" w:type="pct"/>
                  <w:tcBorders>
                    <w:top w:val="single" w:color="000000" w:sz="8" w:space="0"/>
                    <w:left w:val="single" w:color="000000" w:sz="8" w:space="0"/>
                    <w:bottom w:val="single" w:color="000000" w:sz="8" w:space="0"/>
                    <w:right w:val="single" w:color="000000" w:sz="8" w:space="0"/>
                  </w:tcBorders>
                  <w:vAlign w:val="center"/>
                </w:tcPr>
                <w:p w14:paraId="080C0BA9">
                  <w:pPr>
                    <w:keepNext w:val="0"/>
                    <w:pageBreakBefore w:val="0"/>
                    <w:kinsoku/>
                    <w:wordWrap w:val="0"/>
                    <w:overflowPunct/>
                    <w:topLinePunct w:val="0"/>
                    <w:bidi w:val="0"/>
                    <w:snapToGrid/>
                    <w:spacing w:line="240" w:lineRule="auto"/>
                    <w:jc w:val="center"/>
                    <w:rPr>
                      <w:rFonts w:hint="eastAsia" w:ascii="宋体" w:hAnsi="宋体" w:eastAsia="宋体" w:cs="宋体"/>
                      <w:b/>
                      <w:bCs/>
                      <w:color w:val="0000FF"/>
                      <w:sz w:val="21"/>
                      <w:szCs w:val="21"/>
                      <w:highlight w:val="none"/>
                      <w:lang w:val="en-US" w:eastAsia="zh-CN"/>
                    </w:rPr>
                  </w:pPr>
                  <w:r>
                    <w:rPr>
                      <w:rFonts w:hint="eastAsia" w:ascii="宋体" w:hAnsi="宋体" w:eastAsia="宋体" w:cs="宋体"/>
                      <w:b/>
                      <w:bCs/>
                      <w:color w:val="0000FF"/>
                      <w:sz w:val="21"/>
                      <w:szCs w:val="21"/>
                      <w:highlight w:val="none"/>
                      <w:lang w:val="en-US" w:eastAsia="zh-CN"/>
                    </w:rPr>
                    <w:t>30</w:t>
                  </w:r>
                </w:p>
              </w:tc>
            </w:tr>
            <w:tr w14:paraId="1978BA0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380" w:type="pct"/>
                  <w:vMerge w:val="continue"/>
                  <w:tcBorders>
                    <w:top w:val="single" w:color="000000" w:sz="8" w:space="0"/>
                    <w:left w:val="single" w:color="000000" w:sz="8" w:space="0"/>
                    <w:bottom w:val="single" w:color="000000" w:sz="8" w:space="0"/>
                    <w:right w:val="single" w:color="000000" w:sz="8" w:space="0"/>
                  </w:tcBorders>
                  <w:vAlign w:val="center"/>
                </w:tcPr>
                <w:p w14:paraId="63161174">
                  <w:pPr>
                    <w:keepNext w:val="0"/>
                    <w:pageBreakBefore w:val="0"/>
                    <w:kinsoku/>
                    <w:overflowPunct/>
                    <w:topLinePunct w:val="0"/>
                    <w:bidi w:val="0"/>
                    <w:snapToGrid/>
                    <w:spacing w:line="240" w:lineRule="auto"/>
                    <w:rPr>
                      <w:rFonts w:hint="eastAsia" w:ascii="宋体" w:hAnsi="宋体" w:eastAsia="宋体" w:cs="宋体"/>
                      <w:b/>
                      <w:bCs/>
                      <w:color w:val="0000FF"/>
                      <w:sz w:val="21"/>
                      <w:szCs w:val="21"/>
                      <w:highlight w:val="none"/>
                    </w:rPr>
                  </w:pPr>
                </w:p>
              </w:tc>
              <w:tc>
                <w:tcPr>
                  <w:tcW w:w="4619" w:type="pct"/>
                  <w:gridSpan w:val="4"/>
                  <w:tcBorders>
                    <w:top w:val="single" w:color="000000" w:sz="8" w:space="0"/>
                    <w:left w:val="single" w:color="000000" w:sz="8" w:space="0"/>
                    <w:bottom w:val="single" w:color="000000" w:sz="8" w:space="0"/>
                    <w:right w:val="single" w:color="000000" w:sz="8" w:space="0"/>
                  </w:tcBorders>
                </w:tcPr>
                <w:p w14:paraId="694EB0E9">
                  <w:pPr>
                    <w:keepNext w:val="0"/>
                    <w:pageBreakBefore w:val="0"/>
                    <w:kinsoku/>
                    <w:wordWrap w:val="0"/>
                    <w:overflowPunct/>
                    <w:topLinePunct w:val="0"/>
                    <w:bidi w:val="0"/>
                    <w:snapToGrid/>
                    <w:spacing w:line="240" w:lineRule="auto"/>
                    <w:rPr>
                      <w:rFonts w:hint="eastAsia" w:ascii="宋体" w:hAnsi="宋体" w:eastAsia="宋体" w:cs="宋体"/>
                      <w:sz w:val="21"/>
                      <w:szCs w:val="21"/>
                      <w:highlight w:val="none"/>
                    </w:rPr>
                  </w:pPr>
                </w:p>
              </w:tc>
            </w:tr>
            <w:tr w14:paraId="76175E8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380" w:type="pct"/>
                  <w:vMerge w:val="continue"/>
                  <w:tcBorders>
                    <w:top w:val="single" w:color="000000" w:sz="8" w:space="0"/>
                    <w:left w:val="single" w:color="000000" w:sz="8" w:space="0"/>
                    <w:bottom w:val="single" w:color="000000" w:sz="8" w:space="0"/>
                    <w:right w:val="single" w:color="000000" w:sz="8" w:space="0"/>
                  </w:tcBorders>
                  <w:shd w:val="clear" w:color="auto" w:fill="E6EFFA"/>
                  <w:vAlign w:val="center"/>
                </w:tcPr>
                <w:p w14:paraId="2F2F58CB">
                  <w:pPr>
                    <w:keepNext w:val="0"/>
                    <w:pageBreakBefore w:val="0"/>
                    <w:kinsoku/>
                    <w:overflowPunct/>
                    <w:topLinePunct w:val="0"/>
                    <w:bidi w:val="0"/>
                    <w:snapToGrid/>
                    <w:spacing w:line="240" w:lineRule="auto"/>
                    <w:rPr>
                      <w:rFonts w:hint="eastAsia" w:ascii="宋体" w:hAnsi="宋体" w:eastAsia="宋体" w:cs="宋体"/>
                      <w:b/>
                      <w:bCs/>
                      <w:color w:val="0000FF"/>
                      <w:sz w:val="21"/>
                      <w:szCs w:val="21"/>
                      <w:highlight w:val="none"/>
                    </w:rPr>
                  </w:pPr>
                </w:p>
              </w:tc>
              <w:tc>
                <w:tcPr>
                  <w:tcW w:w="404" w:type="pct"/>
                  <w:tcBorders>
                    <w:top w:val="outset" w:color="000000" w:sz="6" w:space="0"/>
                    <w:left w:val="outset" w:color="000000" w:sz="6" w:space="0"/>
                    <w:bottom w:val="outset" w:color="000000" w:sz="6" w:space="0"/>
                    <w:right w:val="outset" w:color="000000" w:sz="6" w:space="0"/>
                  </w:tcBorders>
                  <w:shd w:val="clear" w:color="auto" w:fill="E6EFFA"/>
                  <w:vAlign w:val="center"/>
                </w:tcPr>
                <w:p w14:paraId="1A96DD01">
                  <w:pPr>
                    <w:keepNext w:val="0"/>
                    <w:pageBreakBefore w:val="0"/>
                    <w:kinsoku/>
                    <w:wordWrap w:val="0"/>
                    <w:overflowPunct/>
                    <w:topLinePunct w:val="0"/>
                    <w:bidi w:val="0"/>
                    <w:snapToGrid/>
                    <w:spacing w:line="240" w:lineRule="auto"/>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序号</w:t>
                  </w:r>
                </w:p>
              </w:tc>
              <w:tc>
                <w:tcPr>
                  <w:tcW w:w="1354" w:type="pct"/>
                  <w:tcBorders>
                    <w:top w:val="outset" w:color="000000" w:sz="6" w:space="0"/>
                    <w:left w:val="outset" w:color="000000" w:sz="6" w:space="0"/>
                    <w:bottom w:val="outset" w:color="000000" w:sz="6" w:space="0"/>
                    <w:right w:val="outset" w:color="000000" w:sz="6" w:space="0"/>
                  </w:tcBorders>
                  <w:shd w:val="clear" w:color="auto" w:fill="E6EFFA"/>
                  <w:vAlign w:val="center"/>
                </w:tcPr>
                <w:p w14:paraId="57C3F657">
                  <w:pPr>
                    <w:keepNext w:val="0"/>
                    <w:pageBreakBefore w:val="0"/>
                    <w:kinsoku/>
                    <w:wordWrap w:val="0"/>
                    <w:overflowPunct/>
                    <w:topLinePunct w:val="0"/>
                    <w:bidi w:val="0"/>
                    <w:snapToGrid/>
                    <w:spacing w:line="240" w:lineRule="auto"/>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评分因素</w:t>
                  </w:r>
                </w:p>
              </w:tc>
              <w:tc>
                <w:tcPr>
                  <w:tcW w:w="357" w:type="pct"/>
                  <w:tcBorders>
                    <w:top w:val="outset" w:color="000000" w:sz="6" w:space="0"/>
                    <w:left w:val="outset" w:color="000000" w:sz="6" w:space="0"/>
                    <w:bottom w:val="outset" w:color="000000" w:sz="6" w:space="0"/>
                    <w:right w:val="outset" w:color="000000" w:sz="6" w:space="0"/>
                  </w:tcBorders>
                  <w:shd w:val="clear" w:color="auto" w:fill="E6EFFA"/>
                  <w:vAlign w:val="center"/>
                </w:tcPr>
                <w:p w14:paraId="28AB5A6E">
                  <w:pPr>
                    <w:keepNext w:val="0"/>
                    <w:pageBreakBefore w:val="0"/>
                    <w:kinsoku/>
                    <w:wordWrap w:val="0"/>
                    <w:overflowPunct/>
                    <w:topLinePunct w:val="0"/>
                    <w:bidi w:val="0"/>
                    <w:snapToGrid/>
                    <w:spacing w:line="240" w:lineRule="auto"/>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权重</w:t>
                  </w: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rPr>
                    <w:t>%</w:t>
                  </w:r>
                  <w:r>
                    <w:rPr>
                      <w:rFonts w:hint="eastAsia" w:ascii="宋体" w:hAnsi="宋体" w:eastAsia="宋体" w:cs="宋体"/>
                      <w:sz w:val="21"/>
                      <w:szCs w:val="21"/>
                      <w:highlight w:val="none"/>
                      <w:lang w:eastAsia="zh-CN"/>
                    </w:rPr>
                    <w:t>）</w:t>
                  </w:r>
                </w:p>
              </w:tc>
              <w:tc>
                <w:tcPr>
                  <w:tcW w:w="2501" w:type="pct"/>
                  <w:tcBorders>
                    <w:top w:val="outset" w:color="000000" w:sz="6" w:space="0"/>
                    <w:left w:val="outset" w:color="000000" w:sz="6" w:space="0"/>
                    <w:bottom w:val="outset" w:color="000000" w:sz="6" w:space="0"/>
                    <w:right w:val="outset" w:color="000000" w:sz="6" w:space="0"/>
                  </w:tcBorders>
                  <w:shd w:val="clear" w:color="auto" w:fill="E6EFFA"/>
                  <w:vAlign w:val="center"/>
                </w:tcPr>
                <w:p w14:paraId="014AD6FB">
                  <w:pPr>
                    <w:keepNext w:val="0"/>
                    <w:pageBreakBefore w:val="0"/>
                    <w:kinsoku/>
                    <w:wordWrap w:val="0"/>
                    <w:overflowPunct/>
                    <w:topLinePunct w:val="0"/>
                    <w:bidi w:val="0"/>
                    <w:snapToGrid/>
                    <w:spacing w:line="240" w:lineRule="auto"/>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评分准则</w:t>
                  </w:r>
                </w:p>
              </w:tc>
            </w:tr>
            <w:tr w14:paraId="19262B4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2460" w:hRule="atLeast"/>
                <w:jc w:val="center"/>
              </w:trPr>
              <w:tc>
                <w:tcPr>
                  <w:tcW w:w="380" w:type="pct"/>
                  <w:vMerge w:val="continue"/>
                  <w:tcBorders>
                    <w:top w:val="single" w:color="000000" w:sz="8" w:space="0"/>
                    <w:left w:val="single" w:color="000000" w:sz="8" w:space="0"/>
                    <w:bottom w:val="single" w:color="000000" w:sz="8" w:space="0"/>
                    <w:right w:val="single" w:color="000000" w:sz="8" w:space="0"/>
                  </w:tcBorders>
                  <w:vAlign w:val="center"/>
                </w:tcPr>
                <w:p w14:paraId="055EBA93">
                  <w:pPr>
                    <w:keepNext w:val="0"/>
                    <w:pageBreakBefore w:val="0"/>
                    <w:kinsoku/>
                    <w:overflowPunct/>
                    <w:topLinePunct w:val="0"/>
                    <w:bidi w:val="0"/>
                    <w:snapToGrid/>
                    <w:spacing w:line="240" w:lineRule="auto"/>
                    <w:rPr>
                      <w:rFonts w:hint="eastAsia" w:ascii="宋体" w:hAnsi="宋体" w:eastAsia="宋体" w:cs="宋体"/>
                      <w:b/>
                      <w:bCs/>
                      <w:color w:val="0000FF"/>
                      <w:sz w:val="21"/>
                      <w:szCs w:val="21"/>
                      <w:highlight w:val="none"/>
                    </w:rPr>
                  </w:pPr>
                </w:p>
              </w:tc>
              <w:tc>
                <w:tcPr>
                  <w:tcW w:w="404" w:type="pct"/>
                  <w:tcBorders>
                    <w:top w:val="single" w:color="000000" w:sz="8" w:space="0"/>
                    <w:left w:val="single" w:color="000000" w:sz="8" w:space="0"/>
                    <w:bottom w:val="single" w:color="000000" w:sz="8" w:space="0"/>
                    <w:right w:val="single" w:color="000000" w:sz="8" w:space="0"/>
                  </w:tcBorders>
                  <w:vAlign w:val="center"/>
                </w:tcPr>
                <w:p w14:paraId="6573560B">
                  <w:pPr>
                    <w:keepNext w:val="0"/>
                    <w:keepLines/>
                    <w:pageBreakBefore w:val="0"/>
                    <w:widowControl w:val="0"/>
                    <w:kinsoku/>
                    <w:overflowPunct/>
                    <w:topLinePunct w:val="0"/>
                    <w:bidi w:val="0"/>
                    <w:snapToGrid/>
                    <w:jc w:val="center"/>
                    <w:textAlignment w:val="auto"/>
                    <w:rPr>
                      <w:rFonts w:hint="eastAsia" w:ascii="宋体" w:hAnsi="宋体" w:eastAsia="宋体" w:cs="宋体"/>
                      <w:color w:val="auto"/>
                      <w:sz w:val="21"/>
                      <w:szCs w:val="21"/>
                      <w:highlight w:val="none"/>
                    </w:rPr>
                  </w:pPr>
                  <w:r>
                    <w:rPr>
                      <w:rFonts w:hint="eastAsia" w:ascii="宋体" w:hAnsi="宋体" w:eastAsia="宋体" w:cs="宋体"/>
                      <w:sz w:val="21"/>
                      <w:szCs w:val="21"/>
                    </w:rPr>
                    <w:t>1</w:t>
                  </w:r>
                </w:p>
              </w:tc>
              <w:tc>
                <w:tcPr>
                  <w:tcW w:w="1354" w:type="pct"/>
                  <w:tcBorders>
                    <w:top w:val="single" w:color="000000" w:sz="8" w:space="0"/>
                    <w:left w:val="single" w:color="000000" w:sz="8" w:space="0"/>
                    <w:bottom w:val="single" w:color="000000" w:sz="8" w:space="0"/>
                    <w:right w:val="single" w:color="000000" w:sz="8" w:space="0"/>
                  </w:tcBorders>
                  <w:vAlign w:val="center"/>
                </w:tcPr>
                <w:p w14:paraId="6A1F4078">
                  <w:pPr>
                    <w:pStyle w:val="164"/>
                    <w:keepNext w:val="0"/>
                    <w:keepLines/>
                    <w:pageBreakBefore w:val="0"/>
                    <w:widowControl w:val="0"/>
                    <w:kinsoku/>
                    <w:overflowPunct/>
                    <w:topLinePunct w:val="0"/>
                    <w:bidi w:val="0"/>
                    <w:snapToGrid/>
                    <w:jc w:val="center"/>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认证情况</w:t>
                  </w:r>
                </w:p>
              </w:tc>
              <w:tc>
                <w:tcPr>
                  <w:tcW w:w="357" w:type="pct"/>
                  <w:tcBorders>
                    <w:top w:val="single" w:color="000000" w:sz="8" w:space="0"/>
                    <w:left w:val="single" w:color="000000" w:sz="8" w:space="0"/>
                    <w:bottom w:val="single" w:color="000000" w:sz="8" w:space="0"/>
                    <w:right w:val="single" w:color="000000" w:sz="8" w:space="0"/>
                  </w:tcBorders>
                  <w:vAlign w:val="center"/>
                </w:tcPr>
                <w:p w14:paraId="4141DC2C">
                  <w:pPr>
                    <w:keepNext w:val="0"/>
                    <w:keepLines/>
                    <w:pageBreakBefore w:val="0"/>
                    <w:widowControl w:val="0"/>
                    <w:kinsoku/>
                    <w:overflowPunct/>
                    <w:topLinePunct w:val="0"/>
                    <w:bidi w:val="0"/>
                    <w:snapToGrid/>
                    <w:jc w:val="center"/>
                    <w:textAlignment w:val="auto"/>
                    <w:rPr>
                      <w:rFonts w:hint="eastAsia" w:ascii="宋体" w:hAnsi="宋体" w:eastAsia="宋体" w:cs="宋体"/>
                      <w:color w:val="auto"/>
                      <w:sz w:val="21"/>
                      <w:szCs w:val="21"/>
                      <w:highlight w:val="none"/>
                    </w:rPr>
                  </w:pPr>
                  <w:r>
                    <w:rPr>
                      <w:rFonts w:hint="eastAsia" w:ascii="宋体" w:hAnsi="宋体" w:eastAsia="宋体" w:cs="宋体"/>
                      <w:sz w:val="21"/>
                      <w:szCs w:val="21"/>
                    </w:rPr>
                    <w:t>5</w:t>
                  </w:r>
                </w:p>
              </w:tc>
              <w:tc>
                <w:tcPr>
                  <w:tcW w:w="2501" w:type="pct"/>
                  <w:tcBorders>
                    <w:top w:val="single" w:color="000000" w:sz="8" w:space="0"/>
                    <w:left w:val="single" w:color="000000" w:sz="8" w:space="0"/>
                    <w:bottom w:val="single" w:color="000000" w:sz="8" w:space="0"/>
                    <w:right w:val="single" w:color="000000" w:sz="8" w:space="0"/>
                  </w:tcBorders>
                  <w:vAlign w:val="center"/>
                </w:tcPr>
                <w:p w14:paraId="4F93344B">
                  <w:pPr>
                    <w:pStyle w:val="164"/>
                    <w:keepNext w:val="0"/>
                    <w:keepLines/>
                    <w:pageBreakBefore w:val="0"/>
                    <w:widowControl w:val="0"/>
                    <w:kinsoku/>
                    <w:overflowPunct/>
                    <w:topLinePunct w:val="0"/>
                    <w:bidi w:val="0"/>
                    <w:snapToGrid/>
                    <w:textAlignment w:val="auto"/>
                    <w:rPr>
                      <w:rFonts w:hint="eastAsia" w:ascii="宋体" w:hAnsi="宋体" w:eastAsia="宋体" w:cs="宋体"/>
                      <w:b/>
                      <w:bCs/>
                      <w:color w:val="auto"/>
                      <w:sz w:val="21"/>
                      <w:szCs w:val="21"/>
                    </w:rPr>
                  </w:pPr>
                  <w:r>
                    <w:rPr>
                      <w:rFonts w:hint="eastAsia" w:ascii="宋体" w:hAnsi="宋体" w:eastAsia="宋体" w:cs="宋体"/>
                      <w:b/>
                      <w:bCs/>
                      <w:color w:val="auto"/>
                      <w:sz w:val="21"/>
                      <w:szCs w:val="21"/>
                    </w:rPr>
                    <w:t>评审标准：</w:t>
                  </w:r>
                </w:p>
                <w:p w14:paraId="7371E6C7">
                  <w:pPr>
                    <w:pStyle w:val="164"/>
                    <w:keepNext w:val="0"/>
                    <w:keepLines/>
                    <w:pageBreakBefore w:val="0"/>
                    <w:widowControl w:val="0"/>
                    <w:kinsoku/>
                    <w:overflowPunct/>
                    <w:topLinePunct w:val="0"/>
                    <w:bidi w:val="0"/>
                    <w:snapToGrid/>
                    <w:textAlignment w:val="auto"/>
                    <w:rPr>
                      <w:rFonts w:hint="eastAsia" w:ascii="宋体" w:hAnsi="宋体" w:eastAsia="宋体" w:cs="宋体"/>
                      <w:color w:val="auto"/>
                      <w:kern w:val="2"/>
                      <w:sz w:val="21"/>
                      <w:szCs w:val="21"/>
                    </w:rPr>
                  </w:pPr>
                  <w:r>
                    <w:rPr>
                      <w:rFonts w:hint="eastAsia" w:ascii="宋体" w:hAnsi="宋体" w:eastAsia="宋体" w:cs="宋体"/>
                      <w:color w:val="auto"/>
                      <w:kern w:val="2"/>
                      <w:sz w:val="21"/>
                      <w:szCs w:val="21"/>
                    </w:rPr>
                    <w:t>自202</w:t>
                  </w:r>
                  <w:r>
                    <w:rPr>
                      <w:rFonts w:hint="eastAsia" w:ascii="宋体" w:hAnsi="宋体" w:eastAsia="宋体" w:cs="宋体"/>
                      <w:color w:val="auto"/>
                      <w:kern w:val="2"/>
                      <w:sz w:val="21"/>
                      <w:szCs w:val="21"/>
                      <w:lang w:val="en-US" w:eastAsia="zh-CN"/>
                    </w:rPr>
                    <w:t>1</w:t>
                  </w:r>
                  <w:r>
                    <w:rPr>
                      <w:rFonts w:hint="eastAsia" w:ascii="宋体" w:hAnsi="宋体" w:eastAsia="宋体" w:cs="宋体"/>
                      <w:color w:val="auto"/>
                      <w:kern w:val="2"/>
                      <w:sz w:val="21"/>
                      <w:szCs w:val="21"/>
                    </w:rPr>
                    <w:t>年1月1日至</w:t>
                  </w:r>
                  <w:r>
                    <w:rPr>
                      <w:rFonts w:hint="eastAsia" w:ascii="宋体" w:hAnsi="宋体" w:eastAsia="宋体" w:cs="宋体"/>
                      <w:color w:val="auto"/>
                      <w:kern w:val="2"/>
                      <w:sz w:val="21"/>
                      <w:szCs w:val="21"/>
                      <w:highlight w:val="none"/>
                    </w:rPr>
                    <w:t>本项目投标截止日</w:t>
                  </w:r>
                  <w:r>
                    <w:rPr>
                      <w:rFonts w:hint="eastAsia" w:ascii="宋体" w:hAnsi="宋体" w:eastAsia="宋体" w:cs="宋体"/>
                      <w:color w:val="auto"/>
                      <w:kern w:val="2"/>
                      <w:sz w:val="21"/>
                      <w:szCs w:val="21"/>
                    </w:rPr>
                    <w:t>前，投标人具有质量管理体系认证、职业健康安全管理体系认证、售后服务认证、</w:t>
                  </w:r>
                  <w:r>
                    <w:rPr>
                      <w:rFonts w:hint="eastAsia" w:ascii="宋体" w:hAnsi="宋体" w:eastAsia="宋体" w:cs="宋体"/>
                      <w:color w:val="auto"/>
                      <w:kern w:val="2"/>
                      <w:sz w:val="21"/>
                      <w:szCs w:val="21"/>
                      <w:highlight w:val="yellow"/>
                    </w:rPr>
                    <w:t>企业诚信管理体系认证</w:t>
                  </w:r>
                  <w:r>
                    <w:rPr>
                      <w:rFonts w:hint="eastAsia" w:ascii="宋体" w:hAnsi="宋体" w:eastAsia="宋体" w:cs="宋体"/>
                      <w:color w:val="auto"/>
                      <w:kern w:val="2"/>
                      <w:sz w:val="21"/>
                      <w:szCs w:val="21"/>
                      <w:highlight w:val="yellow"/>
                      <w:lang w:val="en-US" w:eastAsia="zh-CN"/>
                    </w:rPr>
                    <w:t>/诚信管理体系认证</w:t>
                  </w:r>
                  <w:r>
                    <w:rPr>
                      <w:rFonts w:hint="eastAsia" w:ascii="宋体" w:hAnsi="宋体" w:eastAsia="宋体" w:cs="宋体"/>
                      <w:color w:val="auto"/>
                      <w:kern w:val="2"/>
                      <w:sz w:val="21"/>
                      <w:szCs w:val="21"/>
                    </w:rPr>
                    <w:t>、</w:t>
                  </w:r>
                  <w:r>
                    <w:rPr>
                      <w:rFonts w:hint="eastAsia" w:ascii="宋体" w:hAnsi="宋体" w:eastAsia="宋体" w:cs="宋体"/>
                      <w:color w:val="auto"/>
                      <w:sz w:val="21"/>
                      <w:szCs w:val="21"/>
                    </w:rPr>
                    <w:t>业务连续性认证</w:t>
                  </w:r>
                  <w:r>
                    <w:rPr>
                      <w:rFonts w:hint="eastAsia" w:ascii="宋体" w:hAnsi="宋体" w:eastAsia="宋体" w:cs="宋体"/>
                      <w:color w:val="auto"/>
                      <w:kern w:val="2"/>
                      <w:sz w:val="21"/>
                      <w:szCs w:val="21"/>
                    </w:rPr>
                    <w:t>，每提供1个得20分，最高得100分。</w:t>
                  </w:r>
                </w:p>
                <w:p w14:paraId="46713DAD">
                  <w:pPr>
                    <w:pStyle w:val="164"/>
                    <w:keepNext w:val="0"/>
                    <w:keepLines/>
                    <w:pageBreakBefore w:val="0"/>
                    <w:widowControl w:val="0"/>
                    <w:kinsoku/>
                    <w:overflowPunct/>
                    <w:topLinePunct w:val="0"/>
                    <w:bidi w:val="0"/>
                    <w:snapToGrid/>
                    <w:textAlignment w:val="auto"/>
                    <w:rPr>
                      <w:rFonts w:hint="eastAsia" w:ascii="宋体" w:hAnsi="宋体" w:eastAsia="宋体" w:cs="宋体"/>
                      <w:b/>
                      <w:bCs/>
                      <w:color w:val="auto"/>
                      <w:sz w:val="21"/>
                      <w:szCs w:val="21"/>
                    </w:rPr>
                  </w:pPr>
                  <w:r>
                    <w:rPr>
                      <w:rFonts w:hint="eastAsia" w:ascii="宋体" w:hAnsi="宋体" w:eastAsia="宋体" w:cs="宋体"/>
                      <w:b/>
                      <w:bCs/>
                      <w:color w:val="auto"/>
                      <w:sz w:val="21"/>
                      <w:szCs w:val="21"/>
                    </w:rPr>
                    <w:t>证明文件：</w:t>
                  </w:r>
                </w:p>
                <w:p w14:paraId="61529451">
                  <w:pPr>
                    <w:pStyle w:val="164"/>
                    <w:keepNext w:val="0"/>
                    <w:keepLines/>
                    <w:pageBreakBefore w:val="0"/>
                    <w:widowControl w:val="0"/>
                    <w:kinsoku/>
                    <w:overflowPunct/>
                    <w:topLinePunct w:val="0"/>
                    <w:bidi w:val="0"/>
                    <w:snapToGrid/>
                    <w:textAlignment w:val="auto"/>
                    <w:rPr>
                      <w:rFonts w:hint="eastAsia" w:ascii="宋体" w:hAnsi="宋体" w:eastAsia="宋体" w:cs="宋体"/>
                      <w:color w:val="auto"/>
                      <w:sz w:val="21"/>
                      <w:szCs w:val="21"/>
                      <w:highlight w:val="none"/>
                    </w:rPr>
                  </w:pPr>
                  <w:r>
                    <w:rPr>
                      <w:rFonts w:hint="eastAsia" w:ascii="宋体" w:hAnsi="宋体" w:eastAsia="宋体" w:cs="宋体"/>
                      <w:color w:val="auto"/>
                      <w:kern w:val="2"/>
                      <w:sz w:val="21"/>
                      <w:szCs w:val="21"/>
                    </w:rPr>
                    <w:t>投标人提供以上在有效期内的体系认证证书扫描件及认证证书在全国认证认可信息公共服务平台(认e云)(http://cx.cnca.cn/)的认证信息截图，原件备查。未提供或提供不符合要求或提供不清晰导致无法判断的不得分。</w:t>
                  </w:r>
                </w:p>
              </w:tc>
            </w:tr>
            <w:tr w14:paraId="23B4A96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380" w:type="pct"/>
                  <w:vMerge w:val="continue"/>
                  <w:tcBorders>
                    <w:top w:val="single" w:color="000000" w:sz="8" w:space="0"/>
                    <w:left w:val="single" w:color="000000" w:sz="8" w:space="0"/>
                    <w:bottom w:val="single" w:color="000000" w:sz="8" w:space="0"/>
                    <w:right w:val="single" w:color="000000" w:sz="8" w:space="0"/>
                  </w:tcBorders>
                  <w:vAlign w:val="center"/>
                </w:tcPr>
                <w:p w14:paraId="59BEB652">
                  <w:pPr>
                    <w:keepNext w:val="0"/>
                    <w:pageBreakBefore w:val="0"/>
                    <w:kinsoku/>
                    <w:overflowPunct/>
                    <w:topLinePunct w:val="0"/>
                    <w:bidi w:val="0"/>
                    <w:snapToGrid/>
                    <w:spacing w:line="240" w:lineRule="auto"/>
                    <w:rPr>
                      <w:rFonts w:hint="eastAsia" w:ascii="宋体" w:hAnsi="宋体" w:eastAsia="宋体" w:cs="宋体"/>
                      <w:b/>
                      <w:bCs/>
                      <w:color w:val="0000FF"/>
                      <w:sz w:val="21"/>
                      <w:szCs w:val="21"/>
                      <w:highlight w:val="none"/>
                    </w:rPr>
                  </w:pPr>
                </w:p>
              </w:tc>
              <w:tc>
                <w:tcPr>
                  <w:tcW w:w="404" w:type="pct"/>
                  <w:tcBorders>
                    <w:top w:val="single" w:color="000000" w:sz="8" w:space="0"/>
                    <w:left w:val="single" w:color="000000" w:sz="8" w:space="0"/>
                    <w:bottom w:val="single" w:color="000000" w:sz="8" w:space="0"/>
                    <w:right w:val="single" w:color="000000" w:sz="8" w:space="0"/>
                  </w:tcBorders>
                  <w:vAlign w:val="center"/>
                </w:tcPr>
                <w:p w14:paraId="48137B3B">
                  <w:pPr>
                    <w:keepNext w:val="0"/>
                    <w:keepLines/>
                    <w:pageBreakBefore w:val="0"/>
                    <w:widowControl w:val="0"/>
                    <w:kinsoku/>
                    <w:overflowPunct/>
                    <w:topLinePunct w:val="0"/>
                    <w:bidi w:val="0"/>
                    <w:snapToGrid/>
                    <w:jc w:val="center"/>
                    <w:textAlignment w:val="auto"/>
                    <w:rPr>
                      <w:rFonts w:hint="eastAsia" w:ascii="宋体" w:hAnsi="宋体" w:eastAsia="宋体" w:cs="宋体"/>
                      <w:color w:val="auto"/>
                      <w:sz w:val="21"/>
                      <w:szCs w:val="21"/>
                      <w:highlight w:val="none"/>
                    </w:rPr>
                  </w:pPr>
                  <w:r>
                    <w:rPr>
                      <w:rFonts w:hint="eastAsia" w:ascii="宋体" w:hAnsi="宋体" w:eastAsia="宋体" w:cs="宋体"/>
                      <w:sz w:val="21"/>
                      <w:szCs w:val="21"/>
                    </w:rPr>
                    <w:t>2</w:t>
                  </w:r>
                </w:p>
              </w:tc>
              <w:tc>
                <w:tcPr>
                  <w:tcW w:w="1354" w:type="pct"/>
                  <w:tcBorders>
                    <w:top w:val="single" w:color="000000" w:sz="8" w:space="0"/>
                    <w:left w:val="single" w:color="000000" w:sz="8" w:space="0"/>
                    <w:bottom w:val="single" w:color="000000" w:sz="8" w:space="0"/>
                    <w:right w:val="single" w:color="000000" w:sz="8" w:space="0"/>
                  </w:tcBorders>
                  <w:vAlign w:val="center"/>
                </w:tcPr>
                <w:p w14:paraId="49246351">
                  <w:pPr>
                    <w:pStyle w:val="164"/>
                    <w:keepNext w:val="0"/>
                    <w:keepLines/>
                    <w:pageBreakBefore w:val="0"/>
                    <w:widowControl w:val="0"/>
                    <w:kinsoku/>
                    <w:overflowPunct/>
                    <w:topLinePunct w:val="0"/>
                    <w:bidi w:val="0"/>
                    <w:snapToGrid/>
                    <w:jc w:val="center"/>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rPr>
                    <w:t>社会组织等级评估</w:t>
                  </w:r>
                </w:p>
              </w:tc>
              <w:tc>
                <w:tcPr>
                  <w:tcW w:w="357" w:type="pct"/>
                  <w:tcBorders>
                    <w:top w:val="single" w:color="000000" w:sz="8" w:space="0"/>
                    <w:left w:val="single" w:color="000000" w:sz="8" w:space="0"/>
                    <w:bottom w:val="single" w:color="000000" w:sz="8" w:space="0"/>
                    <w:right w:val="single" w:color="000000" w:sz="8" w:space="0"/>
                  </w:tcBorders>
                  <w:vAlign w:val="center"/>
                </w:tcPr>
                <w:p w14:paraId="7787FFAA">
                  <w:pPr>
                    <w:keepNext w:val="0"/>
                    <w:keepLines/>
                    <w:pageBreakBefore w:val="0"/>
                    <w:widowControl w:val="0"/>
                    <w:kinsoku/>
                    <w:overflowPunct/>
                    <w:topLinePunct w:val="0"/>
                    <w:bidi w:val="0"/>
                    <w:snapToGrid/>
                    <w:jc w:val="center"/>
                    <w:textAlignment w:val="auto"/>
                    <w:rPr>
                      <w:rFonts w:hint="eastAsia" w:ascii="宋体" w:hAnsi="宋体" w:eastAsia="宋体" w:cs="宋体"/>
                      <w:color w:val="auto"/>
                      <w:sz w:val="21"/>
                      <w:szCs w:val="21"/>
                      <w:highlight w:val="none"/>
                    </w:rPr>
                  </w:pPr>
                  <w:r>
                    <w:rPr>
                      <w:rFonts w:hint="eastAsia" w:ascii="宋体" w:hAnsi="宋体" w:eastAsia="宋体" w:cs="宋体"/>
                      <w:sz w:val="21"/>
                      <w:szCs w:val="21"/>
                    </w:rPr>
                    <w:t>5</w:t>
                  </w:r>
                </w:p>
              </w:tc>
              <w:tc>
                <w:tcPr>
                  <w:tcW w:w="2501" w:type="pct"/>
                  <w:tcBorders>
                    <w:top w:val="single" w:color="000000" w:sz="8" w:space="0"/>
                    <w:left w:val="single" w:color="000000" w:sz="8" w:space="0"/>
                    <w:bottom w:val="single" w:color="000000" w:sz="8" w:space="0"/>
                    <w:right w:val="single" w:color="000000" w:sz="8" w:space="0"/>
                  </w:tcBorders>
                  <w:vAlign w:val="center"/>
                </w:tcPr>
                <w:p w14:paraId="791FEDCE">
                  <w:pPr>
                    <w:pStyle w:val="164"/>
                    <w:keepNext w:val="0"/>
                    <w:keepLines/>
                    <w:pageBreakBefore w:val="0"/>
                    <w:widowControl w:val="0"/>
                    <w:kinsoku/>
                    <w:overflowPunct/>
                    <w:topLinePunct w:val="0"/>
                    <w:bidi w:val="0"/>
                    <w:snapToGrid/>
                    <w:textAlignment w:val="auto"/>
                    <w:rPr>
                      <w:rFonts w:hint="eastAsia" w:ascii="宋体" w:hAnsi="宋体" w:eastAsia="宋体" w:cs="宋体"/>
                      <w:b/>
                      <w:bCs/>
                      <w:color w:val="auto"/>
                      <w:sz w:val="21"/>
                      <w:szCs w:val="21"/>
                    </w:rPr>
                  </w:pPr>
                  <w:r>
                    <w:rPr>
                      <w:rFonts w:hint="eastAsia" w:ascii="宋体" w:hAnsi="宋体" w:eastAsia="宋体" w:cs="宋体"/>
                      <w:b/>
                      <w:bCs/>
                      <w:color w:val="auto"/>
                      <w:sz w:val="21"/>
                      <w:szCs w:val="21"/>
                    </w:rPr>
                    <w:t>评审标准：</w:t>
                  </w:r>
                </w:p>
                <w:p w14:paraId="2094507A">
                  <w:pPr>
                    <w:pStyle w:val="164"/>
                    <w:keepNext w:val="0"/>
                    <w:keepLines/>
                    <w:pageBreakBefore w:val="0"/>
                    <w:widowControl w:val="0"/>
                    <w:kinsoku/>
                    <w:overflowPunct/>
                    <w:topLinePunct w:val="0"/>
                    <w:bidi w:val="0"/>
                    <w:snapToGrid/>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投标人获得区级或以上的社会组织管理部门颁发的有效期内的社会组织评估等级证书：</w:t>
                  </w:r>
                </w:p>
                <w:p w14:paraId="0CF70D32">
                  <w:pPr>
                    <w:pStyle w:val="164"/>
                    <w:keepNext w:val="0"/>
                    <w:keepLines/>
                    <w:pageBreakBefore w:val="0"/>
                    <w:widowControl w:val="0"/>
                    <w:kinsoku/>
                    <w:overflowPunct/>
                    <w:topLinePunct w:val="0"/>
                    <w:bidi w:val="0"/>
                    <w:snapToGrid/>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等级评定为5A级的得100分；</w:t>
                  </w:r>
                </w:p>
                <w:p w14:paraId="759D912E">
                  <w:pPr>
                    <w:pStyle w:val="164"/>
                    <w:keepNext w:val="0"/>
                    <w:keepLines/>
                    <w:pageBreakBefore w:val="0"/>
                    <w:widowControl w:val="0"/>
                    <w:kinsoku/>
                    <w:overflowPunct/>
                    <w:topLinePunct w:val="0"/>
                    <w:bidi w:val="0"/>
                    <w:snapToGrid/>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等级评定为4A级的得75分；</w:t>
                  </w:r>
                </w:p>
                <w:p w14:paraId="759AAB72">
                  <w:pPr>
                    <w:pStyle w:val="164"/>
                    <w:keepNext w:val="0"/>
                    <w:keepLines/>
                    <w:pageBreakBefore w:val="0"/>
                    <w:widowControl w:val="0"/>
                    <w:kinsoku/>
                    <w:overflowPunct/>
                    <w:topLinePunct w:val="0"/>
                    <w:bidi w:val="0"/>
                    <w:snapToGrid/>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等级评定为3A级的得50分；</w:t>
                  </w:r>
                </w:p>
                <w:p w14:paraId="544EF09B">
                  <w:pPr>
                    <w:pStyle w:val="164"/>
                    <w:keepNext w:val="0"/>
                    <w:keepLines/>
                    <w:pageBreakBefore w:val="0"/>
                    <w:widowControl w:val="0"/>
                    <w:kinsoku/>
                    <w:overflowPunct/>
                    <w:topLinePunct w:val="0"/>
                    <w:bidi w:val="0"/>
                    <w:snapToGrid/>
                    <w:textAlignment w:val="auto"/>
                    <w:rPr>
                      <w:rFonts w:hint="eastAsia" w:ascii="宋体" w:hAnsi="宋体" w:eastAsia="宋体" w:cs="宋体"/>
                      <w:color w:val="auto"/>
                      <w:kern w:val="2"/>
                      <w:sz w:val="21"/>
                      <w:szCs w:val="21"/>
                    </w:rPr>
                  </w:pPr>
                  <w:r>
                    <w:rPr>
                      <w:rFonts w:hint="eastAsia" w:ascii="宋体" w:hAnsi="宋体" w:eastAsia="宋体" w:cs="宋体"/>
                      <w:color w:val="auto"/>
                      <w:kern w:val="2"/>
                      <w:sz w:val="21"/>
                      <w:szCs w:val="21"/>
                    </w:rPr>
                    <w:t>2022年</w:t>
                  </w:r>
                  <w:r>
                    <w:rPr>
                      <w:rFonts w:hint="eastAsia" w:ascii="宋体" w:hAnsi="宋体" w:eastAsia="宋体" w:cs="宋体"/>
                      <w:color w:val="auto"/>
                      <w:kern w:val="2"/>
                      <w:sz w:val="21"/>
                      <w:szCs w:val="21"/>
                      <w:lang w:val="en-US" w:eastAsia="zh-CN"/>
                    </w:rPr>
                    <w:t>1</w:t>
                  </w:r>
                  <w:r>
                    <w:rPr>
                      <w:rFonts w:hint="eastAsia" w:ascii="宋体" w:hAnsi="宋体" w:eastAsia="宋体" w:cs="宋体"/>
                      <w:color w:val="auto"/>
                      <w:kern w:val="2"/>
                      <w:sz w:val="21"/>
                      <w:szCs w:val="21"/>
                    </w:rPr>
                    <w:t>月起成立且未能参与社会服务机构考核评估的，得</w:t>
                  </w:r>
                  <w:r>
                    <w:rPr>
                      <w:rFonts w:hint="eastAsia" w:ascii="宋体" w:hAnsi="宋体" w:eastAsia="宋体" w:cs="宋体"/>
                      <w:color w:val="auto"/>
                      <w:kern w:val="2"/>
                      <w:sz w:val="21"/>
                      <w:szCs w:val="21"/>
                      <w:lang w:val="en-US" w:eastAsia="zh-CN"/>
                    </w:rPr>
                    <w:t>100</w:t>
                  </w:r>
                  <w:r>
                    <w:rPr>
                      <w:rFonts w:hint="eastAsia" w:ascii="宋体" w:hAnsi="宋体" w:eastAsia="宋体" w:cs="宋体"/>
                      <w:color w:val="auto"/>
                      <w:kern w:val="2"/>
                      <w:sz w:val="21"/>
                      <w:szCs w:val="21"/>
                    </w:rPr>
                    <w:t>分；</w:t>
                  </w:r>
                </w:p>
                <w:p w14:paraId="4EBC6DB0">
                  <w:pPr>
                    <w:pStyle w:val="164"/>
                    <w:keepNext w:val="0"/>
                    <w:keepLines/>
                    <w:pageBreakBefore w:val="0"/>
                    <w:widowControl w:val="0"/>
                    <w:kinsoku/>
                    <w:overflowPunct/>
                    <w:topLinePunct w:val="0"/>
                    <w:bidi w:val="0"/>
                    <w:snapToGrid/>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其他情况不得分。</w:t>
                  </w:r>
                </w:p>
                <w:p w14:paraId="0BFFD888">
                  <w:pPr>
                    <w:pStyle w:val="164"/>
                    <w:keepNext w:val="0"/>
                    <w:keepLines/>
                    <w:pageBreakBefore w:val="0"/>
                    <w:widowControl w:val="0"/>
                    <w:kinsoku/>
                    <w:overflowPunct/>
                    <w:topLinePunct w:val="0"/>
                    <w:bidi w:val="0"/>
                    <w:snapToGrid/>
                    <w:textAlignment w:val="auto"/>
                    <w:rPr>
                      <w:rFonts w:hint="eastAsia" w:ascii="宋体" w:hAnsi="宋体" w:eastAsia="宋体" w:cs="宋体"/>
                      <w:b/>
                      <w:bCs/>
                      <w:color w:val="auto"/>
                      <w:sz w:val="21"/>
                      <w:szCs w:val="21"/>
                    </w:rPr>
                  </w:pPr>
                  <w:r>
                    <w:rPr>
                      <w:rFonts w:hint="eastAsia" w:ascii="宋体" w:hAnsi="宋体" w:eastAsia="宋体" w:cs="宋体"/>
                      <w:b/>
                      <w:bCs/>
                      <w:color w:val="auto"/>
                      <w:sz w:val="21"/>
                      <w:szCs w:val="21"/>
                    </w:rPr>
                    <w:t>证明文件：</w:t>
                  </w:r>
                </w:p>
                <w:p w14:paraId="5637D536">
                  <w:pPr>
                    <w:pStyle w:val="164"/>
                    <w:keepNext w:val="0"/>
                    <w:keepLines/>
                    <w:pageBreakBefore w:val="0"/>
                    <w:widowControl w:val="0"/>
                    <w:kinsoku/>
                    <w:overflowPunct/>
                    <w:topLinePunct w:val="0"/>
                    <w:bidi w:val="0"/>
                    <w:snapToGrid/>
                    <w:textAlignment w:val="auto"/>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rPr>
                    <w:t>提供社会组织评估等级证书原件扫描件，</w:t>
                  </w:r>
                  <w:r>
                    <w:rPr>
                      <w:rFonts w:hint="eastAsia" w:ascii="宋体" w:hAnsi="宋体" w:eastAsia="宋体" w:cs="宋体"/>
                      <w:color w:val="auto"/>
                      <w:kern w:val="2"/>
                      <w:sz w:val="21"/>
                      <w:szCs w:val="21"/>
                    </w:rPr>
                    <w:t>成立不足两年的提供机构登记证书原件扫描件，</w:t>
                  </w:r>
                  <w:r>
                    <w:rPr>
                      <w:rFonts w:hint="eastAsia" w:ascii="宋体" w:hAnsi="宋体" w:eastAsia="宋体" w:cs="宋体"/>
                      <w:color w:val="auto"/>
                      <w:sz w:val="21"/>
                      <w:szCs w:val="21"/>
                    </w:rPr>
                    <w:t>原件备查，未提供或提供不清晰导致专家无法判断的不得分。</w:t>
                  </w:r>
                </w:p>
              </w:tc>
            </w:tr>
            <w:tr w14:paraId="5475E09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993" w:hRule="atLeast"/>
                <w:jc w:val="center"/>
              </w:trPr>
              <w:tc>
                <w:tcPr>
                  <w:tcW w:w="380" w:type="pct"/>
                  <w:vMerge w:val="continue"/>
                  <w:tcBorders>
                    <w:top w:val="single" w:color="000000" w:sz="8" w:space="0"/>
                    <w:left w:val="single" w:color="000000" w:sz="8" w:space="0"/>
                    <w:bottom w:val="single" w:color="000000" w:sz="8" w:space="0"/>
                    <w:right w:val="single" w:color="000000" w:sz="8" w:space="0"/>
                  </w:tcBorders>
                  <w:vAlign w:val="center"/>
                </w:tcPr>
                <w:p w14:paraId="7E27D085">
                  <w:pPr>
                    <w:keepNext w:val="0"/>
                    <w:pageBreakBefore w:val="0"/>
                    <w:kinsoku/>
                    <w:overflowPunct/>
                    <w:topLinePunct w:val="0"/>
                    <w:bidi w:val="0"/>
                    <w:snapToGrid/>
                    <w:spacing w:line="240" w:lineRule="auto"/>
                    <w:rPr>
                      <w:rFonts w:hint="eastAsia" w:ascii="宋体" w:hAnsi="宋体" w:eastAsia="宋体" w:cs="宋体"/>
                      <w:b/>
                      <w:bCs/>
                      <w:color w:val="0000FF"/>
                      <w:sz w:val="21"/>
                      <w:szCs w:val="21"/>
                      <w:highlight w:val="none"/>
                    </w:rPr>
                  </w:pPr>
                </w:p>
              </w:tc>
              <w:tc>
                <w:tcPr>
                  <w:tcW w:w="404" w:type="pct"/>
                  <w:tcBorders>
                    <w:top w:val="single" w:color="000000" w:sz="8" w:space="0"/>
                    <w:left w:val="single" w:color="000000" w:sz="8" w:space="0"/>
                    <w:bottom w:val="single" w:color="000000" w:sz="8" w:space="0"/>
                    <w:right w:val="single" w:color="000000" w:sz="8" w:space="0"/>
                  </w:tcBorders>
                  <w:vAlign w:val="center"/>
                </w:tcPr>
                <w:p w14:paraId="2876F6B8">
                  <w:pPr>
                    <w:keepNext w:val="0"/>
                    <w:keepLines/>
                    <w:pageBreakBefore w:val="0"/>
                    <w:widowControl w:val="0"/>
                    <w:kinsoku/>
                    <w:overflowPunct/>
                    <w:topLinePunct w:val="0"/>
                    <w:bidi w:val="0"/>
                    <w:snapToGrid/>
                    <w:jc w:val="center"/>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sz w:val="21"/>
                      <w:szCs w:val="21"/>
                    </w:rPr>
                    <w:t>3</w:t>
                  </w:r>
                </w:p>
              </w:tc>
              <w:tc>
                <w:tcPr>
                  <w:tcW w:w="1354" w:type="pct"/>
                  <w:tcBorders>
                    <w:top w:val="single" w:color="000000" w:sz="8" w:space="0"/>
                    <w:left w:val="single" w:color="000000" w:sz="8" w:space="0"/>
                    <w:bottom w:val="single" w:color="000000" w:sz="8" w:space="0"/>
                    <w:right w:val="single" w:color="000000" w:sz="8" w:space="0"/>
                  </w:tcBorders>
                  <w:vAlign w:val="center"/>
                </w:tcPr>
                <w:p w14:paraId="6CF97075">
                  <w:pPr>
                    <w:pStyle w:val="164"/>
                    <w:keepNext w:val="0"/>
                    <w:keepLines/>
                    <w:pageBreakBefore w:val="0"/>
                    <w:widowControl w:val="0"/>
                    <w:kinsoku/>
                    <w:overflowPunct/>
                    <w:topLinePunct w:val="0"/>
                    <w:bidi w:val="0"/>
                    <w:snapToGrid/>
                    <w:jc w:val="center"/>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rPr>
                    <w:t>同类服务经验</w:t>
                  </w:r>
                </w:p>
              </w:tc>
              <w:tc>
                <w:tcPr>
                  <w:tcW w:w="357" w:type="pct"/>
                  <w:tcBorders>
                    <w:top w:val="single" w:color="000000" w:sz="8" w:space="0"/>
                    <w:left w:val="single" w:color="000000" w:sz="8" w:space="0"/>
                    <w:bottom w:val="single" w:color="000000" w:sz="8" w:space="0"/>
                    <w:right w:val="single" w:color="000000" w:sz="8" w:space="0"/>
                  </w:tcBorders>
                  <w:vAlign w:val="center"/>
                </w:tcPr>
                <w:p w14:paraId="77FC53F8">
                  <w:pPr>
                    <w:keepNext w:val="0"/>
                    <w:keepLines/>
                    <w:pageBreakBefore w:val="0"/>
                    <w:widowControl w:val="0"/>
                    <w:kinsoku/>
                    <w:overflowPunct/>
                    <w:topLinePunct w:val="0"/>
                    <w:bidi w:val="0"/>
                    <w:snapToGrid/>
                    <w:jc w:val="center"/>
                    <w:textAlignment w:val="auto"/>
                    <w:rPr>
                      <w:rFonts w:hint="eastAsia" w:ascii="宋体" w:hAnsi="宋体" w:eastAsia="宋体" w:cs="宋体"/>
                      <w:color w:val="auto"/>
                      <w:sz w:val="21"/>
                      <w:szCs w:val="21"/>
                      <w:highlight w:val="none"/>
                    </w:rPr>
                  </w:pPr>
                  <w:r>
                    <w:rPr>
                      <w:rFonts w:hint="eastAsia" w:ascii="宋体" w:hAnsi="宋体" w:eastAsia="宋体" w:cs="宋体"/>
                      <w:sz w:val="21"/>
                      <w:szCs w:val="21"/>
                    </w:rPr>
                    <w:t>5</w:t>
                  </w:r>
                </w:p>
              </w:tc>
              <w:tc>
                <w:tcPr>
                  <w:tcW w:w="2501" w:type="pct"/>
                  <w:tcBorders>
                    <w:top w:val="single" w:color="000000" w:sz="8" w:space="0"/>
                    <w:left w:val="single" w:color="000000" w:sz="8" w:space="0"/>
                    <w:bottom w:val="single" w:color="000000" w:sz="8" w:space="0"/>
                    <w:right w:val="single" w:color="000000" w:sz="8" w:space="0"/>
                  </w:tcBorders>
                  <w:vAlign w:val="center"/>
                </w:tcPr>
                <w:p w14:paraId="7CD050F2">
                  <w:pPr>
                    <w:pStyle w:val="164"/>
                    <w:keepNext w:val="0"/>
                    <w:keepLines/>
                    <w:pageBreakBefore w:val="0"/>
                    <w:widowControl w:val="0"/>
                    <w:kinsoku/>
                    <w:overflowPunct/>
                    <w:topLinePunct w:val="0"/>
                    <w:bidi w:val="0"/>
                    <w:snapToGrid/>
                    <w:textAlignment w:val="auto"/>
                    <w:rPr>
                      <w:rFonts w:hint="eastAsia" w:ascii="宋体" w:hAnsi="宋体" w:eastAsia="宋体" w:cs="宋体"/>
                      <w:color w:val="auto"/>
                      <w:sz w:val="21"/>
                      <w:szCs w:val="21"/>
                    </w:rPr>
                  </w:pPr>
                  <w:r>
                    <w:rPr>
                      <w:rFonts w:hint="eastAsia" w:ascii="宋体" w:hAnsi="宋体" w:eastAsia="宋体" w:cs="宋体"/>
                      <w:b/>
                      <w:bCs/>
                      <w:color w:val="auto"/>
                      <w:sz w:val="21"/>
                      <w:szCs w:val="21"/>
                    </w:rPr>
                    <w:t>评审标准：</w:t>
                  </w:r>
                </w:p>
                <w:p w14:paraId="2CDD23CC">
                  <w:pPr>
                    <w:pStyle w:val="164"/>
                    <w:keepNext w:val="0"/>
                    <w:keepLines/>
                    <w:pageBreakBefore w:val="0"/>
                    <w:widowControl w:val="0"/>
                    <w:kinsoku/>
                    <w:overflowPunct/>
                    <w:topLinePunct w:val="0"/>
                    <w:bidi w:val="0"/>
                    <w:snapToGrid/>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投标人自202</w:t>
                  </w:r>
                  <w:r>
                    <w:rPr>
                      <w:rFonts w:hint="eastAsia" w:ascii="宋体" w:hAnsi="宋体" w:eastAsia="宋体" w:cs="宋体"/>
                      <w:color w:val="auto"/>
                      <w:sz w:val="21"/>
                      <w:szCs w:val="21"/>
                      <w:lang w:val="en-US" w:eastAsia="zh-CN"/>
                    </w:rPr>
                    <w:t>1</w:t>
                  </w:r>
                  <w:r>
                    <w:rPr>
                      <w:rFonts w:hint="eastAsia" w:ascii="宋体" w:hAnsi="宋体" w:eastAsia="宋体" w:cs="宋体"/>
                      <w:color w:val="auto"/>
                      <w:sz w:val="21"/>
                      <w:szCs w:val="21"/>
                    </w:rPr>
                    <w:t>年1月1日至</w:t>
                  </w:r>
                  <w:r>
                    <w:rPr>
                      <w:rFonts w:hint="eastAsia" w:ascii="宋体" w:hAnsi="宋体" w:eastAsia="宋体" w:cs="宋体"/>
                      <w:color w:val="auto"/>
                      <w:kern w:val="2"/>
                      <w:sz w:val="21"/>
                      <w:szCs w:val="21"/>
                      <w:highlight w:val="none"/>
                    </w:rPr>
                    <w:t>本项目投标截止日前</w:t>
                  </w:r>
                  <w:r>
                    <w:rPr>
                      <w:rFonts w:hint="eastAsia" w:ascii="宋体" w:hAnsi="宋体" w:eastAsia="宋体" w:cs="宋体"/>
                      <w:color w:val="auto"/>
                      <w:sz w:val="21"/>
                      <w:szCs w:val="21"/>
                    </w:rPr>
                    <w:t>（以合同签订时</w:t>
                  </w:r>
                  <w:r>
                    <w:rPr>
                      <w:rFonts w:hint="eastAsia" w:ascii="宋体" w:hAnsi="宋体" w:eastAsia="宋体" w:cs="宋体"/>
                      <w:color w:val="000000" w:themeColor="text1"/>
                      <w:sz w:val="21"/>
                      <w:szCs w:val="21"/>
                      <w14:textFill>
                        <w14:solidFill>
                          <w14:schemeClr w14:val="tx1"/>
                        </w14:solidFill>
                      </w14:textFill>
                    </w:rPr>
                    <w:t>间为准），具有党群服务中心社工服务相关经验的，每具有一个得50分，最高得100分，</w:t>
                  </w:r>
                  <w:r>
                    <w:rPr>
                      <w:rFonts w:hint="eastAsia" w:ascii="宋体" w:hAnsi="宋体" w:eastAsia="宋体" w:cs="宋体"/>
                      <w:color w:val="auto"/>
                      <w:sz w:val="21"/>
                      <w:szCs w:val="21"/>
                    </w:rPr>
                    <w:t>无领域相关服务经验的不得分。</w:t>
                  </w:r>
                </w:p>
                <w:p w14:paraId="704F4DF5">
                  <w:pPr>
                    <w:pStyle w:val="164"/>
                    <w:keepNext w:val="0"/>
                    <w:keepLines/>
                    <w:pageBreakBefore w:val="0"/>
                    <w:widowControl w:val="0"/>
                    <w:kinsoku/>
                    <w:overflowPunct/>
                    <w:topLinePunct w:val="0"/>
                    <w:bidi w:val="0"/>
                    <w:snapToGrid/>
                    <w:textAlignment w:val="auto"/>
                    <w:rPr>
                      <w:rFonts w:hint="eastAsia" w:ascii="宋体" w:hAnsi="宋体" w:eastAsia="宋体" w:cs="宋体"/>
                      <w:b/>
                      <w:bCs/>
                      <w:color w:val="auto"/>
                      <w:sz w:val="21"/>
                      <w:szCs w:val="21"/>
                    </w:rPr>
                  </w:pPr>
                  <w:r>
                    <w:rPr>
                      <w:rFonts w:hint="eastAsia" w:ascii="宋体" w:hAnsi="宋体" w:eastAsia="宋体" w:cs="宋体"/>
                      <w:b/>
                      <w:bCs/>
                      <w:color w:val="auto"/>
                      <w:sz w:val="21"/>
                      <w:szCs w:val="21"/>
                    </w:rPr>
                    <w:t>证明文件：</w:t>
                  </w:r>
                </w:p>
                <w:p w14:paraId="6447127C">
                  <w:pPr>
                    <w:pStyle w:val="164"/>
                    <w:keepNext w:val="0"/>
                    <w:keepLines/>
                    <w:pageBreakBefore w:val="0"/>
                    <w:widowControl w:val="0"/>
                    <w:kinsoku/>
                    <w:overflowPunct/>
                    <w:topLinePunct w:val="0"/>
                    <w:bidi w:val="0"/>
                    <w:snapToGrid/>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rPr>
                    <w:t>提供项目合同</w:t>
                  </w:r>
                  <w:r>
                    <w:rPr>
                      <w:rFonts w:hint="eastAsia" w:ascii="宋体" w:hAnsi="宋体" w:eastAsia="宋体" w:cs="宋体"/>
                      <w:color w:val="auto"/>
                      <w:sz w:val="21"/>
                      <w:szCs w:val="21"/>
                      <w:lang w:eastAsia="zh-CN"/>
                    </w:rPr>
                    <w:t>及</w:t>
                  </w:r>
                  <w:r>
                    <w:rPr>
                      <w:rFonts w:hint="eastAsia" w:ascii="宋体" w:hAnsi="宋体" w:eastAsia="宋体" w:cs="宋体"/>
                      <w:color w:val="auto"/>
                      <w:sz w:val="21"/>
                      <w:szCs w:val="21"/>
                    </w:rPr>
                    <w:t>中标通知书扫描件，原件备查。未按要求提供或提供不清晰导致专家无法有效判断的不得分。</w:t>
                  </w:r>
                </w:p>
              </w:tc>
            </w:tr>
            <w:tr w14:paraId="23749B6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380" w:type="pct"/>
                  <w:vMerge w:val="continue"/>
                  <w:tcBorders>
                    <w:top w:val="single" w:color="000000" w:sz="8" w:space="0"/>
                    <w:left w:val="single" w:color="000000" w:sz="8" w:space="0"/>
                    <w:bottom w:val="single" w:color="000000" w:sz="8" w:space="0"/>
                    <w:right w:val="single" w:color="000000" w:sz="8" w:space="0"/>
                  </w:tcBorders>
                  <w:vAlign w:val="center"/>
                </w:tcPr>
                <w:p w14:paraId="0E539D92">
                  <w:pPr>
                    <w:keepNext w:val="0"/>
                    <w:pageBreakBefore w:val="0"/>
                    <w:kinsoku/>
                    <w:overflowPunct/>
                    <w:topLinePunct w:val="0"/>
                    <w:bidi w:val="0"/>
                    <w:snapToGrid/>
                    <w:spacing w:line="240" w:lineRule="auto"/>
                    <w:rPr>
                      <w:rFonts w:hint="eastAsia" w:ascii="宋体" w:hAnsi="宋体" w:eastAsia="宋体" w:cs="宋体"/>
                      <w:b/>
                      <w:bCs/>
                      <w:color w:val="0000FF"/>
                      <w:sz w:val="21"/>
                      <w:szCs w:val="21"/>
                      <w:highlight w:val="none"/>
                    </w:rPr>
                  </w:pPr>
                </w:p>
              </w:tc>
              <w:tc>
                <w:tcPr>
                  <w:tcW w:w="404" w:type="pct"/>
                  <w:tcBorders>
                    <w:top w:val="single" w:color="000000" w:sz="8" w:space="0"/>
                    <w:left w:val="single" w:color="000000" w:sz="8" w:space="0"/>
                    <w:bottom w:val="single" w:color="000000" w:sz="8" w:space="0"/>
                    <w:right w:val="single" w:color="000000" w:sz="8" w:space="0"/>
                  </w:tcBorders>
                  <w:vAlign w:val="center"/>
                </w:tcPr>
                <w:p w14:paraId="656F5280">
                  <w:pPr>
                    <w:keepNext w:val="0"/>
                    <w:keepLines/>
                    <w:pageBreakBefore w:val="0"/>
                    <w:widowControl w:val="0"/>
                    <w:kinsoku/>
                    <w:overflowPunct/>
                    <w:topLinePunct w:val="0"/>
                    <w:bidi w:val="0"/>
                    <w:snapToGrid/>
                    <w:jc w:val="center"/>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sz w:val="21"/>
                      <w:szCs w:val="21"/>
                    </w:rPr>
                    <w:t>4</w:t>
                  </w:r>
                </w:p>
              </w:tc>
              <w:tc>
                <w:tcPr>
                  <w:tcW w:w="1354" w:type="pct"/>
                  <w:tcBorders>
                    <w:top w:val="single" w:color="000000" w:sz="8" w:space="0"/>
                    <w:left w:val="single" w:color="000000" w:sz="8" w:space="0"/>
                    <w:bottom w:val="single" w:color="000000" w:sz="8" w:space="0"/>
                    <w:right w:val="single" w:color="000000" w:sz="8" w:space="0"/>
                  </w:tcBorders>
                  <w:vAlign w:val="center"/>
                </w:tcPr>
                <w:p w14:paraId="402883C5">
                  <w:pPr>
                    <w:pStyle w:val="164"/>
                    <w:keepNext w:val="0"/>
                    <w:keepLines/>
                    <w:pageBreakBefore w:val="0"/>
                    <w:widowControl w:val="0"/>
                    <w:kinsoku/>
                    <w:overflowPunct/>
                    <w:topLinePunct w:val="0"/>
                    <w:bidi w:val="0"/>
                    <w:snapToGrid/>
                    <w:jc w:val="center"/>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rPr>
                    <w:t>服务单位履约评价</w:t>
                  </w:r>
                </w:p>
              </w:tc>
              <w:tc>
                <w:tcPr>
                  <w:tcW w:w="357" w:type="pct"/>
                  <w:tcBorders>
                    <w:top w:val="single" w:color="000000" w:sz="8" w:space="0"/>
                    <w:left w:val="single" w:color="000000" w:sz="8" w:space="0"/>
                    <w:bottom w:val="single" w:color="000000" w:sz="8" w:space="0"/>
                    <w:right w:val="single" w:color="000000" w:sz="8" w:space="0"/>
                  </w:tcBorders>
                  <w:vAlign w:val="center"/>
                </w:tcPr>
                <w:p w14:paraId="7E60CB5E">
                  <w:pPr>
                    <w:keepNext w:val="0"/>
                    <w:keepLines/>
                    <w:pageBreakBefore w:val="0"/>
                    <w:widowControl w:val="0"/>
                    <w:kinsoku/>
                    <w:overflowPunct/>
                    <w:topLinePunct w:val="0"/>
                    <w:bidi w:val="0"/>
                    <w:snapToGrid/>
                    <w:jc w:val="center"/>
                    <w:textAlignment w:val="auto"/>
                    <w:rPr>
                      <w:rFonts w:hint="eastAsia" w:ascii="宋体" w:hAnsi="宋体" w:eastAsia="宋体" w:cs="宋体"/>
                      <w:color w:val="auto"/>
                      <w:sz w:val="21"/>
                      <w:szCs w:val="21"/>
                      <w:highlight w:val="none"/>
                    </w:rPr>
                  </w:pPr>
                  <w:r>
                    <w:rPr>
                      <w:rFonts w:hint="eastAsia" w:ascii="宋体" w:hAnsi="宋体" w:eastAsia="宋体" w:cs="宋体"/>
                      <w:sz w:val="21"/>
                      <w:szCs w:val="21"/>
                    </w:rPr>
                    <w:t>5</w:t>
                  </w:r>
                </w:p>
              </w:tc>
              <w:tc>
                <w:tcPr>
                  <w:tcW w:w="2501" w:type="pct"/>
                  <w:tcBorders>
                    <w:top w:val="single" w:color="000000" w:sz="8" w:space="0"/>
                    <w:left w:val="single" w:color="000000" w:sz="8" w:space="0"/>
                    <w:bottom w:val="single" w:color="000000" w:sz="8" w:space="0"/>
                    <w:right w:val="single" w:color="000000" w:sz="8" w:space="0"/>
                  </w:tcBorders>
                  <w:vAlign w:val="center"/>
                </w:tcPr>
                <w:p w14:paraId="2EFA843C">
                  <w:pPr>
                    <w:keepNext w:val="0"/>
                    <w:keepLines/>
                    <w:pageBreakBefore w:val="0"/>
                    <w:widowControl w:val="0"/>
                    <w:numPr>
                      <w:ilvl w:val="0"/>
                      <w:numId w:val="7"/>
                    </w:numPr>
                    <w:kinsoku/>
                    <w:overflowPunct/>
                    <w:topLinePunct w:val="0"/>
                    <w:bidi w:val="0"/>
                    <w:snapToGrid/>
                    <w:ind w:left="0" w:hanging="318"/>
                    <w:jc w:val="left"/>
                    <w:textAlignment w:val="auto"/>
                    <w:rPr>
                      <w:rFonts w:hint="eastAsia" w:ascii="宋体" w:hAnsi="宋体" w:eastAsia="宋体" w:cs="宋体"/>
                      <w:b/>
                      <w:bCs/>
                      <w:sz w:val="21"/>
                      <w:szCs w:val="21"/>
                    </w:rPr>
                  </w:pPr>
                  <w:r>
                    <w:rPr>
                      <w:rFonts w:hint="eastAsia" w:ascii="宋体" w:hAnsi="宋体" w:eastAsia="宋体" w:cs="宋体"/>
                      <w:b/>
                      <w:bCs/>
                      <w:sz w:val="21"/>
                      <w:szCs w:val="21"/>
                    </w:rPr>
                    <w:t>评审标准：</w:t>
                  </w:r>
                </w:p>
                <w:p w14:paraId="1D8C879B">
                  <w:pPr>
                    <w:keepNext w:val="0"/>
                    <w:keepLines/>
                    <w:pageBreakBefore w:val="0"/>
                    <w:widowControl w:val="0"/>
                    <w:kinsoku/>
                    <w:overflowPunct/>
                    <w:topLinePunct w:val="0"/>
                    <w:bidi w:val="0"/>
                    <w:snapToGrid/>
                    <w:jc w:val="left"/>
                    <w:textAlignment w:val="auto"/>
                    <w:rPr>
                      <w:rFonts w:hint="eastAsia" w:ascii="宋体" w:hAnsi="宋体" w:eastAsia="宋体" w:cs="宋体"/>
                      <w:sz w:val="21"/>
                      <w:szCs w:val="21"/>
                    </w:rPr>
                  </w:pPr>
                  <w:r>
                    <w:rPr>
                      <w:rFonts w:hint="eastAsia" w:ascii="宋体" w:hAnsi="宋体" w:eastAsia="宋体" w:cs="宋体"/>
                      <w:sz w:val="21"/>
                      <w:szCs w:val="21"/>
                    </w:rPr>
                    <w:t>投标人在上述“同类服务经验”评审项中经评审</w:t>
                  </w:r>
                  <w:r>
                    <w:rPr>
                      <w:rFonts w:hint="eastAsia" w:ascii="宋体" w:hAnsi="宋体" w:eastAsia="宋体" w:cs="宋体"/>
                      <w:sz w:val="21"/>
                      <w:szCs w:val="21"/>
                      <w:lang w:val="en-US" w:eastAsia="zh-CN"/>
                    </w:rPr>
                    <w:t>得分</w:t>
                  </w:r>
                  <w:r>
                    <w:rPr>
                      <w:rFonts w:hint="eastAsia" w:ascii="宋体" w:hAnsi="宋体" w:eastAsia="宋体" w:cs="宋体"/>
                      <w:sz w:val="21"/>
                      <w:szCs w:val="21"/>
                    </w:rPr>
                    <w:t>的项目，能够提供服务单位出具的履约评价书：</w:t>
                  </w:r>
                </w:p>
                <w:p w14:paraId="783EE066">
                  <w:pPr>
                    <w:keepNext w:val="0"/>
                    <w:keepLines/>
                    <w:pageBreakBefore w:val="0"/>
                    <w:widowControl w:val="0"/>
                    <w:kinsoku/>
                    <w:overflowPunct/>
                    <w:topLinePunct w:val="0"/>
                    <w:bidi w:val="0"/>
                    <w:snapToGrid/>
                    <w:jc w:val="left"/>
                    <w:textAlignment w:val="auto"/>
                    <w:rPr>
                      <w:rFonts w:hint="eastAsia" w:ascii="宋体" w:hAnsi="宋体" w:eastAsia="宋体" w:cs="宋体"/>
                      <w:sz w:val="21"/>
                      <w:szCs w:val="21"/>
                    </w:rPr>
                  </w:pPr>
                  <w:r>
                    <w:rPr>
                      <w:rFonts w:hint="eastAsia" w:ascii="宋体" w:hAnsi="宋体" w:eastAsia="宋体" w:cs="宋体"/>
                      <w:sz w:val="21"/>
                      <w:szCs w:val="21"/>
                    </w:rPr>
                    <w:t>评价为优的每提供1份得50分；</w:t>
                  </w:r>
                </w:p>
                <w:p w14:paraId="68023882">
                  <w:pPr>
                    <w:keepNext w:val="0"/>
                    <w:keepLines/>
                    <w:pageBreakBefore w:val="0"/>
                    <w:widowControl w:val="0"/>
                    <w:kinsoku/>
                    <w:overflowPunct/>
                    <w:topLinePunct w:val="0"/>
                    <w:bidi w:val="0"/>
                    <w:snapToGrid/>
                    <w:jc w:val="left"/>
                    <w:textAlignment w:val="auto"/>
                    <w:rPr>
                      <w:rFonts w:hint="eastAsia" w:ascii="宋体" w:hAnsi="宋体" w:eastAsia="宋体" w:cs="宋体"/>
                      <w:sz w:val="21"/>
                      <w:szCs w:val="21"/>
                    </w:rPr>
                  </w:pPr>
                  <w:r>
                    <w:rPr>
                      <w:rFonts w:hint="eastAsia" w:ascii="宋体" w:hAnsi="宋体" w:eastAsia="宋体" w:cs="宋体"/>
                      <w:sz w:val="21"/>
                      <w:szCs w:val="21"/>
                    </w:rPr>
                    <w:t>评价为良的每提供1份得25分；</w:t>
                  </w:r>
                </w:p>
                <w:p w14:paraId="4DF2F693">
                  <w:pPr>
                    <w:keepNext w:val="0"/>
                    <w:keepLines/>
                    <w:pageBreakBefore w:val="0"/>
                    <w:widowControl w:val="0"/>
                    <w:kinsoku/>
                    <w:overflowPunct/>
                    <w:topLinePunct w:val="0"/>
                    <w:bidi w:val="0"/>
                    <w:snapToGrid/>
                    <w:jc w:val="left"/>
                    <w:textAlignment w:val="auto"/>
                    <w:rPr>
                      <w:rFonts w:hint="eastAsia" w:ascii="宋体" w:hAnsi="宋体" w:eastAsia="宋体" w:cs="宋体"/>
                      <w:sz w:val="21"/>
                      <w:szCs w:val="21"/>
                    </w:rPr>
                  </w:pPr>
                  <w:r>
                    <w:rPr>
                      <w:rFonts w:hint="eastAsia" w:ascii="宋体" w:hAnsi="宋体" w:eastAsia="宋体" w:cs="宋体"/>
                      <w:sz w:val="21"/>
                      <w:szCs w:val="21"/>
                    </w:rPr>
                    <w:t>评价为中或差的不得分，累计最高得100分。</w:t>
                  </w:r>
                </w:p>
                <w:p w14:paraId="560AC73E">
                  <w:pPr>
                    <w:keepNext w:val="0"/>
                    <w:keepLines/>
                    <w:pageBreakBefore w:val="0"/>
                    <w:widowControl w:val="0"/>
                    <w:kinsoku/>
                    <w:overflowPunct/>
                    <w:topLinePunct w:val="0"/>
                    <w:bidi w:val="0"/>
                    <w:snapToGrid/>
                    <w:jc w:val="left"/>
                    <w:textAlignment w:val="auto"/>
                    <w:rPr>
                      <w:rFonts w:hint="eastAsia" w:ascii="宋体" w:hAnsi="宋体" w:eastAsia="宋体" w:cs="宋体"/>
                      <w:sz w:val="21"/>
                      <w:szCs w:val="21"/>
                    </w:rPr>
                  </w:pPr>
                  <w:r>
                    <w:rPr>
                      <w:rFonts w:hint="eastAsia" w:ascii="宋体" w:hAnsi="宋体" w:eastAsia="宋体" w:cs="宋体"/>
                      <w:sz w:val="21"/>
                      <w:szCs w:val="21"/>
                    </w:rPr>
                    <w:t>注：同一个服务经验项目的履约评价按最高评价只计一次分。履约评价格式多样，在评标过程中履约评价按实际格式的最高评价级别等同于优得分，以此类推。</w:t>
                  </w:r>
                </w:p>
                <w:p w14:paraId="54263C3D">
                  <w:pPr>
                    <w:keepNext w:val="0"/>
                    <w:keepLines/>
                    <w:pageBreakBefore w:val="0"/>
                    <w:widowControl w:val="0"/>
                    <w:kinsoku/>
                    <w:overflowPunct/>
                    <w:topLinePunct w:val="0"/>
                    <w:bidi w:val="0"/>
                    <w:snapToGrid/>
                    <w:jc w:val="left"/>
                    <w:textAlignment w:val="auto"/>
                    <w:rPr>
                      <w:rFonts w:hint="eastAsia" w:ascii="宋体" w:hAnsi="宋体" w:eastAsia="宋体" w:cs="宋体"/>
                      <w:b/>
                      <w:bCs/>
                      <w:sz w:val="21"/>
                      <w:szCs w:val="21"/>
                    </w:rPr>
                  </w:pPr>
                  <w:r>
                    <w:rPr>
                      <w:rFonts w:hint="eastAsia" w:ascii="宋体" w:hAnsi="宋体" w:eastAsia="宋体" w:cs="宋体"/>
                      <w:b/>
                      <w:bCs/>
                      <w:sz w:val="21"/>
                      <w:szCs w:val="21"/>
                    </w:rPr>
                    <w:t>证明文件：</w:t>
                  </w:r>
                </w:p>
                <w:p w14:paraId="2C620391">
                  <w:pPr>
                    <w:pStyle w:val="164"/>
                    <w:keepNext w:val="0"/>
                    <w:keepLines/>
                    <w:pageBreakBefore w:val="0"/>
                    <w:widowControl w:val="0"/>
                    <w:kinsoku/>
                    <w:overflowPunct/>
                    <w:topLinePunct w:val="0"/>
                    <w:bidi w:val="0"/>
                    <w:snapToGrid/>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rPr>
                    <w:t>投标人提供合同甲方出具的履约评价书（加盖服务单位公章）扫描件，原件备查，未提供或提供不清晰导致无法判断的不得分。</w:t>
                  </w:r>
                </w:p>
              </w:tc>
            </w:tr>
            <w:tr w14:paraId="4D0C85B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380" w:type="pct"/>
                  <w:vMerge w:val="continue"/>
                  <w:tcBorders>
                    <w:top w:val="single" w:color="000000" w:sz="8" w:space="0"/>
                    <w:left w:val="single" w:color="000000" w:sz="8" w:space="0"/>
                    <w:bottom w:val="single" w:color="000000" w:sz="8" w:space="0"/>
                    <w:right w:val="single" w:color="000000" w:sz="8" w:space="0"/>
                  </w:tcBorders>
                  <w:vAlign w:val="center"/>
                </w:tcPr>
                <w:p w14:paraId="76546DB7">
                  <w:pPr>
                    <w:keepNext w:val="0"/>
                    <w:pageBreakBefore w:val="0"/>
                    <w:kinsoku/>
                    <w:overflowPunct/>
                    <w:topLinePunct w:val="0"/>
                    <w:bidi w:val="0"/>
                    <w:snapToGrid/>
                    <w:spacing w:line="240" w:lineRule="auto"/>
                    <w:rPr>
                      <w:rFonts w:hint="eastAsia" w:ascii="宋体" w:hAnsi="宋体" w:eastAsia="宋体" w:cs="宋体"/>
                      <w:b/>
                      <w:bCs/>
                      <w:color w:val="0000FF"/>
                      <w:sz w:val="21"/>
                      <w:szCs w:val="21"/>
                      <w:highlight w:val="none"/>
                    </w:rPr>
                  </w:pPr>
                </w:p>
              </w:tc>
              <w:tc>
                <w:tcPr>
                  <w:tcW w:w="404" w:type="pct"/>
                  <w:tcBorders>
                    <w:top w:val="single" w:color="000000" w:sz="8" w:space="0"/>
                    <w:left w:val="single" w:color="000000" w:sz="8" w:space="0"/>
                    <w:bottom w:val="single" w:color="000000" w:sz="8" w:space="0"/>
                    <w:right w:val="single" w:color="000000" w:sz="8" w:space="0"/>
                  </w:tcBorders>
                  <w:vAlign w:val="center"/>
                </w:tcPr>
                <w:p w14:paraId="007520F8">
                  <w:pPr>
                    <w:keepNext w:val="0"/>
                    <w:keepLines/>
                    <w:pageBreakBefore w:val="0"/>
                    <w:widowControl w:val="0"/>
                    <w:kinsoku/>
                    <w:overflowPunct/>
                    <w:topLinePunct w:val="0"/>
                    <w:bidi w:val="0"/>
                    <w:snapToGrid/>
                    <w:jc w:val="center"/>
                    <w:textAlignment w:val="auto"/>
                    <w:rPr>
                      <w:rFonts w:hint="eastAsia" w:ascii="宋体" w:hAnsi="宋体" w:eastAsia="宋体" w:cs="宋体"/>
                      <w:color w:val="000000"/>
                      <w:kern w:val="0"/>
                      <w:sz w:val="21"/>
                      <w:szCs w:val="21"/>
                      <w:lang w:bidi="ar"/>
                    </w:rPr>
                  </w:pPr>
                  <w:r>
                    <w:rPr>
                      <w:rFonts w:hint="eastAsia" w:ascii="宋体" w:hAnsi="宋体" w:eastAsia="宋体" w:cs="宋体"/>
                      <w:sz w:val="21"/>
                      <w:szCs w:val="21"/>
                    </w:rPr>
                    <w:t>5</w:t>
                  </w:r>
                </w:p>
              </w:tc>
              <w:tc>
                <w:tcPr>
                  <w:tcW w:w="1354" w:type="pct"/>
                  <w:tcBorders>
                    <w:top w:val="single" w:color="000000" w:sz="8" w:space="0"/>
                    <w:left w:val="single" w:color="000000" w:sz="8" w:space="0"/>
                    <w:bottom w:val="single" w:color="000000" w:sz="8" w:space="0"/>
                    <w:right w:val="single" w:color="000000" w:sz="8" w:space="0"/>
                  </w:tcBorders>
                  <w:vAlign w:val="center"/>
                </w:tcPr>
                <w:p w14:paraId="42BCB1BF">
                  <w:pPr>
                    <w:keepNext w:val="0"/>
                    <w:keepLines/>
                    <w:pageBreakBefore w:val="0"/>
                    <w:widowControl w:val="0"/>
                    <w:kinsoku/>
                    <w:wordWrap w:val="0"/>
                    <w:overflowPunct/>
                    <w:topLinePunct w:val="0"/>
                    <w:bidi w:val="0"/>
                    <w:snapToGrid/>
                    <w:jc w:val="center"/>
                    <w:textAlignment w:val="auto"/>
                    <w:rPr>
                      <w:rFonts w:hint="eastAsia" w:ascii="宋体" w:hAnsi="宋体" w:eastAsia="宋体" w:cs="宋体"/>
                      <w:color w:val="000000"/>
                      <w:kern w:val="0"/>
                      <w:sz w:val="21"/>
                      <w:szCs w:val="21"/>
                      <w:lang w:bidi="ar"/>
                    </w:rPr>
                  </w:pPr>
                  <w:r>
                    <w:rPr>
                      <w:rFonts w:hint="eastAsia" w:ascii="宋体" w:hAnsi="宋体" w:eastAsia="宋体" w:cs="宋体"/>
                      <w:sz w:val="21"/>
                      <w:szCs w:val="21"/>
                    </w:rPr>
                    <w:t>投标人获得荣誉情况</w:t>
                  </w:r>
                </w:p>
              </w:tc>
              <w:tc>
                <w:tcPr>
                  <w:tcW w:w="357" w:type="pct"/>
                  <w:tcBorders>
                    <w:top w:val="single" w:color="000000" w:sz="8" w:space="0"/>
                    <w:left w:val="single" w:color="000000" w:sz="8" w:space="0"/>
                    <w:bottom w:val="single" w:color="000000" w:sz="8" w:space="0"/>
                    <w:right w:val="single" w:color="000000" w:sz="8" w:space="0"/>
                  </w:tcBorders>
                  <w:vAlign w:val="center"/>
                </w:tcPr>
                <w:p w14:paraId="1F0B8E04">
                  <w:pPr>
                    <w:keepNext w:val="0"/>
                    <w:keepLines/>
                    <w:pageBreakBefore w:val="0"/>
                    <w:widowControl w:val="0"/>
                    <w:kinsoku/>
                    <w:wordWrap w:val="0"/>
                    <w:overflowPunct/>
                    <w:topLinePunct w:val="0"/>
                    <w:bidi w:val="0"/>
                    <w:snapToGrid/>
                    <w:jc w:val="center"/>
                    <w:textAlignment w:val="auto"/>
                    <w:rPr>
                      <w:rFonts w:hint="eastAsia" w:ascii="宋体" w:hAnsi="宋体" w:eastAsia="宋体" w:cs="宋体"/>
                      <w:kern w:val="0"/>
                      <w:sz w:val="21"/>
                      <w:szCs w:val="21"/>
                      <w:lang w:bidi="ar"/>
                    </w:rPr>
                  </w:pPr>
                  <w:r>
                    <w:rPr>
                      <w:rFonts w:hint="eastAsia" w:ascii="宋体" w:hAnsi="宋体" w:eastAsia="宋体" w:cs="宋体"/>
                      <w:sz w:val="21"/>
                      <w:szCs w:val="21"/>
                    </w:rPr>
                    <w:t>5</w:t>
                  </w:r>
                </w:p>
              </w:tc>
              <w:tc>
                <w:tcPr>
                  <w:tcW w:w="2501" w:type="pct"/>
                  <w:tcBorders>
                    <w:top w:val="single" w:color="000000" w:sz="8" w:space="0"/>
                    <w:left w:val="single" w:color="000000" w:sz="8" w:space="0"/>
                    <w:bottom w:val="single" w:color="000000" w:sz="8" w:space="0"/>
                    <w:right w:val="single" w:color="000000" w:sz="8" w:space="0"/>
                  </w:tcBorders>
                  <w:vAlign w:val="top"/>
                </w:tcPr>
                <w:p w14:paraId="67E94E7A">
                  <w:pPr>
                    <w:keepNext w:val="0"/>
                    <w:keepLines/>
                    <w:pageBreakBefore w:val="0"/>
                    <w:widowControl w:val="0"/>
                    <w:kinsoku/>
                    <w:wordWrap w:val="0"/>
                    <w:overflowPunct/>
                    <w:topLinePunct w:val="0"/>
                    <w:autoSpaceDE/>
                    <w:autoSpaceDN/>
                    <w:bidi w:val="0"/>
                    <w:adjustRightInd/>
                    <w:snapToGrid/>
                    <w:textAlignment w:val="auto"/>
                    <w:rPr>
                      <w:rFonts w:hint="eastAsia" w:ascii="宋体" w:hAnsi="宋体" w:eastAsia="宋体" w:cs="宋体"/>
                      <w:b/>
                      <w:bCs/>
                      <w:sz w:val="21"/>
                      <w:szCs w:val="21"/>
                    </w:rPr>
                  </w:pPr>
                  <w:r>
                    <w:rPr>
                      <w:rFonts w:hint="eastAsia" w:ascii="宋体" w:hAnsi="宋体" w:eastAsia="宋体" w:cs="宋体"/>
                      <w:b/>
                      <w:bCs/>
                      <w:sz w:val="21"/>
                      <w:szCs w:val="21"/>
                    </w:rPr>
                    <w:t>评审标准：</w:t>
                  </w:r>
                </w:p>
                <w:p w14:paraId="770B5C8E">
                  <w:pPr>
                    <w:keepNext w:val="0"/>
                    <w:keepLines/>
                    <w:pageBreakBefore w:val="0"/>
                    <w:widowControl w:val="0"/>
                    <w:kinsoku/>
                    <w:wordWrap w:val="0"/>
                    <w:overflowPunct/>
                    <w:topLinePunct w:val="0"/>
                    <w:autoSpaceDE/>
                    <w:autoSpaceDN/>
                    <w:bidi w:val="0"/>
                    <w:adjustRightInd/>
                    <w:snapToGrid/>
                    <w:textAlignment w:val="auto"/>
                    <w:rPr>
                      <w:rFonts w:hint="eastAsia" w:ascii="宋体" w:hAnsi="宋体" w:eastAsia="宋体" w:cs="宋体"/>
                      <w:sz w:val="21"/>
                      <w:szCs w:val="21"/>
                    </w:rPr>
                  </w:pPr>
                  <w:r>
                    <w:rPr>
                      <w:rFonts w:hint="eastAsia" w:ascii="宋体" w:hAnsi="宋体" w:eastAsia="宋体" w:cs="宋体"/>
                      <w:sz w:val="21"/>
                      <w:szCs w:val="21"/>
                    </w:rPr>
                    <w:t>自202</w:t>
                  </w:r>
                  <w:r>
                    <w:rPr>
                      <w:rFonts w:hint="eastAsia" w:ascii="宋体" w:hAnsi="宋体" w:eastAsia="宋体" w:cs="宋体"/>
                      <w:sz w:val="21"/>
                      <w:szCs w:val="21"/>
                      <w:lang w:val="en-US" w:eastAsia="zh-CN"/>
                    </w:rPr>
                    <w:t>1</w:t>
                  </w:r>
                  <w:r>
                    <w:rPr>
                      <w:rFonts w:hint="eastAsia" w:ascii="宋体" w:hAnsi="宋体" w:eastAsia="宋体" w:cs="宋体"/>
                      <w:sz w:val="21"/>
                      <w:szCs w:val="21"/>
                    </w:rPr>
                    <w:t>年1月1日至</w:t>
                  </w:r>
                  <w:r>
                    <w:rPr>
                      <w:rFonts w:hint="eastAsia" w:ascii="宋体" w:hAnsi="宋体" w:eastAsia="宋体" w:cs="宋体"/>
                      <w:color w:val="auto"/>
                      <w:kern w:val="2"/>
                      <w:sz w:val="21"/>
                      <w:szCs w:val="21"/>
                      <w:highlight w:val="none"/>
                    </w:rPr>
                    <w:t>本项目投标截止日前</w:t>
                  </w:r>
                  <w:r>
                    <w:rPr>
                      <w:rFonts w:hint="eastAsia" w:ascii="宋体" w:hAnsi="宋体" w:eastAsia="宋体" w:cs="宋体"/>
                      <w:sz w:val="21"/>
                      <w:szCs w:val="21"/>
                    </w:rPr>
                    <w:t>，投标人获得政府部门、事业单位颁发的社工服务类奖励或奖项</w:t>
                  </w:r>
                  <w:r>
                    <w:rPr>
                      <w:rFonts w:hint="eastAsia" w:ascii="宋体" w:hAnsi="宋体" w:eastAsia="宋体" w:cs="宋体"/>
                      <w:sz w:val="21"/>
                      <w:szCs w:val="21"/>
                      <w:highlight w:val="yellow"/>
                    </w:rPr>
                    <w:t>(同一项</w:t>
                  </w:r>
                  <w:r>
                    <w:rPr>
                      <w:rFonts w:hint="eastAsia" w:ascii="宋体" w:hAnsi="宋体" w:eastAsia="宋体" w:cs="宋体"/>
                      <w:sz w:val="21"/>
                      <w:szCs w:val="21"/>
                      <w:highlight w:val="yellow"/>
                      <w:lang w:eastAsia="zh-CN"/>
                    </w:rPr>
                    <w:t>目</w:t>
                  </w:r>
                  <w:r>
                    <w:rPr>
                      <w:rFonts w:hint="eastAsia" w:ascii="宋体" w:hAnsi="宋体" w:eastAsia="宋体" w:cs="宋体"/>
                      <w:sz w:val="21"/>
                      <w:szCs w:val="21"/>
                      <w:highlight w:val="yellow"/>
                    </w:rPr>
                    <w:t>获得多个奖励奖项的，按最高</w:t>
                  </w:r>
                  <w:r>
                    <w:rPr>
                      <w:rFonts w:hint="eastAsia" w:ascii="宋体" w:hAnsi="宋体" w:eastAsia="宋体" w:cs="宋体"/>
                      <w:sz w:val="21"/>
                      <w:szCs w:val="21"/>
                      <w:highlight w:val="yellow"/>
                      <w:lang w:eastAsia="zh-CN"/>
                    </w:rPr>
                    <w:t>级别奖项</w:t>
                  </w:r>
                  <w:r>
                    <w:rPr>
                      <w:rFonts w:hint="eastAsia" w:ascii="宋体" w:hAnsi="宋体" w:eastAsia="宋体" w:cs="宋体"/>
                      <w:sz w:val="21"/>
                      <w:szCs w:val="21"/>
                      <w:highlight w:val="yellow"/>
                    </w:rPr>
                    <w:t>计算</w:t>
                  </w:r>
                  <w:r>
                    <w:rPr>
                      <w:rFonts w:hint="eastAsia" w:ascii="宋体" w:hAnsi="宋体" w:eastAsia="宋体" w:cs="宋体"/>
                      <w:sz w:val="21"/>
                      <w:szCs w:val="21"/>
                      <w:highlight w:val="yellow"/>
                      <w:lang w:eastAsia="zh-CN"/>
                    </w:rPr>
                    <w:t>得分</w:t>
                  </w:r>
                  <w:r>
                    <w:rPr>
                      <w:rFonts w:hint="eastAsia" w:ascii="宋体" w:hAnsi="宋体" w:eastAsia="宋体" w:cs="宋体"/>
                      <w:sz w:val="21"/>
                      <w:szCs w:val="21"/>
                      <w:highlight w:val="yellow"/>
                    </w:rPr>
                    <w:t>，</w:t>
                  </w:r>
                  <w:r>
                    <w:rPr>
                      <w:rFonts w:hint="eastAsia" w:ascii="宋体" w:hAnsi="宋体" w:eastAsia="宋体" w:cs="宋体"/>
                      <w:sz w:val="21"/>
                      <w:szCs w:val="21"/>
                      <w:highlight w:val="yellow"/>
                      <w:lang w:eastAsia="zh-CN"/>
                    </w:rPr>
                    <w:t>不重复得分</w:t>
                  </w:r>
                  <w:r>
                    <w:rPr>
                      <w:rFonts w:hint="eastAsia" w:ascii="宋体" w:hAnsi="宋体" w:eastAsia="宋体" w:cs="宋体"/>
                      <w:sz w:val="21"/>
                      <w:szCs w:val="21"/>
                      <w:highlight w:val="yellow"/>
                    </w:rPr>
                    <w:t>)</w:t>
                  </w:r>
                  <w:r>
                    <w:rPr>
                      <w:rFonts w:hint="eastAsia" w:ascii="宋体" w:hAnsi="宋体" w:eastAsia="宋体" w:cs="宋体"/>
                      <w:sz w:val="21"/>
                      <w:szCs w:val="21"/>
                    </w:rPr>
                    <w:t>，最高得100分：</w:t>
                  </w:r>
                </w:p>
                <w:p w14:paraId="283FDDAD">
                  <w:pPr>
                    <w:keepNext w:val="0"/>
                    <w:keepLines/>
                    <w:pageBreakBefore w:val="0"/>
                    <w:widowControl w:val="0"/>
                    <w:kinsoku/>
                    <w:wordWrap w:val="0"/>
                    <w:overflowPunct/>
                    <w:topLinePunct w:val="0"/>
                    <w:autoSpaceDE/>
                    <w:autoSpaceDN/>
                    <w:bidi w:val="0"/>
                    <w:adjustRightInd/>
                    <w:snapToGrid/>
                    <w:textAlignment w:val="auto"/>
                    <w:rPr>
                      <w:rFonts w:hint="eastAsia" w:ascii="宋体" w:hAnsi="宋体" w:eastAsia="宋体" w:cs="宋体"/>
                      <w:sz w:val="21"/>
                      <w:szCs w:val="21"/>
                    </w:rPr>
                  </w:pPr>
                  <w:r>
                    <w:rPr>
                      <w:rFonts w:hint="eastAsia" w:ascii="宋体" w:hAnsi="宋体" w:eastAsia="宋体" w:cs="宋体"/>
                      <w:sz w:val="21"/>
                      <w:szCs w:val="21"/>
                      <w:lang w:eastAsia="zh-CN"/>
                    </w:rPr>
                    <w:t>①</w:t>
                  </w:r>
                  <w:r>
                    <w:rPr>
                      <w:rFonts w:hint="eastAsia" w:ascii="宋体" w:hAnsi="宋体" w:eastAsia="宋体" w:cs="宋体"/>
                      <w:sz w:val="21"/>
                      <w:szCs w:val="21"/>
                    </w:rPr>
                    <w:t>省级或以上奖励奖项，每</w:t>
                  </w:r>
                  <w:r>
                    <w:rPr>
                      <w:rFonts w:hint="eastAsia" w:ascii="宋体" w:hAnsi="宋体" w:eastAsia="宋体" w:cs="宋体"/>
                      <w:sz w:val="21"/>
                      <w:szCs w:val="21"/>
                      <w:lang w:val="en-US" w:eastAsia="zh-CN"/>
                    </w:rPr>
                    <w:t>个</w:t>
                  </w:r>
                  <w:r>
                    <w:rPr>
                      <w:rFonts w:hint="eastAsia" w:ascii="宋体" w:hAnsi="宋体" w:eastAsia="宋体" w:cs="宋体"/>
                      <w:sz w:val="21"/>
                      <w:szCs w:val="21"/>
                    </w:rPr>
                    <w:t>得50分；</w:t>
                  </w:r>
                </w:p>
                <w:p w14:paraId="57D1131D">
                  <w:pPr>
                    <w:keepNext w:val="0"/>
                    <w:keepLines/>
                    <w:pageBreakBefore w:val="0"/>
                    <w:widowControl w:val="0"/>
                    <w:kinsoku/>
                    <w:wordWrap w:val="0"/>
                    <w:overflowPunct/>
                    <w:topLinePunct w:val="0"/>
                    <w:autoSpaceDE/>
                    <w:autoSpaceDN/>
                    <w:bidi w:val="0"/>
                    <w:adjustRightInd/>
                    <w:snapToGrid/>
                    <w:textAlignment w:val="auto"/>
                    <w:rPr>
                      <w:rFonts w:hint="eastAsia" w:ascii="宋体" w:hAnsi="宋体" w:eastAsia="宋体" w:cs="宋体"/>
                      <w:sz w:val="21"/>
                      <w:szCs w:val="21"/>
                    </w:rPr>
                  </w:pPr>
                  <w:r>
                    <w:rPr>
                      <w:rFonts w:hint="eastAsia" w:ascii="宋体" w:hAnsi="宋体" w:eastAsia="宋体" w:cs="宋体"/>
                      <w:sz w:val="21"/>
                      <w:szCs w:val="21"/>
                      <w:lang w:eastAsia="zh-CN"/>
                    </w:rPr>
                    <w:t>②</w:t>
                  </w:r>
                  <w:r>
                    <w:rPr>
                      <w:rFonts w:hint="eastAsia" w:ascii="宋体" w:hAnsi="宋体" w:eastAsia="宋体" w:cs="宋体"/>
                      <w:sz w:val="21"/>
                      <w:szCs w:val="21"/>
                    </w:rPr>
                    <w:t>市级</w:t>
                  </w:r>
                  <w:r>
                    <w:rPr>
                      <w:rFonts w:hint="eastAsia" w:ascii="宋体" w:hAnsi="宋体" w:eastAsia="宋体" w:cs="宋体"/>
                      <w:sz w:val="21"/>
                      <w:szCs w:val="21"/>
                      <w:highlight w:val="yellow"/>
                      <w:lang w:val="en-US" w:eastAsia="zh-CN"/>
                    </w:rPr>
                    <w:t>（含副省级市）</w:t>
                  </w:r>
                  <w:r>
                    <w:rPr>
                      <w:rFonts w:hint="eastAsia" w:ascii="宋体" w:hAnsi="宋体" w:eastAsia="宋体" w:cs="宋体"/>
                      <w:sz w:val="21"/>
                      <w:szCs w:val="21"/>
                    </w:rPr>
                    <w:t>奖励奖项，每</w:t>
                  </w:r>
                  <w:r>
                    <w:rPr>
                      <w:rFonts w:hint="eastAsia" w:ascii="宋体" w:hAnsi="宋体" w:eastAsia="宋体" w:cs="宋体"/>
                      <w:sz w:val="21"/>
                      <w:szCs w:val="21"/>
                      <w:lang w:val="en-US" w:eastAsia="zh-CN"/>
                    </w:rPr>
                    <w:t>个</w:t>
                  </w:r>
                  <w:r>
                    <w:rPr>
                      <w:rFonts w:hint="eastAsia" w:ascii="宋体" w:hAnsi="宋体" w:eastAsia="宋体" w:cs="宋体"/>
                      <w:sz w:val="21"/>
                      <w:szCs w:val="21"/>
                    </w:rPr>
                    <w:t>得30分；</w:t>
                  </w:r>
                </w:p>
                <w:p w14:paraId="240EE35C">
                  <w:pPr>
                    <w:keepNext w:val="0"/>
                    <w:keepLines/>
                    <w:pageBreakBefore w:val="0"/>
                    <w:widowControl w:val="0"/>
                    <w:kinsoku/>
                    <w:wordWrap w:val="0"/>
                    <w:overflowPunct/>
                    <w:topLinePunct w:val="0"/>
                    <w:autoSpaceDE/>
                    <w:autoSpaceDN/>
                    <w:bidi w:val="0"/>
                    <w:adjustRightInd/>
                    <w:snapToGrid/>
                    <w:textAlignment w:val="auto"/>
                    <w:rPr>
                      <w:rFonts w:hint="eastAsia" w:ascii="宋体" w:hAnsi="宋体" w:eastAsia="宋体" w:cs="宋体"/>
                      <w:sz w:val="21"/>
                      <w:szCs w:val="21"/>
                    </w:rPr>
                  </w:pPr>
                  <w:r>
                    <w:rPr>
                      <w:rFonts w:hint="eastAsia" w:ascii="宋体" w:hAnsi="宋体" w:eastAsia="宋体" w:cs="宋体"/>
                      <w:sz w:val="21"/>
                      <w:szCs w:val="21"/>
                      <w:lang w:eastAsia="zh-CN"/>
                    </w:rPr>
                    <w:t>③</w:t>
                  </w:r>
                  <w:r>
                    <w:rPr>
                      <w:rFonts w:hint="eastAsia" w:ascii="宋体" w:hAnsi="宋体" w:eastAsia="宋体" w:cs="宋体"/>
                      <w:sz w:val="21"/>
                      <w:szCs w:val="21"/>
                    </w:rPr>
                    <w:t>区级奖励奖项，每</w:t>
                  </w:r>
                  <w:r>
                    <w:rPr>
                      <w:rFonts w:hint="eastAsia" w:ascii="宋体" w:hAnsi="宋体" w:eastAsia="宋体" w:cs="宋体"/>
                      <w:sz w:val="21"/>
                      <w:szCs w:val="21"/>
                      <w:lang w:val="en-US" w:eastAsia="zh-CN"/>
                    </w:rPr>
                    <w:t>个</w:t>
                  </w:r>
                  <w:r>
                    <w:rPr>
                      <w:rFonts w:hint="eastAsia" w:ascii="宋体" w:hAnsi="宋体" w:eastAsia="宋体" w:cs="宋体"/>
                      <w:sz w:val="21"/>
                      <w:szCs w:val="21"/>
                    </w:rPr>
                    <w:t>得20分；</w:t>
                  </w:r>
                </w:p>
                <w:p w14:paraId="54DB7D17">
                  <w:pPr>
                    <w:keepNext w:val="0"/>
                    <w:keepLines/>
                    <w:pageBreakBefore w:val="0"/>
                    <w:widowControl w:val="0"/>
                    <w:kinsoku/>
                    <w:wordWrap w:val="0"/>
                    <w:overflowPunct/>
                    <w:topLinePunct w:val="0"/>
                    <w:autoSpaceDE/>
                    <w:autoSpaceDN/>
                    <w:bidi w:val="0"/>
                    <w:adjustRightInd/>
                    <w:snapToGrid/>
                    <w:textAlignment w:val="auto"/>
                    <w:rPr>
                      <w:rFonts w:hint="eastAsia" w:ascii="宋体" w:hAnsi="宋体" w:eastAsia="宋体" w:cs="宋体"/>
                      <w:sz w:val="21"/>
                      <w:szCs w:val="21"/>
                    </w:rPr>
                  </w:pPr>
                  <w:r>
                    <w:rPr>
                      <w:rFonts w:hint="eastAsia" w:ascii="宋体" w:hAnsi="宋体" w:eastAsia="宋体" w:cs="宋体"/>
                      <w:sz w:val="21"/>
                      <w:szCs w:val="21"/>
                    </w:rPr>
                    <w:t>其他情况不得分。</w:t>
                  </w:r>
                </w:p>
                <w:p w14:paraId="28012E74">
                  <w:pPr>
                    <w:keepNext w:val="0"/>
                    <w:keepLines/>
                    <w:pageBreakBefore w:val="0"/>
                    <w:widowControl w:val="0"/>
                    <w:kinsoku/>
                    <w:wordWrap w:val="0"/>
                    <w:overflowPunct/>
                    <w:topLinePunct w:val="0"/>
                    <w:autoSpaceDE/>
                    <w:autoSpaceDN/>
                    <w:bidi w:val="0"/>
                    <w:adjustRightInd/>
                    <w:snapToGrid/>
                    <w:textAlignment w:val="auto"/>
                    <w:rPr>
                      <w:rFonts w:hint="eastAsia" w:ascii="宋体" w:hAnsi="宋体" w:eastAsia="宋体" w:cs="宋体"/>
                      <w:b/>
                      <w:bCs/>
                      <w:sz w:val="21"/>
                      <w:szCs w:val="21"/>
                    </w:rPr>
                  </w:pPr>
                  <w:r>
                    <w:rPr>
                      <w:rFonts w:hint="eastAsia" w:ascii="宋体" w:hAnsi="宋体" w:eastAsia="宋体" w:cs="宋体"/>
                      <w:b/>
                      <w:bCs/>
                      <w:sz w:val="21"/>
                      <w:szCs w:val="21"/>
                    </w:rPr>
                    <w:t>证明文件：</w:t>
                  </w:r>
                </w:p>
                <w:p w14:paraId="25F17396">
                  <w:pPr>
                    <w:keepNext w:val="0"/>
                    <w:keepLines/>
                    <w:pageBreakBefore w:val="0"/>
                    <w:widowControl w:val="0"/>
                    <w:kinsoku/>
                    <w:wordWrap w:val="0"/>
                    <w:overflowPunct/>
                    <w:topLinePunct w:val="0"/>
                    <w:autoSpaceDE/>
                    <w:autoSpaceDN/>
                    <w:bidi w:val="0"/>
                    <w:adjustRightInd/>
                    <w:snapToGrid/>
                    <w:textAlignment w:val="auto"/>
                    <w:rPr>
                      <w:rStyle w:val="251"/>
                      <w:rFonts w:hint="eastAsia" w:ascii="宋体" w:hAnsi="宋体" w:eastAsia="宋体" w:cs="宋体"/>
                      <w:color w:val="auto"/>
                      <w:sz w:val="21"/>
                      <w:szCs w:val="21"/>
                      <w:lang w:bidi="ar"/>
                    </w:rPr>
                  </w:pPr>
                  <w:r>
                    <w:rPr>
                      <w:rFonts w:hint="eastAsia" w:ascii="宋体" w:hAnsi="宋体" w:eastAsia="宋体" w:cs="宋体"/>
                      <w:sz w:val="21"/>
                      <w:szCs w:val="21"/>
                    </w:rPr>
                    <w:t>提供以上相关奖励奖项证明材料扫描件，</w:t>
                  </w:r>
                  <w:r>
                    <w:rPr>
                      <w:rFonts w:hint="eastAsia" w:ascii="宋体" w:hAnsi="宋体" w:eastAsia="宋体" w:cs="宋体"/>
                      <w:color w:val="auto"/>
                      <w:sz w:val="21"/>
                      <w:szCs w:val="21"/>
                    </w:rPr>
                    <w:t>原件备查，未提供或提供不清晰导致无法判断的不得分。</w:t>
                  </w:r>
                </w:p>
              </w:tc>
            </w:tr>
            <w:tr w14:paraId="5B3B80C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90" w:hRule="atLeast"/>
                <w:jc w:val="center"/>
              </w:trPr>
              <w:tc>
                <w:tcPr>
                  <w:tcW w:w="380" w:type="pct"/>
                  <w:vMerge w:val="continue"/>
                  <w:tcBorders>
                    <w:top w:val="single" w:color="000000" w:sz="8" w:space="0"/>
                    <w:left w:val="single" w:color="000000" w:sz="8" w:space="0"/>
                    <w:bottom w:val="single" w:color="000000" w:sz="8" w:space="0"/>
                    <w:right w:val="single" w:color="000000" w:sz="8" w:space="0"/>
                  </w:tcBorders>
                  <w:vAlign w:val="center"/>
                </w:tcPr>
                <w:p w14:paraId="7D0C85E1">
                  <w:pPr>
                    <w:keepNext w:val="0"/>
                    <w:pageBreakBefore w:val="0"/>
                    <w:kinsoku/>
                    <w:overflowPunct/>
                    <w:topLinePunct w:val="0"/>
                    <w:bidi w:val="0"/>
                    <w:snapToGrid/>
                    <w:spacing w:line="240" w:lineRule="auto"/>
                    <w:rPr>
                      <w:rFonts w:hint="eastAsia" w:ascii="宋体" w:hAnsi="宋体" w:eastAsia="宋体" w:cs="宋体"/>
                      <w:b/>
                      <w:bCs/>
                      <w:color w:val="0000FF"/>
                      <w:sz w:val="21"/>
                      <w:szCs w:val="21"/>
                      <w:highlight w:val="none"/>
                    </w:rPr>
                  </w:pPr>
                </w:p>
              </w:tc>
              <w:tc>
                <w:tcPr>
                  <w:tcW w:w="404" w:type="pct"/>
                  <w:tcBorders>
                    <w:top w:val="single" w:color="000000" w:sz="8" w:space="0"/>
                    <w:left w:val="single" w:color="000000" w:sz="8" w:space="0"/>
                    <w:bottom w:val="single" w:color="000000" w:sz="8" w:space="0"/>
                    <w:right w:val="single" w:color="000000" w:sz="8" w:space="0"/>
                  </w:tcBorders>
                  <w:vAlign w:val="center"/>
                </w:tcPr>
                <w:p w14:paraId="631849D7">
                  <w:pPr>
                    <w:keepNext w:val="0"/>
                    <w:keepLines/>
                    <w:pageBreakBefore w:val="0"/>
                    <w:widowControl w:val="0"/>
                    <w:kinsoku/>
                    <w:overflowPunct/>
                    <w:topLinePunct w:val="0"/>
                    <w:bidi w:val="0"/>
                    <w:snapToGrid/>
                    <w:jc w:val="center"/>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000000" w:themeColor="text1"/>
                      <w:sz w:val="21"/>
                      <w:szCs w:val="21"/>
                      <w14:textFill>
                        <w14:solidFill>
                          <w14:schemeClr w14:val="tx1"/>
                        </w14:solidFill>
                      </w14:textFill>
                    </w:rPr>
                    <w:t>6</w:t>
                  </w:r>
                </w:p>
              </w:tc>
              <w:tc>
                <w:tcPr>
                  <w:tcW w:w="1354" w:type="pct"/>
                  <w:tcBorders>
                    <w:top w:val="single" w:color="000000" w:sz="8" w:space="0"/>
                    <w:left w:val="single" w:color="000000" w:sz="8" w:space="0"/>
                    <w:bottom w:val="single" w:color="000000" w:sz="8" w:space="0"/>
                    <w:right w:val="single" w:color="000000" w:sz="8" w:space="0"/>
                  </w:tcBorders>
                  <w:vAlign w:val="center"/>
                </w:tcPr>
                <w:p w14:paraId="116A4A3C">
                  <w:pPr>
                    <w:pStyle w:val="164"/>
                    <w:keepNext w:val="0"/>
                    <w:keepLines/>
                    <w:pageBreakBefore w:val="0"/>
                    <w:widowControl w:val="0"/>
                    <w:kinsoku/>
                    <w:overflowPunct/>
                    <w:topLinePunct w:val="0"/>
                    <w:bidi w:val="0"/>
                    <w:snapToGrid/>
                    <w:jc w:val="center"/>
                    <w:textAlignment w:val="auto"/>
                    <w:rPr>
                      <w:rFonts w:hint="eastAsia" w:ascii="宋体" w:hAnsi="宋体" w:eastAsia="宋体" w:cs="宋体"/>
                      <w:color w:val="auto"/>
                      <w:sz w:val="21"/>
                      <w:szCs w:val="21"/>
                      <w:highlight w:val="none"/>
                    </w:rPr>
                  </w:pPr>
                  <w:r>
                    <w:rPr>
                      <w:rFonts w:hint="eastAsia" w:ascii="宋体" w:hAnsi="宋体" w:eastAsia="宋体" w:cs="宋体"/>
                      <w:color w:val="auto"/>
                      <w:kern w:val="2"/>
                      <w:sz w:val="21"/>
                      <w:szCs w:val="21"/>
                    </w:rPr>
                    <w:t>投标人党建工作情况</w:t>
                  </w:r>
                </w:p>
              </w:tc>
              <w:tc>
                <w:tcPr>
                  <w:tcW w:w="357" w:type="pct"/>
                  <w:tcBorders>
                    <w:top w:val="single" w:color="000000" w:sz="8" w:space="0"/>
                    <w:left w:val="single" w:color="000000" w:sz="8" w:space="0"/>
                    <w:bottom w:val="single" w:color="000000" w:sz="8" w:space="0"/>
                    <w:right w:val="single" w:color="000000" w:sz="8" w:space="0"/>
                  </w:tcBorders>
                  <w:vAlign w:val="center"/>
                </w:tcPr>
                <w:p w14:paraId="3D71135B">
                  <w:pPr>
                    <w:keepNext w:val="0"/>
                    <w:keepLines/>
                    <w:pageBreakBefore w:val="0"/>
                    <w:widowControl w:val="0"/>
                    <w:kinsoku/>
                    <w:overflowPunct/>
                    <w:topLinePunct w:val="0"/>
                    <w:bidi w:val="0"/>
                    <w:snapToGrid/>
                    <w:jc w:val="center"/>
                    <w:textAlignment w:val="auto"/>
                    <w:rPr>
                      <w:rFonts w:hint="eastAsia" w:ascii="宋体" w:hAnsi="宋体" w:eastAsia="宋体" w:cs="宋体"/>
                      <w:color w:val="auto"/>
                      <w:sz w:val="21"/>
                      <w:szCs w:val="21"/>
                      <w:highlight w:val="none"/>
                    </w:rPr>
                  </w:pPr>
                  <w:r>
                    <w:rPr>
                      <w:rFonts w:hint="eastAsia" w:ascii="宋体" w:hAnsi="宋体" w:eastAsia="宋体" w:cs="宋体"/>
                      <w:sz w:val="21"/>
                      <w:szCs w:val="21"/>
                    </w:rPr>
                    <w:t>5</w:t>
                  </w:r>
                </w:p>
              </w:tc>
              <w:tc>
                <w:tcPr>
                  <w:tcW w:w="2501" w:type="pct"/>
                  <w:tcBorders>
                    <w:top w:val="single" w:color="000000" w:sz="8" w:space="0"/>
                    <w:left w:val="single" w:color="000000" w:sz="8" w:space="0"/>
                    <w:bottom w:val="single" w:color="000000" w:sz="8" w:space="0"/>
                    <w:right w:val="single" w:color="000000" w:sz="8" w:space="0"/>
                  </w:tcBorders>
                  <w:vAlign w:val="center"/>
                </w:tcPr>
                <w:p w14:paraId="75945877">
                  <w:pPr>
                    <w:pStyle w:val="164"/>
                    <w:keepNext w:val="0"/>
                    <w:keepLines/>
                    <w:pageBreakBefore w:val="0"/>
                    <w:widowControl w:val="0"/>
                    <w:kinsoku/>
                    <w:overflowPunct/>
                    <w:topLinePunct w:val="0"/>
                    <w:bidi w:val="0"/>
                    <w:snapToGrid/>
                    <w:textAlignment w:val="auto"/>
                    <w:rPr>
                      <w:rFonts w:hint="eastAsia" w:ascii="宋体" w:hAnsi="宋体" w:eastAsia="宋体" w:cs="宋体"/>
                      <w:b/>
                      <w:bCs/>
                      <w:color w:val="auto"/>
                      <w:kern w:val="2"/>
                      <w:sz w:val="21"/>
                      <w:szCs w:val="21"/>
                    </w:rPr>
                  </w:pPr>
                  <w:r>
                    <w:rPr>
                      <w:rFonts w:hint="eastAsia" w:ascii="宋体" w:hAnsi="宋体" w:eastAsia="宋体" w:cs="宋体"/>
                      <w:b/>
                      <w:bCs/>
                      <w:color w:val="auto"/>
                      <w:kern w:val="2"/>
                      <w:sz w:val="21"/>
                      <w:szCs w:val="21"/>
                    </w:rPr>
                    <w:t>评审标准：</w:t>
                  </w:r>
                </w:p>
                <w:p w14:paraId="3148898E">
                  <w:pPr>
                    <w:pStyle w:val="164"/>
                    <w:keepNext w:val="0"/>
                    <w:keepLines/>
                    <w:pageBreakBefore w:val="0"/>
                    <w:widowControl w:val="0"/>
                    <w:kinsoku/>
                    <w:overflowPunct/>
                    <w:topLinePunct w:val="0"/>
                    <w:bidi w:val="0"/>
                    <w:snapToGrid/>
                    <w:textAlignment w:val="auto"/>
                    <w:rPr>
                      <w:rFonts w:hint="eastAsia" w:ascii="宋体" w:hAnsi="宋体" w:eastAsia="宋体" w:cs="宋体"/>
                      <w:color w:val="auto"/>
                      <w:kern w:val="2"/>
                      <w:sz w:val="21"/>
                      <w:szCs w:val="21"/>
                    </w:rPr>
                  </w:pPr>
                  <w:r>
                    <w:rPr>
                      <w:rFonts w:hint="eastAsia" w:ascii="宋体" w:hAnsi="宋体" w:eastAsia="宋体" w:cs="宋体"/>
                      <w:color w:val="auto"/>
                      <w:kern w:val="2"/>
                      <w:sz w:val="21"/>
                      <w:szCs w:val="21"/>
                    </w:rPr>
                    <w:t>根据《深圳市社会组织党的建设工作规定（试行）》要求，对投标人党建工作情况进行评价：</w:t>
                  </w:r>
                </w:p>
                <w:p w14:paraId="71786F36">
                  <w:pPr>
                    <w:pStyle w:val="164"/>
                    <w:keepNext w:val="0"/>
                    <w:keepLines/>
                    <w:pageBreakBefore w:val="0"/>
                    <w:widowControl w:val="0"/>
                    <w:tabs>
                      <w:tab w:val="left" w:pos="200"/>
                    </w:tabs>
                    <w:kinsoku/>
                    <w:overflowPunct/>
                    <w:topLinePunct w:val="0"/>
                    <w:bidi w:val="0"/>
                    <w:snapToGrid/>
                    <w:textAlignment w:val="auto"/>
                    <w:rPr>
                      <w:rFonts w:hint="eastAsia" w:ascii="宋体" w:hAnsi="宋体" w:eastAsia="宋体" w:cs="宋体"/>
                      <w:color w:val="auto"/>
                      <w:kern w:val="2"/>
                      <w:sz w:val="21"/>
                      <w:szCs w:val="21"/>
                    </w:rPr>
                  </w:pPr>
                  <w:r>
                    <w:rPr>
                      <w:rFonts w:hint="eastAsia" w:ascii="宋体" w:hAnsi="宋体" w:eastAsia="宋体" w:cs="宋体"/>
                      <w:color w:val="auto"/>
                      <w:kern w:val="2"/>
                      <w:sz w:val="21"/>
                      <w:szCs w:val="21"/>
                      <w:lang w:eastAsia="zh-CN"/>
                    </w:rPr>
                    <w:t>①</w:t>
                  </w:r>
                  <w:r>
                    <w:rPr>
                      <w:rFonts w:hint="eastAsia" w:ascii="宋体" w:hAnsi="宋体" w:eastAsia="宋体" w:cs="宋体"/>
                      <w:color w:val="auto"/>
                      <w:kern w:val="2"/>
                      <w:sz w:val="21"/>
                      <w:szCs w:val="21"/>
                    </w:rPr>
                    <w:t>将党建工作写入章程的，得30分；</w:t>
                  </w:r>
                </w:p>
                <w:p w14:paraId="235E8E10">
                  <w:pPr>
                    <w:pStyle w:val="164"/>
                    <w:keepNext w:val="0"/>
                    <w:keepLines/>
                    <w:pageBreakBefore w:val="0"/>
                    <w:widowControl w:val="0"/>
                    <w:kinsoku/>
                    <w:overflowPunct/>
                    <w:topLinePunct w:val="0"/>
                    <w:bidi w:val="0"/>
                    <w:snapToGrid/>
                    <w:textAlignment w:val="auto"/>
                    <w:rPr>
                      <w:rFonts w:hint="eastAsia" w:ascii="宋体" w:hAnsi="宋体" w:eastAsia="宋体" w:cs="宋体"/>
                      <w:color w:val="000000" w:themeColor="text1"/>
                      <w:kern w:val="2"/>
                      <w:sz w:val="21"/>
                      <w:szCs w:val="21"/>
                      <w14:textFill>
                        <w14:solidFill>
                          <w14:schemeClr w14:val="tx1"/>
                        </w14:solidFill>
                      </w14:textFill>
                    </w:rPr>
                  </w:pPr>
                  <w:r>
                    <w:rPr>
                      <w:rFonts w:hint="eastAsia" w:ascii="宋体" w:hAnsi="宋体" w:eastAsia="宋体" w:cs="宋体"/>
                      <w:color w:val="000000" w:themeColor="text1"/>
                      <w:kern w:val="2"/>
                      <w:sz w:val="21"/>
                      <w:szCs w:val="21"/>
                      <w:lang w:eastAsia="zh-CN"/>
                      <w14:textFill>
                        <w14:solidFill>
                          <w14:schemeClr w14:val="tx1"/>
                        </w14:solidFill>
                      </w14:textFill>
                    </w:rPr>
                    <w:t>②</w:t>
                  </w:r>
                  <w:r>
                    <w:rPr>
                      <w:rFonts w:hint="eastAsia" w:ascii="宋体" w:hAnsi="宋体" w:eastAsia="宋体" w:cs="宋体"/>
                      <w:color w:val="000000" w:themeColor="text1"/>
                      <w:kern w:val="2"/>
                      <w:sz w:val="21"/>
                      <w:szCs w:val="21"/>
                      <w14:textFill>
                        <w14:solidFill>
                          <w14:schemeClr w14:val="tx1"/>
                        </w14:solidFill>
                      </w14:textFill>
                    </w:rPr>
                    <w:t>有成立党支部的，得30分；</w:t>
                  </w:r>
                </w:p>
                <w:p w14:paraId="31A7927E">
                  <w:pPr>
                    <w:pStyle w:val="164"/>
                    <w:keepNext w:val="0"/>
                    <w:keepLines/>
                    <w:pageBreakBefore w:val="0"/>
                    <w:widowControl w:val="0"/>
                    <w:kinsoku/>
                    <w:overflowPunct/>
                    <w:topLinePunct w:val="0"/>
                    <w:bidi w:val="0"/>
                    <w:snapToGrid/>
                    <w:textAlignment w:val="auto"/>
                    <w:rPr>
                      <w:rFonts w:hint="eastAsia" w:ascii="宋体" w:hAnsi="宋体" w:eastAsia="宋体" w:cs="宋体"/>
                      <w:color w:val="000000" w:themeColor="text1"/>
                      <w:kern w:val="2"/>
                      <w:sz w:val="21"/>
                      <w:szCs w:val="21"/>
                      <w14:textFill>
                        <w14:solidFill>
                          <w14:schemeClr w14:val="tx1"/>
                        </w14:solidFill>
                      </w14:textFill>
                    </w:rPr>
                  </w:pPr>
                  <w:r>
                    <w:rPr>
                      <w:rFonts w:hint="eastAsia" w:ascii="宋体" w:hAnsi="宋体" w:eastAsia="宋体" w:cs="宋体"/>
                      <w:color w:val="000000" w:themeColor="text1"/>
                      <w:kern w:val="2"/>
                      <w:sz w:val="21"/>
                      <w:szCs w:val="21"/>
                      <w:lang w:eastAsia="zh-CN"/>
                      <w14:textFill>
                        <w14:solidFill>
                          <w14:schemeClr w14:val="tx1"/>
                        </w14:solidFill>
                      </w14:textFill>
                    </w:rPr>
                    <w:t>③</w:t>
                  </w:r>
                  <w:r>
                    <w:rPr>
                      <w:rFonts w:hint="eastAsia" w:ascii="宋体" w:hAnsi="宋体" w:eastAsia="宋体" w:cs="宋体"/>
                      <w:color w:val="000000" w:themeColor="text1"/>
                      <w:kern w:val="2"/>
                      <w:sz w:val="21"/>
                      <w:szCs w:val="21"/>
                      <w14:textFill>
                        <w14:solidFill>
                          <w14:schemeClr w14:val="tx1"/>
                        </w14:solidFill>
                      </w14:textFill>
                    </w:rPr>
                    <w:t>党支部获得区级或以上</w:t>
                  </w:r>
                  <w:r>
                    <w:rPr>
                      <w:rFonts w:hint="eastAsia" w:ascii="宋体" w:hAnsi="宋体" w:eastAsia="宋体" w:cs="宋体"/>
                      <w:color w:val="000000" w:themeColor="text1"/>
                      <w:kern w:val="2"/>
                      <w:sz w:val="21"/>
                      <w:szCs w:val="21"/>
                      <w:lang w:eastAsia="zh-CN"/>
                      <w14:textFill>
                        <w14:solidFill>
                          <w14:schemeClr w14:val="tx1"/>
                        </w14:solidFill>
                      </w14:textFill>
                    </w:rPr>
                    <w:t>党政机关</w:t>
                  </w:r>
                  <w:r>
                    <w:rPr>
                      <w:rFonts w:hint="eastAsia" w:ascii="宋体" w:hAnsi="宋体" w:eastAsia="宋体" w:cs="宋体"/>
                      <w:color w:val="000000" w:themeColor="text1"/>
                      <w:kern w:val="2"/>
                      <w:sz w:val="21"/>
                      <w:szCs w:val="21"/>
                      <w14:textFill>
                        <w14:solidFill>
                          <w14:schemeClr w14:val="tx1"/>
                        </w14:solidFill>
                      </w14:textFill>
                    </w:rPr>
                    <w:t>颁发的荣誉或奖项得40分。</w:t>
                  </w:r>
                </w:p>
                <w:p w14:paraId="0D9CAB56">
                  <w:pPr>
                    <w:pStyle w:val="164"/>
                    <w:keepNext w:val="0"/>
                    <w:keepLines/>
                    <w:pageBreakBefore w:val="0"/>
                    <w:widowControl w:val="0"/>
                    <w:kinsoku/>
                    <w:overflowPunct/>
                    <w:topLinePunct w:val="0"/>
                    <w:bidi w:val="0"/>
                    <w:snapToGrid/>
                    <w:textAlignment w:val="auto"/>
                    <w:rPr>
                      <w:rFonts w:hint="eastAsia" w:ascii="宋体" w:hAnsi="宋体" w:eastAsia="宋体" w:cs="宋体"/>
                      <w:b/>
                      <w:bCs/>
                      <w:color w:val="000000" w:themeColor="text1"/>
                      <w:kern w:val="2"/>
                      <w:sz w:val="21"/>
                      <w:szCs w:val="21"/>
                      <w14:textFill>
                        <w14:solidFill>
                          <w14:schemeClr w14:val="tx1"/>
                        </w14:solidFill>
                      </w14:textFill>
                    </w:rPr>
                  </w:pPr>
                  <w:r>
                    <w:rPr>
                      <w:rFonts w:hint="eastAsia" w:ascii="宋体" w:hAnsi="宋体" w:eastAsia="宋体" w:cs="宋体"/>
                      <w:b/>
                      <w:bCs/>
                      <w:color w:val="000000" w:themeColor="text1"/>
                      <w:kern w:val="2"/>
                      <w:sz w:val="21"/>
                      <w:szCs w:val="21"/>
                      <w14:textFill>
                        <w14:solidFill>
                          <w14:schemeClr w14:val="tx1"/>
                        </w14:solidFill>
                      </w14:textFill>
                    </w:rPr>
                    <w:t>证明文件：</w:t>
                  </w:r>
                </w:p>
                <w:p w14:paraId="11064453">
                  <w:pPr>
                    <w:pStyle w:val="164"/>
                    <w:keepNext w:val="0"/>
                    <w:keepLines/>
                    <w:pageBreakBefore w:val="0"/>
                    <w:widowControl w:val="0"/>
                    <w:kinsoku/>
                    <w:overflowPunct/>
                    <w:topLinePunct w:val="0"/>
                    <w:bidi w:val="0"/>
                    <w:snapToGrid/>
                    <w:textAlignment w:val="auto"/>
                    <w:rPr>
                      <w:rFonts w:hint="eastAsia" w:ascii="宋体" w:hAnsi="宋体" w:eastAsia="宋体" w:cs="宋体"/>
                      <w:color w:val="auto"/>
                      <w:sz w:val="21"/>
                      <w:szCs w:val="21"/>
                      <w:highlight w:val="none"/>
                    </w:rPr>
                  </w:pPr>
                  <w:r>
                    <w:rPr>
                      <w:rFonts w:hint="eastAsia" w:ascii="宋体" w:hAnsi="宋体" w:eastAsia="宋体" w:cs="宋体"/>
                      <w:color w:val="auto"/>
                      <w:kern w:val="2"/>
                      <w:sz w:val="21"/>
                      <w:szCs w:val="21"/>
                    </w:rPr>
                    <w:t>投标人提供机构章程、党支部成立批复及相关荣誉证书或奖项证书或通报等证明的扫描件，未按要求提供相关材料或扫描件不清晰导致专家无法识别的不计得分。</w:t>
                  </w:r>
                </w:p>
              </w:tc>
            </w:tr>
            <w:tr w14:paraId="7690111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2" w:type="dxa"/>
                  <w:vMerge w:val="restart"/>
                  <w:tcBorders>
                    <w:top w:val="single" w:color="000000" w:sz="8" w:space="0"/>
                    <w:left w:val="single" w:color="000000" w:sz="8" w:space="0"/>
                    <w:bottom w:val="single" w:color="000000" w:sz="8" w:space="0"/>
                    <w:right w:val="single" w:color="000000" w:sz="8" w:space="0"/>
                  </w:tcBorders>
                  <w:vAlign w:val="center"/>
                </w:tcPr>
                <w:p w14:paraId="5A25314F">
                  <w:pPr>
                    <w:keepNext w:val="0"/>
                    <w:pageBreakBefore w:val="0"/>
                    <w:kinsoku/>
                    <w:wordWrap w:val="0"/>
                    <w:overflowPunct/>
                    <w:topLinePunct w:val="0"/>
                    <w:bidi w:val="0"/>
                    <w:snapToGrid/>
                    <w:spacing w:line="240" w:lineRule="auto"/>
                    <w:jc w:val="center"/>
                    <w:rPr>
                      <w:rFonts w:hint="eastAsia" w:ascii="宋体" w:hAnsi="宋体" w:eastAsia="宋体" w:cs="宋体"/>
                      <w:b/>
                      <w:bCs/>
                      <w:color w:val="0000FF"/>
                      <w:sz w:val="21"/>
                      <w:szCs w:val="21"/>
                      <w:highlight w:val="none"/>
                      <w:lang w:val="en-US" w:eastAsia="zh-CN"/>
                    </w:rPr>
                  </w:pPr>
                  <w:r>
                    <w:rPr>
                      <w:rFonts w:hint="eastAsia" w:ascii="宋体" w:hAnsi="宋体" w:eastAsia="宋体" w:cs="宋体"/>
                      <w:b/>
                      <w:bCs/>
                      <w:color w:val="0000FF"/>
                      <w:sz w:val="21"/>
                      <w:szCs w:val="21"/>
                      <w:highlight w:val="none"/>
                      <w:lang w:val="en-US" w:eastAsia="zh-CN"/>
                    </w:rPr>
                    <w:t>3</w:t>
                  </w:r>
                </w:p>
              </w:tc>
              <w:tc>
                <w:tcPr>
                  <w:tcW w:w="3793" w:type="dxa"/>
                  <w:gridSpan w:val="3"/>
                  <w:tcBorders>
                    <w:top w:val="single" w:color="000000" w:sz="8" w:space="0"/>
                    <w:left w:val="single" w:color="000000" w:sz="8" w:space="0"/>
                    <w:bottom w:val="single" w:color="000000" w:sz="8" w:space="0"/>
                    <w:right w:val="single" w:color="000000" w:sz="8" w:space="0"/>
                  </w:tcBorders>
                  <w:vAlign w:val="center"/>
                </w:tcPr>
                <w:p w14:paraId="7B295A48">
                  <w:pPr>
                    <w:keepNext w:val="0"/>
                    <w:pageBreakBefore w:val="0"/>
                    <w:kinsoku/>
                    <w:wordWrap w:val="0"/>
                    <w:overflowPunct/>
                    <w:topLinePunct w:val="0"/>
                    <w:bidi w:val="0"/>
                    <w:snapToGrid/>
                    <w:spacing w:line="240" w:lineRule="auto"/>
                    <w:jc w:val="center"/>
                    <w:rPr>
                      <w:rFonts w:hint="eastAsia" w:ascii="宋体" w:hAnsi="宋体" w:eastAsia="宋体" w:cs="宋体"/>
                      <w:b/>
                      <w:bCs/>
                      <w:color w:val="0000FF"/>
                      <w:sz w:val="21"/>
                      <w:szCs w:val="21"/>
                      <w:highlight w:val="none"/>
                      <w:lang w:val="en-US" w:eastAsia="zh-CN"/>
                    </w:rPr>
                  </w:pPr>
                  <w:r>
                    <w:rPr>
                      <w:rFonts w:hint="eastAsia" w:ascii="宋体" w:hAnsi="宋体" w:eastAsia="宋体" w:cs="宋体"/>
                      <w:b/>
                      <w:bCs/>
                      <w:color w:val="0000FF"/>
                      <w:sz w:val="21"/>
                      <w:szCs w:val="21"/>
                      <w:highlight w:val="none"/>
                      <w:lang w:val="en-US" w:eastAsia="zh-CN"/>
                    </w:rPr>
                    <w:t>技术部分</w:t>
                  </w:r>
                </w:p>
              </w:tc>
              <w:tc>
                <w:tcPr>
                  <w:tcW w:w="4482" w:type="dxa"/>
                  <w:tcBorders>
                    <w:top w:val="single" w:color="000000" w:sz="8" w:space="0"/>
                    <w:left w:val="single" w:color="000000" w:sz="8" w:space="0"/>
                    <w:bottom w:val="single" w:color="000000" w:sz="8" w:space="0"/>
                    <w:right w:val="single" w:color="000000" w:sz="8" w:space="0"/>
                  </w:tcBorders>
                  <w:vAlign w:val="center"/>
                </w:tcPr>
                <w:p w14:paraId="7F91CA4F">
                  <w:pPr>
                    <w:keepNext w:val="0"/>
                    <w:pageBreakBefore w:val="0"/>
                    <w:kinsoku/>
                    <w:wordWrap w:val="0"/>
                    <w:overflowPunct/>
                    <w:topLinePunct w:val="0"/>
                    <w:bidi w:val="0"/>
                    <w:snapToGrid/>
                    <w:spacing w:line="240" w:lineRule="auto"/>
                    <w:jc w:val="center"/>
                    <w:rPr>
                      <w:rFonts w:hint="eastAsia" w:ascii="宋体" w:hAnsi="宋体" w:eastAsia="宋体" w:cs="宋体"/>
                      <w:b/>
                      <w:bCs/>
                      <w:color w:val="0000FF"/>
                      <w:sz w:val="21"/>
                      <w:szCs w:val="21"/>
                      <w:highlight w:val="none"/>
                      <w:lang w:val="en-US" w:eastAsia="zh-CN"/>
                    </w:rPr>
                  </w:pPr>
                  <w:r>
                    <w:rPr>
                      <w:rFonts w:hint="eastAsia" w:ascii="宋体" w:hAnsi="宋体" w:eastAsia="宋体" w:cs="宋体"/>
                      <w:b/>
                      <w:bCs/>
                      <w:color w:val="0000FF"/>
                      <w:sz w:val="21"/>
                      <w:szCs w:val="21"/>
                      <w:highlight w:val="none"/>
                      <w:lang w:val="en-US" w:eastAsia="zh-CN"/>
                    </w:rPr>
                    <w:t>55</w:t>
                  </w:r>
                </w:p>
              </w:tc>
            </w:tr>
            <w:tr w14:paraId="7A10085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380" w:type="pct"/>
                  <w:vMerge w:val="continue"/>
                  <w:tcBorders>
                    <w:top w:val="single" w:color="000000" w:sz="8" w:space="0"/>
                    <w:left w:val="single" w:color="000000" w:sz="8" w:space="0"/>
                    <w:bottom w:val="single" w:color="000000" w:sz="8" w:space="0"/>
                    <w:right w:val="single" w:color="000000" w:sz="8" w:space="0"/>
                  </w:tcBorders>
                  <w:vAlign w:val="center"/>
                </w:tcPr>
                <w:p w14:paraId="5900F133">
                  <w:pPr>
                    <w:keepNext w:val="0"/>
                    <w:pageBreakBefore w:val="0"/>
                    <w:kinsoku/>
                    <w:overflowPunct/>
                    <w:topLinePunct w:val="0"/>
                    <w:bidi w:val="0"/>
                    <w:snapToGrid/>
                    <w:spacing w:line="240" w:lineRule="auto"/>
                    <w:rPr>
                      <w:rFonts w:hint="eastAsia" w:ascii="宋体" w:hAnsi="宋体" w:eastAsia="宋体" w:cs="宋体"/>
                      <w:b/>
                      <w:bCs/>
                      <w:color w:val="0000FF"/>
                      <w:sz w:val="21"/>
                      <w:szCs w:val="21"/>
                      <w:highlight w:val="none"/>
                    </w:rPr>
                  </w:pPr>
                </w:p>
              </w:tc>
              <w:tc>
                <w:tcPr>
                  <w:tcW w:w="4619" w:type="pct"/>
                  <w:gridSpan w:val="4"/>
                  <w:tcBorders>
                    <w:top w:val="single" w:color="000000" w:sz="8" w:space="0"/>
                    <w:left w:val="single" w:color="000000" w:sz="8" w:space="0"/>
                    <w:bottom w:val="single" w:color="000000" w:sz="8" w:space="0"/>
                    <w:right w:val="single" w:color="000000" w:sz="8" w:space="0"/>
                  </w:tcBorders>
                </w:tcPr>
                <w:p w14:paraId="35014D43">
                  <w:pPr>
                    <w:keepNext w:val="0"/>
                    <w:pageBreakBefore w:val="0"/>
                    <w:kinsoku/>
                    <w:wordWrap w:val="0"/>
                    <w:overflowPunct/>
                    <w:topLinePunct w:val="0"/>
                    <w:bidi w:val="0"/>
                    <w:snapToGrid/>
                    <w:spacing w:line="240" w:lineRule="auto"/>
                    <w:rPr>
                      <w:rFonts w:hint="eastAsia" w:ascii="宋体" w:hAnsi="宋体" w:eastAsia="宋体" w:cs="宋体"/>
                      <w:sz w:val="21"/>
                      <w:szCs w:val="21"/>
                      <w:highlight w:val="none"/>
                    </w:rPr>
                  </w:pPr>
                </w:p>
              </w:tc>
            </w:tr>
            <w:tr w14:paraId="3B2DD8D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380" w:type="pct"/>
                  <w:vMerge w:val="continue"/>
                  <w:tcBorders>
                    <w:top w:val="single" w:color="000000" w:sz="8" w:space="0"/>
                    <w:left w:val="single" w:color="000000" w:sz="8" w:space="0"/>
                    <w:bottom w:val="single" w:color="000000" w:sz="8" w:space="0"/>
                    <w:right w:val="single" w:color="000000" w:sz="8" w:space="0"/>
                  </w:tcBorders>
                  <w:shd w:val="clear" w:color="auto" w:fill="E6EFFA"/>
                  <w:vAlign w:val="center"/>
                </w:tcPr>
                <w:p w14:paraId="606DFB56">
                  <w:pPr>
                    <w:keepNext w:val="0"/>
                    <w:pageBreakBefore w:val="0"/>
                    <w:kinsoku/>
                    <w:overflowPunct/>
                    <w:topLinePunct w:val="0"/>
                    <w:bidi w:val="0"/>
                    <w:snapToGrid/>
                    <w:spacing w:line="240" w:lineRule="auto"/>
                    <w:rPr>
                      <w:rFonts w:hint="eastAsia" w:ascii="宋体" w:hAnsi="宋体" w:eastAsia="宋体" w:cs="宋体"/>
                      <w:b/>
                      <w:bCs/>
                      <w:color w:val="0000FF"/>
                      <w:sz w:val="21"/>
                      <w:szCs w:val="21"/>
                      <w:highlight w:val="none"/>
                    </w:rPr>
                  </w:pPr>
                </w:p>
              </w:tc>
              <w:tc>
                <w:tcPr>
                  <w:tcW w:w="404" w:type="pct"/>
                  <w:tcBorders>
                    <w:top w:val="outset" w:color="000000" w:sz="6" w:space="0"/>
                    <w:left w:val="outset" w:color="000000" w:sz="6" w:space="0"/>
                    <w:bottom w:val="outset" w:color="000000" w:sz="6" w:space="0"/>
                    <w:right w:val="outset" w:color="000000" w:sz="6" w:space="0"/>
                  </w:tcBorders>
                  <w:shd w:val="clear" w:color="auto" w:fill="E6EFFA"/>
                  <w:vAlign w:val="center"/>
                </w:tcPr>
                <w:p w14:paraId="30343B38">
                  <w:pPr>
                    <w:keepNext w:val="0"/>
                    <w:pageBreakBefore w:val="0"/>
                    <w:kinsoku/>
                    <w:wordWrap w:val="0"/>
                    <w:overflowPunct/>
                    <w:topLinePunct w:val="0"/>
                    <w:bidi w:val="0"/>
                    <w:snapToGrid/>
                    <w:spacing w:line="240" w:lineRule="auto"/>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序号</w:t>
                  </w:r>
                </w:p>
              </w:tc>
              <w:tc>
                <w:tcPr>
                  <w:tcW w:w="1354" w:type="pct"/>
                  <w:tcBorders>
                    <w:top w:val="outset" w:color="000000" w:sz="6" w:space="0"/>
                    <w:left w:val="outset" w:color="000000" w:sz="6" w:space="0"/>
                    <w:bottom w:val="outset" w:color="000000" w:sz="6" w:space="0"/>
                    <w:right w:val="outset" w:color="000000" w:sz="6" w:space="0"/>
                  </w:tcBorders>
                  <w:shd w:val="clear" w:color="auto" w:fill="E6EFFA"/>
                  <w:vAlign w:val="center"/>
                </w:tcPr>
                <w:p w14:paraId="7C949A74">
                  <w:pPr>
                    <w:keepNext w:val="0"/>
                    <w:pageBreakBefore w:val="0"/>
                    <w:kinsoku/>
                    <w:wordWrap w:val="0"/>
                    <w:overflowPunct/>
                    <w:topLinePunct w:val="0"/>
                    <w:bidi w:val="0"/>
                    <w:snapToGrid/>
                    <w:spacing w:line="240" w:lineRule="auto"/>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评分因素</w:t>
                  </w:r>
                </w:p>
              </w:tc>
              <w:tc>
                <w:tcPr>
                  <w:tcW w:w="357" w:type="pct"/>
                  <w:tcBorders>
                    <w:top w:val="outset" w:color="000000" w:sz="6" w:space="0"/>
                    <w:left w:val="outset" w:color="000000" w:sz="6" w:space="0"/>
                    <w:bottom w:val="outset" w:color="000000" w:sz="6" w:space="0"/>
                    <w:right w:val="outset" w:color="000000" w:sz="6" w:space="0"/>
                  </w:tcBorders>
                  <w:shd w:val="clear" w:color="auto" w:fill="E6EFFA"/>
                  <w:vAlign w:val="center"/>
                </w:tcPr>
                <w:p w14:paraId="3F01ECAA">
                  <w:pPr>
                    <w:keepNext w:val="0"/>
                    <w:pageBreakBefore w:val="0"/>
                    <w:kinsoku/>
                    <w:wordWrap w:val="0"/>
                    <w:overflowPunct/>
                    <w:topLinePunct w:val="0"/>
                    <w:bidi w:val="0"/>
                    <w:snapToGrid/>
                    <w:spacing w:line="240" w:lineRule="auto"/>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权重</w:t>
                  </w: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rPr>
                    <w:t>%</w:t>
                  </w:r>
                  <w:r>
                    <w:rPr>
                      <w:rFonts w:hint="eastAsia" w:ascii="宋体" w:hAnsi="宋体" w:eastAsia="宋体" w:cs="宋体"/>
                      <w:sz w:val="21"/>
                      <w:szCs w:val="21"/>
                      <w:highlight w:val="none"/>
                      <w:lang w:eastAsia="zh-CN"/>
                    </w:rPr>
                    <w:t>）</w:t>
                  </w:r>
                </w:p>
              </w:tc>
              <w:tc>
                <w:tcPr>
                  <w:tcW w:w="2501" w:type="pct"/>
                  <w:tcBorders>
                    <w:top w:val="outset" w:color="000000" w:sz="6" w:space="0"/>
                    <w:left w:val="outset" w:color="000000" w:sz="6" w:space="0"/>
                    <w:bottom w:val="outset" w:color="000000" w:sz="6" w:space="0"/>
                    <w:right w:val="outset" w:color="000000" w:sz="6" w:space="0"/>
                  </w:tcBorders>
                  <w:shd w:val="clear" w:color="auto" w:fill="E6EFFA"/>
                  <w:vAlign w:val="center"/>
                </w:tcPr>
                <w:p w14:paraId="1359990E">
                  <w:pPr>
                    <w:keepNext w:val="0"/>
                    <w:pageBreakBefore w:val="0"/>
                    <w:kinsoku/>
                    <w:wordWrap w:val="0"/>
                    <w:overflowPunct/>
                    <w:topLinePunct w:val="0"/>
                    <w:bidi w:val="0"/>
                    <w:snapToGrid/>
                    <w:spacing w:line="240" w:lineRule="auto"/>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评分准则</w:t>
                  </w:r>
                </w:p>
              </w:tc>
            </w:tr>
            <w:tr w14:paraId="2F1FB3B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380" w:type="pct"/>
                  <w:vMerge w:val="continue"/>
                  <w:tcBorders>
                    <w:top w:val="single" w:color="000000" w:sz="8" w:space="0"/>
                    <w:left w:val="single" w:color="000000" w:sz="8" w:space="0"/>
                    <w:bottom w:val="single" w:color="000000" w:sz="8" w:space="0"/>
                    <w:right w:val="single" w:color="000000" w:sz="8" w:space="0"/>
                  </w:tcBorders>
                  <w:vAlign w:val="center"/>
                </w:tcPr>
                <w:p w14:paraId="1384E8AF">
                  <w:pPr>
                    <w:keepNext w:val="0"/>
                    <w:pageBreakBefore w:val="0"/>
                    <w:kinsoku/>
                    <w:overflowPunct/>
                    <w:topLinePunct w:val="0"/>
                    <w:bidi w:val="0"/>
                    <w:snapToGrid/>
                    <w:spacing w:line="240" w:lineRule="auto"/>
                    <w:rPr>
                      <w:rFonts w:hint="eastAsia" w:ascii="宋体" w:hAnsi="宋体" w:eastAsia="宋体" w:cs="宋体"/>
                      <w:b/>
                      <w:bCs/>
                      <w:color w:val="0000FF"/>
                      <w:sz w:val="21"/>
                      <w:szCs w:val="21"/>
                      <w:highlight w:val="none"/>
                    </w:rPr>
                  </w:pPr>
                </w:p>
              </w:tc>
              <w:tc>
                <w:tcPr>
                  <w:tcW w:w="725" w:type="dxa"/>
                  <w:tcBorders>
                    <w:top w:val="single" w:color="000000" w:sz="8" w:space="0"/>
                    <w:left w:val="single" w:color="000000" w:sz="8" w:space="0"/>
                    <w:bottom w:val="single" w:color="000000" w:sz="8" w:space="0"/>
                    <w:right w:val="single" w:color="000000" w:sz="8" w:space="0"/>
                  </w:tcBorders>
                  <w:vAlign w:val="center"/>
                </w:tcPr>
                <w:p w14:paraId="34F67CF9">
                  <w:pPr>
                    <w:keepNext w:val="0"/>
                    <w:keepLines/>
                    <w:pageBreakBefore w:val="0"/>
                    <w:widowControl w:val="0"/>
                    <w:kinsoku/>
                    <w:overflowPunct/>
                    <w:topLinePunct w:val="0"/>
                    <w:bidi w:val="0"/>
                    <w:snapToGrid/>
                    <w:jc w:val="center"/>
                    <w:textAlignment w:val="auto"/>
                    <w:rPr>
                      <w:rFonts w:hint="eastAsia" w:ascii="宋体" w:hAnsi="宋体" w:eastAsia="宋体" w:cs="宋体"/>
                      <w:color w:val="auto"/>
                      <w:sz w:val="21"/>
                      <w:szCs w:val="21"/>
                      <w:highlight w:val="none"/>
                      <w:lang w:eastAsia="zh-CN"/>
                    </w:rPr>
                  </w:pPr>
                  <w:r>
                    <w:rPr>
                      <w:rFonts w:hint="eastAsia" w:ascii="宋体" w:hAnsi="宋体" w:eastAsia="宋体" w:cs="宋体"/>
                      <w:sz w:val="21"/>
                      <w:szCs w:val="21"/>
                    </w:rPr>
                    <w:t>1</w:t>
                  </w:r>
                </w:p>
              </w:tc>
              <w:tc>
                <w:tcPr>
                  <w:tcW w:w="2427" w:type="dxa"/>
                  <w:tcBorders>
                    <w:top w:val="single" w:color="000000" w:sz="8" w:space="0"/>
                    <w:left w:val="single" w:color="000000" w:sz="8" w:space="0"/>
                    <w:bottom w:val="single" w:color="000000" w:sz="8" w:space="0"/>
                    <w:right w:val="single" w:color="000000" w:sz="8" w:space="0"/>
                  </w:tcBorders>
                  <w:vAlign w:val="center"/>
                </w:tcPr>
                <w:p w14:paraId="4D613D42">
                  <w:pPr>
                    <w:keepNext w:val="0"/>
                    <w:keepLines/>
                    <w:pageBreakBefore w:val="0"/>
                    <w:widowControl w:val="0"/>
                    <w:kinsoku/>
                    <w:wordWrap w:val="0"/>
                    <w:overflowPunct/>
                    <w:topLinePunct w:val="0"/>
                    <w:bidi w:val="0"/>
                    <w:snapToGrid/>
                    <w:jc w:val="center"/>
                    <w:textAlignment w:val="auto"/>
                    <w:rPr>
                      <w:rFonts w:hint="eastAsia" w:ascii="宋体" w:hAnsi="宋体" w:eastAsia="宋体" w:cs="宋体"/>
                      <w:color w:val="auto"/>
                      <w:sz w:val="21"/>
                      <w:szCs w:val="21"/>
                      <w:highlight w:val="none"/>
                      <w:lang w:eastAsia="zh-CN"/>
                    </w:rPr>
                  </w:pPr>
                  <w:r>
                    <w:rPr>
                      <w:rFonts w:hint="eastAsia" w:ascii="宋体" w:hAnsi="宋体" w:eastAsia="宋体" w:cs="宋体"/>
                      <w:sz w:val="21"/>
                      <w:szCs w:val="21"/>
                    </w:rPr>
                    <w:t>服务计划</w:t>
                  </w:r>
                </w:p>
              </w:tc>
              <w:tc>
                <w:tcPr>
                  <w:tcW w:w="641" w:type="dxa"/>
                  <w:tcBorders>
                    <w:top w:val="single" w:color="000000" w:sz="8" w:space="0"/>
                    <w:left w:val="single" w:color="000000" w:sz="8" w:space="0"/>
                    <w:bottom w:val="single" w:color="000000" w:sz="8" w:space="0"/>
                    <w:right w:val="single" w:color="000000" w:sz="8" w:space="0"/>
                  </w:tcBorders>
                  <w:vAlign w:val="center"/>
                </w:tcPr>
                <w:p w14:paraId="3E2A6A41">
                  <w:pPr>
                    <w:keepNext w:val="0"/>
                    <w:keepLines/>
                    <w:pageBreakBefore w:val="0"/>
                    <w:widowControl w:val="0"/>
                    <w:kinsoku/>
                    <w:wordWrap w:val="0"/>
                    <w:overflowPunct/>
                    <w:topLinePunct w:val="0"/>
                    <w:bidi w:val="0"/>
                    <w:snapToGrid/>
                    <w:jc w:val="center"/>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sz w:val="21"/>
                      <w:szCs w:val="21"/>
                      <w:lang w:val="en-US" w:eastAsia="zh-CN"/>
                    </w:rPr>
                    <w:t>10</w:t>
                  </w:r>
                </w:p>
              </w:tc>
              <w:tc>
                <w:tcPr>
                  <w:tcW w:w="4482" w:type="dxa"/>
                  <w:tcBorders>
                    <w:top w:val="single" w:color="000000" w:sz="8" w:space="0"/>
                    <w:left w:val="single" w:color="000000" w:sz="8" w:space="0"/>
                    <w:bottom w:val="single" w:color="000000" w:sz="8" w:space="0"/>
                    <w:right w:val="single" w:color="000000" w:sz="8" w:space="0"/>
                  </w:tcBorders>
                  <w:vAlign w:val="center"/>
                </w:tcPr>
                <w:p w14:paraId="324AF2B1">
                  <w:pPr>
                    <w:keepNext w:val="0"/>
                    <w:keepLines/>
                    <w:pageBreakBefore w:val="0"/>
                    <w:widowControl w:val="0"/>
                    <w:kinsoku/>
                    <w:wordWrap w:val="0"/>
                    <w:overflowPunct/>
                    <w:topLinePunct w:val="0"/>
                    <w:bidi w:val="0"/>
                    <w:snapToGrid/>
                    <w:jc w:val="left"/>
                    <w:textAlignment w:val="auto"/>
                    <w:rPr>
                      <w:rFonts w:hint="eastAsia" w:ascii="宋体" w:hAnsi="宋体" w:eastAsia="宋体" w:cs="宋体"/>
                      <w:b/>
                      <w:bCs/>
                      <w:sz w:val="21"/>
                      <w:szCs w:val="21"/>
                    </w:rPr>
                  </w:pPr>
                  <w:r>
                    <w:rPr>
                      <w:rFonts w:hint="eastAsia" w:ascii="宋体" w:hAnsi="宋体" w:eastAsia="宋体" w:cs="宋体"/>
                      <w:b/>
                      <w:bCs/>
                      <w:sz w:val="21"/>
                      <w:szCs w:val="21"/>
                    </w:rPr>
                    <w:t>1.根据投标方案中服务计划响应情况进行评审：</w:t>
                  </w:r>
                </w:p>
                <w:p w14:paraId="1A59F454">
                  <w:pPr>
                    <w:keepNext w:val="0"/>
                    <w:keepLines/>
                    <w:pageBreakBefore w:val="0"/>
                    <w:widowControl w:val="0"/>
                    <w:kinsoku/>
                    <w:wordWrap w:val="0"/>
                    <w:overflowPunct/>
                    <w:topLinePunct w:val="0"/>
                    <w:bidi w:val="0"/>
                    <w:snapToGrid/>
                    <w:jc w:val="left"/>
                    <w:textAlignment w:val="auto"/>
                    <w:rPr>
                      <w:rFonts w:hint="eastAsia" w:ascii="宋体" w:hAnsi="宋体" w:eastAsia="宋体" w:cs="宋体"/>
                      <w:sz w:val="21"/>
                      <w:szCs w:val="21"/>
                    </w:rPr>
                  </w:pPr>
                  <w:r>
                    <w:rPr>
                      <w:rFonts w:hint="eastAsia" w:ascii="宋体" w:hAnsi="宋体" w:eastAsia="宋体" w:cs="宋体"/>
                      <w:sz w:val="21"/>
                      <w:szCs w:val="21"/>
                    </w:rPr>
                    <w:t>（1）具有年度服务方案；</w:t>
                  </w:r>
                </w:p>
                <w:p w14:paraId="43C89BEC">
                  <w:pPr>
                    <w:keepNext w:val="0"/>
                    <w:keepLines/>
                    <w:pageBreakBefore w:val="0"/>
                    <w:widowControl w:val="0"/>
                    <w:kinsoku/>
                    <w:wordWrap w:val="0"/>
                    <w:overflowPunct/>
                    <w:topLinePunct w:val="0"/>
                    <w:bidi w:val="0"/>
                    <w:snapToGrid/>
                    <w:jc w:val="left"/>
                    <w:textAlignment w:val="auto"/>
                    <w:rPr>
                      <w:rFonts w:hint="eastAsia" w:ascii="宋体" w:hAnsi="宋体" w:eastAsia="宋体" w:cs="宋体"/>
                      <w:sz w:val="21"/>
                      <w:szCs w:val="21"/>
                    </w:rPr>
                  </w:pPr>
                  <w:r>
                    <w:rPr>
                      <w:rFonts w:hint="eastAsia" w:ascii="宋体" w:hAnsi="宋体" w:eastAsia="宋体" w:cs="宋体"/>
                      <w:sz w:val="21"/>
                      <w:szCs w:val="21"/>
                    </w:rPr>
                    <w:t>（2）具有服务目标；</w:t>
                  </w:r>
                </w:p>
                <w:p w14:paraId="64399668">
                  <w:pPr>
                    <w:keepNext w:val="0"/>
                    <w:keepLines/>
                    <w:pageBreakBefore w:val="0"/>
                    <w:widowControl w:val="0"/>
                    <w:kinsoku/>
                    <w:wordWrap w:val="0"/>
                    <w:overflowPunct/>
                    <w:topLinePunct w:val="0"/>
                    <w:bidi w:val="0"/>
                    <w:snapToGrid/>
                    <w:jc w:val="left"/>
                    <w:textAlignment w:val="auto"/>
                    <w:rPr>
                      <w:rFonts w:hint="eastAsia" w:ascii="宋体" w:hAnsi="宋体" w:eastAsia="宋体" w:cs="宋体"/>
                      <w:sz w:val="21"/>
                      <w:szCs w:val="21"/>
                    </w:rPr>
                  </w:pPr>
                  <w:r>
                    <w:rPr>
                      <w:rFonts w:hint="eastAsia" w:ascii="宋体" w:hAnsi="宋体" w:eastAsia="宋体" w:cs="宋体"/>
                      <w:sz w:val="21"/>
                      <w:szCs w:val="21"/>
                    </w:rPr>
                    <w:t>（3）具有重点服务内容；</w:t>
                  </w:r>
                </w:p>
                <w:p w14:paraId="64D2B987">
                  <w:pPr>
                    <w:keepNext w:val="0"/>
                    <w:keepLines/>
                    <w:pageBreakBefore w:val="0"/>
                    <w:widowControl w:val="0"/>
                    <w:kinsoku/>
                    <w:wordWrap w:val="0"/>
                    <w:overflowPunct/>
                    <w:topLinePunct w:val="0"/>
                    <w:bidi w:val="0"/>
                    <w:snapToGrid/>
                    <w:jc w:val="left"/>
                    <w:textAlignment w:val="auto"/>
                    <w:rPr>
                      <w:rFonts w:hint="eastAsia" w:ascii="宋体" w:hAnsi="宋体" w:eastAsia="宋体" w:cs="宋体"/>
                      <w:sz w:val="21"/>
                      <w:szCs w:val="21"/>
                    </w:rPr>
                  </w:pPr>
                  <w:r>
                    <w:rPr>
                      <w:rFonts w:hint="eastAsia" w:ascii="宋体" w:hAnsi="宋体" w:eastAsia="宋体" w:cs="宋体"/>
                      <w:sz w:val="21"/>
                      <w:szCs w:val="21"/>
                    </w:rPr>
                    <w:t>（4）具有具体服务内容；</w:t>
                  </w:r>
                </w:p>
                <w:p w14:paraId="4968F27A">
                  <w:pPr>
                    <w:keepNext w:val="0"/>
                    <w:keepLines/>
                    <w:pageBreakBefore w:val="0"/>
                    <w:widowControl w:val="0"/>
                    <w:kinsoku/>
                    <w:wordWrap w:val="0"/>
                    <w:overflowPunct/>
                    <w:topLinePunct w:val="0"/>
                    <w:bidi w:val="0"/>
                    <w:snapToGrid/>
                    <w:jc w:val="left"/>
                    <w:textAlignment w:val="auto"/>
                    <w:rPr>
                      <w:rFonts w:hint="eastAsia" w:ascii="宋体" w:hAnsi="宋体" w:eastAsia="宋体" w:cs="宋体"/>
                      <w:sz w:val="21"/>
                      <w:szCs w:val="21"/>
                    </w:rPr>
                  </w:pPr>
                  <w:r>
                    <w:rPr>
                      <w:rFonts w:hint="eastAsia" w:ascii="宋体" w:hAnsi="宋体" w:eastAsia="宋体" w:cs="宋体"/>
                      <w:sz w:val="21"/>
                      <w:szCs w:val="21"/>
                    </w:rPr>
                    <w:t>根据投标人提供的服务计划进行打分：全部满足得60分，满足任意三点得50分，满足任意二点得40分，满足任意一点得20分，未满足不得分；</w:t>
                  </w:r>
                </w:p>
                <w:p w14:paraId="71AB007F">
                  <w:pPr>
                    <w:keepNext w:val="0"/>
                    <w:keepLines/>
                    <w:pageBreakBefore w:val="0"/>
                    <w:widowControl w:val="0"/>
                    <w:kinsoku/>
                    <w:wordWrap w:val="0"/>
                    <w:overflowPunct/>
                    <w:topLinePunct w:val="0"/>
                    <w:bidi w:val="0"/>
                    <w:snapToGrid/>
                    <w:jc w:val="left"/>
                    <w:textAlignment w:val="auto"/>
                    <w:rPr>
                      <w:rFonts w:hint="eastAsia" w:ascii="宋体" w:hAnsi="宋体" w:eastAsia="宋体" w:cs="宋体"/>
                      <w:b/>
                      <w:bCs/>
                      <w:sz w:val="21"/>
                      <w:szCs w:val="21"/>
                    </w:rPr>
                  </w:pPr>
                  <w:r>
                    <w:rPr>
                      <w:rFonts w:hint="eastAsia" w:ascii="宋体" w:hAnsi="宋体" w:eastAsia="宋体" w:cs="宋体"/>
                      <w:b/>
                      <w:bCs/>
                      <w:sz w:val="21"/>
                      <w:szCs w:val="21"/>
                    </w:rPr>
                    <w:t>2.在此基础上，专家根据投标人的具体响应内容进一步评审，评审标准如下:</w:t>
                  </w:r>
                </w:p>
                <w:p w14:paraId="1EE06C92">
                  <w:pPr>
                    <w:keepNext w:val="0"/>
                    <w:keepLines/>
                    <w:pageBreakBefore w:val="0"/>
                    <w:widowControl w:val="0"/>
                    <w:kinsoku/>
                    <w:wordWrap w:val="0"/>
                    <w:overflowPunct/>
                    <w:topLinePunct w:val="0"/>
                    <w:bidi w:val="0"/>
                    <w:snapToGrid/>
                    <w:jc w:val="left"/>
                    <w:textAlignment w:val="auto"/>
                    <w:rPr>
                      <w:rFonts w:hint="eastAsia" w:ascii="宋体" w:hAnsi="宋体" w:eastAsia="宋体" w:cs="宋体"/>
                      <w:sz w:val="21"/>
                      <w:szCs w:val="21"/>
                    </w:rPr>
                  </w:pPr>
                  <w:r>
                    <w:rPr>
                      <w:rFonts w:hint="eastAsia" w:ascii="宋体" w:hAnsi="宋体" w:eastAsia="宋体" w:cs="宋体"/>
                      <w:sz w:val="21"/>
                      <w:szCs w:val="21"/>
                    </w:rPr>
                    <w:t>评审为优（年度服务方案、服务目标以及服务内容有重点、制定详细、针对性强、科学合理，方案可操作性强）的加40分；</w:t>
                  </w:r>
                </w:p>
                <w:p w14:paraId="47B6E1BF">
                  <w:pPr>
                    <w:keepNext w:val="0"/>
                    <w:keepLines/>
                    <w:pageBreakBefore w:val="0"/>
                    <w:widowControl w:val="0"/>
                    <w:kinsoku/>
                    <w:wordWrap w:val="0"/>
                    <w:overflowPunct/>
                    <w:topLinePunct w:val="0"/>
                    <w:bidi w:val="0"/>
                    <w:snapToGrid/>
                    <w:jc w:val="left"/>
                    <w:textAlignment w:val="auto"/>
                    <w:rPr>
                      <w:rFonts w:hint="eastAsia" w:ascii="宋体" w:hAnsi="宋体" w:eastAsia="宋体" w:cs="宋体"/>
                      <w:sz w:val="21"/>
                      <w:szCs w:val="21"/>
                    </w:rPr>
                  </w:pPr>
                  <w:r>
                    <w:rPr>
                      <w:rFonts w:hint="eastAsia" w:ascii="宋体" w:hAnsi="宋体" w:eastAsia="宋体" w:cs="宋体"/>
                      <w:sz w:val="21"/>
                      <w:szCs w:val="21"/>
                    </w:rPr>
                    <w:t>评审为良（年度服务方案、服务目标以及服务内容制定详细、有一定的针对性、可行性一般，方案操作性较强）的加20分；</w:t>
                  </w:r>
                </w:p>
                <w:p w14:paraId="3FC55A17">
                  <w:pPr>
                    <w:keepNext w:val="0"/>
                    <w:keepLines/>
                    <w:pageBreakBefore w:val="0"/>
                    <w:widowControl w:val="0"/>
                    <w:kinsoku/>
                    <w:wordWrap w:val="0"/>
                    <w:overflowPunct/>
                    <w:topLinePunct w:val="0"/>
                    <w:bidi w:val="0"/>
                    <w:snapToGrid/>
                    <w:jc w:val="left"/>
                    <w:textAlignment w:val="auto"/>
                    <w:rPr>
                      <w:rFonts w:hint="eastAsia" w:ascii="宋体" w:hAnsi="宋体" w:eastAsia="宋体" w:cs="宋体"/>
                      <w:sz w:val="21"/>
                      <w:szCs w:val="21"/>
                    </w:rPr>
                  </w:pPr>
                  <w:r>
                    <w:rPr>
                      <w:rFonts w:hint="eastAsia" w:ascii="宋体" w:hAnsi="宋体" w:eastAsia="宋体" w:cs="宋体"/>
                      <w:sz w:val="21"/>
                      <w:szCs w:val="21"/>
                    </w:rPr>
                    <w:t>评审为中（年度服务方案、服务目标以及服务内容制定不详细、针对性不强、可行性较差，方案具有一定的操作性）的加10分；</w:t>
                  </w:r>
                </w:p>
                <w:p w14:paraId="316068BA">
                  <w:pPr>
                    <w:keepNext w:val="0"/>
                    <w:keepLines/>
                    <w:pageBreakBefore w:val="0"/>
                    <w:widowControl w:val="0"/>
                    <w:kinsoku/>
                    <w:wordWrap w:val="0"/>
                    <w:overflowPunct/>
                    <w:topLinePunct w:val="0"/>
                    <w:bidi w:val="0"/>
                    <w:snapToGrid/>
                    <w:jc w:val="left"/>
                    <w:textAlignment w:val="auto"/>
                    <w:rPr>
                      <w:rFonts w:hint="eastAsia" w:ascii="宋体" w:hAnsi="宋体" w:eastAsia="宋体" w:cs="宋体"/>
                      <w:sz w:val="21"/>
                      <w:szCs w:val="21"/>
                    </w:rPr>
                  </w:pPr>
                  <w:r>
                    <w:rPr>
                      <w:rFonts w:hint="eastAsia" w:ascii="宋体" w:hAnsi="宋体" w:eastAsia="宋体" w:cs="宋体"/>
                      <w:sz w:val="21"/>
                      <w:szCs w:val="21"/>
                    </w:rPr>
                    <w:t>评审为差（年度服务方案、服务目标以及服务内容简单笼统、针对性弱、计划少或没有，方案操作性差）的不得分。</w:t>
                  </w:r>
                </w:p>
                <w:p w14:paraId="0B73C5CF">
                  <w:pPr>
                    <w:keepNext w:val="0"/>
                    <w:keepLines/>
                    <w:pageBreakBefore w:val="0"/>
                    <w:widowControl w:val="0"/>
                    <w:kinsoku/>
                    <w:wordWrap w:val="0"/>
                    <w:overflowPunct/>
                    <w:topLinePunct w:val="0"/>
                    <w:bidi w:val="0"/>
                    <w:snapToGrid/>
                    <w:jc w:val="left"/>
                    <w:textAlignment w:val="auto"/>
                    <w:rPr>
                      <w:rFonts w:hint="eastAsia" w:ascii="宋体" w:hAnsi="宋体" w:eastAsia="宋体" w:cs="宋体"/>
                      <w:color w:val="auto"/>
                      <w:sz w:val="21"/>
                      <w:szCs w:val="21"/>
                      <w:highlight w:val="none"/>
                      <w:lang w:eastAsia="zh-CN"/>
                    </w:rPr>
                  </w:pPr>
                  <w:r>
                    <w:rPr>
                      <w:rFonts w:hint="eastAsia" w:ascii="宋体" w:hAnsi="宋体" w:eastAsia="宋体" w:cs="宋体"/>
                      <w:sz w:val="21"/>
                      <w:szCs w:val="21"/>
                    </w:rPr>
                    <w:t xml:space="preserve">以上两项合计最高得100分。 </w:t>
                  </w:r>
                </w:p>
              </w:tc>
            </w:tr>
            <w:tr w14:paraId="39912F5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380" w:type="pct"/>
                  <w:vMerge w:val="continue"/>
                  <w:tcBorders>
                    <w:top w:val="single" w:color="000000" w:sz="8" w:space="0"/>
                    <w:left w:val="single" w:color="000000" w:sz="8" w:space="0"/>
                    <w:bottom w:val="single" w:color="000000" w:sz="8" w:space="0"/>
                    <w:right w:val="single" w:color="000000" w:sz="8" w:space="0"/>
                  </w:tcBorders>
                  <w:vAlign w:val="center"/>
                </w:tcPr>
                <w:p w14:paraId="7BDAD9E2">
                  <w:pPr>
                    <w:keepNext w:val="0"/>
                    <w:pageBreakBefore w:val="0"/>
                    <w:kinsoku/>
                    <w:overflowPunct/>
                    <w:topLinePunct w:val="0"/>
                    <w:bidi w:val="0"/>
                    <w:snapToGrid/>
                    <w:spacing w:line="240" w:lineRule="auto"/>
                    <w:rPr>
                      <w:rFonts w:hint="eastAsia" w:ascii="宋体" w:hAnsi="宋体" w:eastAsia="宋体" w:cs="宋体"/>
                      <w:b/>
                      <w:bCs/>
                      <w:color w:val="0000FF"/>
                      <w:sz w:val="21"/>
                      <w:szCs w:val="21"/>
                      <w:highlight w:val="none"/>
                    </w:rPr>
                  </w:pPr>
                </w:p>
              </w:tc>
              <w:tc>
                <w:tcPr>
                  <w:tcW w:w="725" w:type="dxa"/>
                  <w:tcBorders>
                    <w:top w:val="single" w:color="000000" w:sz="8" w:space="0"/>
                    <w:left w:val="single" w:color="000000" w:sz="8" w:space="0"/>
                    <w:bottom w:val="single" w:color="000000" w:sz="8" w:space="0"/>
                    <w:right w:val="single" w:color="000000" w:sz="8" w:space="0"/>
                  </w:tcBorders>
                  <w:vAlign w:val="center"/>
                </w:tcPr>
                <w:p w14:paraId="225BA307">
                  <w:pPr>
                    <w:keepNext w:val="0"/>
                    <w:keepLines/>
                    <w:pageBreakBefore w:val="0"/>
                    <w:widowControl w:val="0"/>
                    <w:kinsoku/>
                    <w:overflowPunct/>
                    <w:topLinePunct w:val="0"/>
                    <w:bidi w:val="0"/>
                    <w:snapToGrid/>
                    <w:jc w:val="center"/>
                    <w:textAlignment w:val="auto"/>
                    <w:rPr>
                      <w:rFonts w:hint="eastAsia" w:ascii="宋体" w:hAnsi="宋体" w:eastAsia="宋体" w:cs="宋体"/>
                      <w:color w:val="auto"/>
                      <w:sz w:val="21"/>
                      <w:szCs w:val="21"/>
                      <w:highlight w:val="none"/>
                    </w:rPr>
                  </w:pPr>
                  <w:r>
                    <w:rPr>
                      <w:rFonts w:hint="eastAsia" w:ascii="宋体" w:hAnsi="宋体" w:eastAsia="宋体" w:cs="宋体"/>
                      <w:sz w:val="21"/>
                      <w:szCs w:val="21"/>
                    </w:rPr>
                    <w:t>2</w:t>
                  </w:r>
                </w:p>
              </w:tc>
              <w:tc>
                <w:tcPr>
                  <w:tcW w:w="2427" w:type="dxa"/>
                  <w:tcBorders>
                    <w:top w:val="single" w:color="000000" w:sz="8" w:space="0"/>
                    <w:left w:val="single" w:color="000000" w:sz="8" w:space="0"/>
                    <w:bottom w:val="single" w:color="000000" w:sz="8" w:space="0"/>
                    <w:right w:val="single" w:color="000000" w:sz="8" w:space="0"/>
                  </w:tcBorders>
                  <w:vAlign w:val="center"/>
                </w:tcPr>
                <w:p w14:paraId="4189A986">
                  <w:pPr>
                    <w:keepNext w:val="0"/>
                    <w:keepLines/>
                    <w:pageBreakBefore w:val="0"/>
                    <w:widowControl w:val="0"/>
                    <w:kinsoku/>
                    <w:wordWrap w:val="0"/>
                    <w:overflowPunct/>
                    <w:topLinePunct w:val="0"/>
                    <w:bidi w:val="0"/>
                    <w:snapToGrid/>
                    <w:jc w:val="center"/>
                    <w:textAlignment w:val="auto"/>
                    <w:rPr>
                      <w:rFonts w:hint="eastAsia" w:ascii="宋体" w:hAnsi="宋体" w:eastAsia="宋体" w:cs="宋体"/>
                      <w:color w:val="auto"/>
                      <w:sz w:val="21"/>
                      <w:szCs w:val="21"/>
                      <w:highlight w:val="none"/>
                    </w:rPr>
                  </w:pPr>
                  <w:r>
                    <w:rPr>
                      <w:rFonts w:hint="eastAsia" w:ascii="宋体" w:hAnsi="宋体" w:eastAsia="宋体" w:cs="宋体"/>
                      <w:sz w:val="21"/>
                      <w:szCs w:val="21"/>
                    </w:rPr>
                    <w:t>专业服务流程及标准</w:t>
                  </w:r>
                </w:p>
              </w:tc>
              <w:tc>
                <w:tcPr>
                  <w:tcW w:w="641" w:type="dxa"/>
                  <w:tcBorders>
                    <w:top w:val="single" w:color="000000" w:sz="8" w:space="0"/>
                    <w:left w:val="single" w:color="000000" w:sz="8" w:space="0"/>
                    <w:bottom w:val="single" w:color="000000" w:sz="8" w:space="0"/>
                    <w:right w:val="single" w:color="000000" w:sz="8" w:space="0"/>
                  </w:tcBorders>
                  <w:vAlign w:val="center"/>
                </w:tcPr>
                <w:p w14:paraId="1DAF6614">
                  <w:pPr>
                    <w:keepNext w:val="0"/>
                    <w:keepLines/>
                    <w:pageBreakBefore w:val="0"/>
                    <w:widowControl w:val="0"/>
                    <w:kinsoku/>
                    <w:wordWrap w:val="0"/>
                    <w:overflowPunct/>
                    <w:topLinePunct w:val="0"/>
                    <w:bidi w:val="0"/>
                    <w:snapToGrid/>
                    <w:jc w:val="center"/>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sz w:val="21"/>
                      <w:szCs w:val="21"/>
                      <w:lang w:val="en-US" w:eastAsia="zh-CN"/>
                    </w:rPr>
                    <w:t>10</w:t>
                  </w:r>
                </w:p>
              </w:tc>
              <w:tc>
                <w:tcPr>
                  <w:tcW w:w="4482" w:type="dxa"/>
                  <w:tcBorders>
                    <w:top w:val="single" w:color="000000" w:sz="8" w:space="0"/>
                    <w:left w:val="single" w:color="000000" w:sz="8" w:space="0"/>
                    <w:bottom w:val="single" w:color="000000" w:sz="8" w:space="0"/>
                    <w:right w:val="single" w:color="000000" w:sz="8" w:space="0"/>
                  </w:tcBorders>
                  <w:vAlign w:val="center"/>
                </w:tcPr>
                <w:p w14:paraId="328AFF0F">
                  <w:pPr>
                    <w:keepNext w:val="0"/>
                    <w:keepLines/>
                    <w:pageBreakBefore w:val="0"/>
                    <w:widowControl w:val="0"/>
                    <w:kinsoku/>
                    <w:overflowPunct/>
                    <w:topLinePunct w:val="0"/>
                    <w:bidi w:val="0"/>
                    <w:snapToGrid/>
                    <w:textAlignment w:val="auto"/>
                    <w:rPr>
                      <w:rFonts w:hint="eastAsia" w:ascii="宋体" w:hAnsi="宋体" w:eastAsia="宋体" w:cs="宋体"/>
                      <w:sz w:val="21"/>
                      <w:szCs w:val="21"/>
                    </w:rPr>
                  </w:pPr>
                  <w:r>
                    <w:rPr>
                      <w:rFonts w:hint="eastAsia" w:ascii="宋体" w:hAnsi="宋体" w:eastAsia="宋体" w:cs="宋体"/>
                      <w:b/>
                      <w:bCs/>
                      <w:sz w:val="21"/>
                      <w:szCs w:val="21"/>
                    </w:rPr>
                    <w:t>1.根据投标方案中专业服务流程及标准响应情况进行评审：</w:t>
                  </w:r>
                </w:p>
                <w:p w14:paraId="7A36E160">
                  <w:pPr>
                    <w:keepNext w:val="0"/>
                    <w:keepLines/>
                    <w:pageBreakBefore w:val="0"/>
                    <w:widowControl w:val="0"/>
                    <w:kinsoku/>
                    <w:overflowPunct/>
                    <w:topLinePunct w:val="0"/>
                    <w:bidi w:val="0"/>
                    <w:snapToGrid/>
                    <w:textAlignment w:val="auto"/>
                    <w:rPr>
                      <w:rFonts w:hint="eastAsia" w:ascii="宋体" w:hAnsi="宋体" w:eastAsia="宋体" w:cs="宋体"/>
                      <w:sz w:val="21"/>
                      <w:szCs w:val="21"/>
                    </w:rPr>
                  </w:pPr>
                  <w:r>
                    <w:rPr>
                      <w:rFonts w:hint="eastAsia" w:ascii="宋体" w:hAnsi="宋体" w:eastAsia="宋体" w:cs="宋体"/>
                      <w:sz w:val="21"/>
                      <w:szCs w:val="21"/>
                    </w:rPr>
                    <w:t>（1）依据岗位工作需要制定服务内容；</w:t>
                  </w:r>
                </w:p>
                <w:p w14:paraId="63132820">
                  <w:pPr>
                    <w:keepNext w:val="0"/>
                    <w:keepLines/>
                    <w:pageBreakBefore w:val="0"/>
                    <w:widowControl w:val="0"/>
                    <w:kinsoku/>
                    <w:overflowPunct/>
                    <w:topLinePunct w:val="0"/>
                    <w:bidi w:val="0"/>
                    <w:snapToGrid/>
                    <w:textAlignment w:val="auto"/>
                    <w:rPr>
                      <w:rFonts w:hint="eastAsia" w:ascii="宋体" w:hAnsi="宋体" w:eastAsia="宋体" w:cs="宋体"/>
                      <w:sz w:val="21"/>
                      <w:szCs w:val="21"/>
                    </w:rPr>
                  </w:pPr>
                  <w:r>
                    <w:rPr>
                      <w:rFonts w:hint="eastAsia" w:ascii="宋体" w:hAnsi="宋体" w:eastAsia="宋体" w:cs="宋体"/>
                      <w:sz w:val="21"/>
                      <w:szCs w:val="21"/>
                    </w:rPr>
                    <w:t>（2）制定专业服务流程；</w:t>
                  </w:r>
                </w:p>
                <w:p w14:paraId="7C27FA85">
                  <w:pPr>
                    <w:keepNext w:val="0"/>
                    <w:keepLines/>
                    <w:pageBreakBefore w:val="0"/>
                    <w:widowControl w:val="0"/>
                    <w:kinsoku/>
                    <w:overflowPunct/>
                    <w:topLinePunct w:val="0"/>
                    <w:bidi w:val="0"/>
                    <w:snapToGrid/>
                    <w:textAlignment w:val="auto"/>
                    <w:rPr>
                      <w:rFonts w:hint="eastAsia" w:ascii="宋体" w:hAnsi="宋体" w:eastAsia="宋体" w:cs="宋体"/>
                      <w:sz w:val="21"/>
                      <w:szCs w:val="21"/>
                    </w:rPr>
                  </w:pPr>
                  <w:r>
                    <w:rPr>
                      <w:rFonts w:hint="eastAsia" w:ascii="宋体" w:hAnsi="宋体" w:eastAsia="宋体" w:cs="宋体"/>
                      <w:sz w:val="21"/>
                      <w:szCs w:val="21"/>
                    </w:rPr>
                    <w:t>（3）制定工作标准；</w:t>
                  </w:r>
                </w:p>
                <w:p w14:paraId="3F1C5C19">
                  <w:pPr>
                    <w:keepNext w:val="0"/>
                    <w:keepLines/>
                    <w:pageBreakBefore w:val="0"/>
                    <w:widowControl w:val="0"/>
                    <w:kinsoku/>
                    <w:overflowPunct/>
                    <w:topLinePunct w:val="0"/>
                    <w:bidi w:val="0"/>
                    <w:snapToGrid/>
                    <w:textAlignment w:val="auto"/>
                    <w:rPr>
                      <w:rFonts w:hint="eastAsia" w:ascii="宋体" w:hAnsi="宋体" w:eastAsia="宋体" w:cs="宋体"/>
                      <w:sz w:val="21"/>
                      <w:szCs w:val="21"/>
                    </w:rPr>
                  </w:pPr>
                  <w:r>
                    <w:rPr>
                      <w:rFonts w:hint="eastAsia" w:ascii="宋体" w:hAnsi="宋体" w:eastAsia="宋体" w:cs="宋体"/>
                      <w:sz w:val="21"/>
                      <w:szCs w:val="21"/>
                    </w:rPr>
                    <w:t>（4）制定考核指标。</w:t>
                  </w:r>
                </w:p>
                <w:p w14:paraId="713722A4">
                  <w:pPr>
                    <w:keepNext w:val="0"/>
                    <w:keepLines/>
                    <w:pageBreakBefore w:val="0"/>
                    <w:widowControl w:val="0"/>
                    <w:kinsoku/>
                    <w:overflowPunct/>
                    <w:topLinePunct w:val="0"/>
                    <w:bidi w:val="0"/>
                    <w:snapToGrid/>
                    <w:textAlignment w:val="auto"/>
                    <w:rPr>
                      <w:rFonts w:hint="eastAsia" w:ascii="宋体" w:hAnsi="宋体" w:eastAsia="宋体" w:cs="宋体"/>
                      <w:sz w:val="21"/>
                      <w:szCs w:val="21"/>
                    </w:rPr>
                  </w:pPr>
                  <w:r>
                    <w:rPr>
                      <w:rFonts w:hint="eastAsia" w:ascii="宋体" w:hAnsi="宋体" w:eastAsia="宋体" w:cs="宋体"/>
                      <w:sz w:val="21"/>
                      <w:szCs w:val="21"/>
                    </w:rPr>
                    <w:t>根据投标人提供的专业服务流程及标准进行打分：全部满足得</w:t>
                  </w:r>
                  <w:r>
                    <w:rPr>
                      <w:rFonts w:hint="eastAsia" w:ascii="宋体" w:hAnsi="宋体" w:eastAsia="宋体" w:cs="宋体"/>
                      <w:sz w:val="21"/>
                      <w:szCs w:val="21"/>
                      <w:lang w:val="en-US" w:eastAsia="zh-CN"/>
                    </w:rPr>
                    <w:t>60</w:t>
                  </w:r>
                  <w:r>
                    <w:rPr>
                      <w:rFonts w:hint="eastAsia" w:ascii="宋体" w:hAnsi="宋体" w:eastAsia="宋体" w:cs="宋体"/>
                      <w:sz w:val="21"/>
                      <w:szCs w:val="21"/>
                    </w:rPr>
                    <w:t>分，满足任意三点得</w:t>
                  </w:r>
                  <w:r>
                    <w:rPr>
                      <w:rFonts w:hint="eastAsia" w:ascii="宋体" w:hAnsi="宋体" w:eastAsia="宋体" w:cs="宋体"/>
                      <w:sz w:val="21"/>
                      <w:szCs w:val="21"/>
                      <w:lang w:val="en-US" w:eastAsia="zh-CN"/>
                    </w:rPr>
                    <w:t>50</w:t>
                  </w:r>
                  <w:r>
                    <w:rPr>
                      <w:rFonts w:hint="eastAsia" w:ascii="宋体" w:hAnsi="宋体" w:eastAsia="宋体" w:cs="宋体"/>
                      <w:sz w:val="21"/>
                      <w:szCs w:val="21"/>
                    </w:rPr>
                    <w:t>分，满足任意二点得</w:t>
                  </w:r>
                  <w:r>
                    <w:rPr>
                      <w:rFonts w:hint="eastAsia" w:ascii="宋体" w:hAnsi="宋体" w:eastAsia="宋体" w:cs="宋体"/>
                      <w:sz w:val="21"/>
                      <w:szCs w:val="21"/>
                      <w:lang w:val="en-US" w:eastAsia="zh-CN"/>
                    </w:rPr>
                    <w:t>40</w:t>
                  </w:r>
                  <w:r>
                    <w:rPr>
                      <w:rFonts w:hint="eastAsia" w:ascii="宋体" w:hAnsi="宋体" w:eastAsia="宋体" w:cs="宋体"/>
                      <w:sz w:val="21"/>
                      <w:szCs w:val="21"/>
                    </w:rPr>
                    <w:t>分，满足任意一点得</w:t>
                  </w:r>
                  <w:r>
                    <w:rPr>
                      <w:rFonts w:hint="eastAsia" w:ascii="宋体" w:hAnsi="宋体" w:eastAsia="宋体" w:cs="宋体"/>
                      <w:sz w:val="21"/>
                      <w:szCs w:val="21"/>
                      <w:lang w:val="en-US" w:eastAsia="zh-CN"/>
                    </w:rPr>
                    <w:t>20</w:t>
                  </w:r>
                  <w:r>
                    <w:rPr>
                      <w:rFonts w:hint="eastAsia" w:ascii="宋体" w:hAnsi="宋体" w:eastAsia="宋体" w:cs="宋体"/>
                      <w:sz w:val="21"/>
                      <w:szCs w:val="21"/>
                    </w:rPr>
                    <w:t>分，未满足不得分；</w:t>
                  </w:r>
                </w:p>
                <w:p w14:paraId="1C9D2E54">
                  <w:pPr>
                    <w:keepNext w:val="0"/>
                    <w:keepLines/>
                    <w:pageBreakBefore w:val="0"/>
                    <w:widowControl w:val="0"/>
                    <w:kinsoku/>
                    <w:overflowPunct/>
                    <w:topLinePunct w:val="0"/>
                    <w:bidi w:val="0"/>
                    <w:snapToGrid/>
                    <w:textAlignment w:val="auto"/>
                    <w:rPr>
                      <w:rFonts w:hint="eastAsia" w:ascii="宋体" w:hAnsi="宋体" w:eastAsia="宋体" w:cs="宋体"/>
                      <w:b/>
                      <w:bCs/>
                      <w:sz w:val="21"/>
                      <w:szCs w:val="21"/>
                    </w:rPr>
                  </w:pPr>
                  <w:r>
                    <w:rPr>
                      <w:rFonts w:hint="eastAsia" w:ascii="宋体" w:hAnsi="宋体" w:eastAsia="宋体" w:cs="宋体"/>
                      <w:b/>
                      <w:bCs/>
                      <w:sz w:val="21"/>
                      <w:szCs w:val="21"/>
                    </w:rPr>
                    <w:t>2.在此基础上，专家根据各供应商的具体响应内容进一步评审，评审标准如下:</w:t>
                  </w:r>
                </w:p>
                <w:p w14:paraId="508B20AA">
                  <w:pPr>
                    <w:keepNext w:val="0"/>
                    <w:keepLines/>
                    <w:pageBreakBefore w:val="0"/>
                    <w:widowControl w:val="0"/>
                    <w:kinsoku/>
                    <w:overflowPunct/>
                    <w:topLinePunct w:val="0"/>
                    <w:bidi w:val="0"/>
                    <w:snapToGrid/>
                    <w:textAlignment w:val="auto"/>
                    <w:rPr>
                      <w:rFonts w:hint="eastAsia" w:ascii="宋体" w:hAnsi="宋体" w:eastAsia="宋体" w:cs="宋体"/>
                      <w:sz w:val="21"/>
                      <w:szCs w:val="21"/>
                      <w:highlight w:val="none"/>
                    </w:rPr>
                  </w:pPr>
                  <w:r>
                    <w:rPr>
                      <w:rFonts w:hint="eastAsia" w:ascii="宋体" w:hAnsi="宋体" w:eastAsia="宋体" w:cs="宋体"/>
                      <w:sz w:val="21"/>
                      <w:szCs w:val="21"/>
                    </w:rPr>
                    <w:t>评审为优（依据岗位工作需要制定内容清晰、完整、科学；可执行的专业服务流程、工作标准与考核指标制定详细、针对性强、科学合理，可行性高）</w:t>
                  </w:r>
                  <w:r>
                    <w:rPr>
                      <w:rFonts w:hint="eastAsia" w:ascii="宋体" w:hAnsi="宋体" w:eastAsia="宋体" w:cs="宋体"/>
                      <w:sz w:val="21"/>
                      <w:szCs w:val="21"/>
                      <w:highlight w:val="none"/>
                    </w:rPr>
                    <w:t>的加</w:t>
                  </w:r>
                  <w:r>
                    <w:rPr>
                      <w:rFonts w:hint="eastAsia" w:ascii="宋体" w:hAnsi="宋体" w:eastAsia="宋体" w:cs="宋体"/>
                      <w:sz w:val="21"/>
                      <w:szCs w:val="21"/>
                      <w:highlight w:val="none"/>
                      <w:lang w:val="en-US" w:eastAsia="zh-CN"/>
                    </w:rPr>
                    <w:t>40</w:t>
                  </w:r>
                  <w:r>
                    <w:rPr>
                      <w:rFonts w:hint="eastAsia" w:ascii="宋体" w:hAnsi="宋体" w:eastAsia="宋体" w:cs="宋体"/>
                      <w:sz w:val="21"/>
                      <w:szCs w:val="21"/>
                      <w:highlight w:val="none"/>
                    </w:rPr>
                    <w:t>分；</w:t>
                  </w:r>
                </w:p>
                <w:p w14:paraId="5EFC2C54">
                  <w:pPr>
                    <w:keepNext w:val="0"/>
                    <w:keepLines/>
                    <w:pageBreakBefore w:val="0"/>
                    <w:widowControl w:val="0"/>
                    <w:kinsoku/>
                    <w:overflowPunct/>
                    <w:topLinePunct w:val="0"/>
                    <w:bidi w:val="0"/>
                    <w:snapToGrid/>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评审为良（依据岗位工作需要制定内容较清晰、完整、科学；可执行的专业服务流程、工作标准与考核指标有一定的针对性、可行性一般）的加</w:t>
                  </w:r>
                  <w:r>
                    <w:rPr>
                      <w:rFonts w:hint="eastAsia" w:ascii="宋体" w:hAnsi="宋体" w:eastAsia="宋体" w:cs="宋体"/>
                      <w:sz w:val="21"/>
                      <w:szCs w:val="21"/>
                      <w:highlight w:val="none"/>
                      <w:lang w:val="en-US" w:eastAsia="zh-CN"/>
                    </w:rPr>
                    <w:t>20</w:t>
                  </w:r>
                  <w:r>
                    <w:rPr>
                      <w:rFonts w:hint="eastAsia" w:ascii="宋体" w:hAnsi="宋体" w:eastAsia="宋体" w:cs="宋体"/>
                      <w:sz w:val="21"/>
                      <w:szCs w:val="21"/>
                      <w:highlight w:val="none"/>
                    </w:rPr>
                    <w:t>分；</w:t>
                  </w:r>
                </w:p>
                <w:p w14:paraId="5735EAFE">
                  <w:pPr>
                    <w:keepNext w:val="0"/>
                    <w:keepLines/>
                    <w:pageBreakBefore w:val="0"/>
                    <w:widowControl w:val="0"/>
                    <w:kinsoku/>
                    <w:overflowPunct/>
                    <w:topLinePunct w:val="0"/>
                    <w:bidi w:val="0"/>
                    <w:snapToGrid/>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评审为中（依据岗位工作需要制定内容不详细、针对性不强、服务流程、工作标准与考核指标可行性较差）的加</w:t>
                  </w:r>
                  <w:r>
                    <w:rPr>
                      <w:rFonts w:hint="eastAsia" w:ascii="宋体" w:hAnsi="宋体" w:eastAsia="宋体" w:cs="宋体"/>
                      <w:sz w:val="21"/>
                      <w:szCs w:val="21"/>
                      <w:highlight w:val="none"/>
                      <w:lang w:val="en-US" w:eastAsia="zh-CN"/>
                    </w:rPr>
                    <w:t>10</w:t>
                  </w:r>
                  <w:r>
                    <w:rPr>
                      <w:rFonts w:hint="eastAsia" w:ascii="宋体" w:hAnsi="宋体" w:eastAsia="宋体" w:cs="宋体"/>
                      <w:sz w:val="21"/>
                      <w:szCs w:val="21"/>
                      <w:highlight w:val="none"/>
                    </w:rPr>
                    <w:t>分；</w:t>
                  </w:r>
                </w:p>
                <w:p w14:paraId="55E0B95F">
                  <w:pPr>
                    <w:keepNext w:val="0"/>
                    <w:keepLines/>
                    <w:pageBreakBefore w:val="0"/>
                    <w:widowControl w:val="0"/>
                    <w:kinsoku/>
                    <w:overflowPunct/>
                    <w:topLinePunct w:val="0"/>
                    <w:bidi w:val="0"/>
                    <w:snapToGrid/>
                    <w:textAlignment w:val="auto"/>
                    <w:rPr>
                      <w:rFonts w:hint="eastAsia" w:ascii="宋体" w:hAnsi="宋体" w:eastAsia="宋体" w:cs="宋体"/>
                      <w:sz w:val="21"/>
                      <w:szCs w:val="21"/>
                    </w:rPr>
                  </w:pPr>
                  <w:r>
                    <w:rPr>
                      <w:rFonts w:hint="eastAsia" w:ascii="宋体" w:hAnsi="宋体" w:eastAsia="宋体" w:cs="宋体"/>
                      <w:sz w:val="21"/>
                      <w:szCs w:val="21"/>
                    </w:rPr>
                    <w:t>评审为差（据岗位工作需要制定内容、服务流程、工作标准与考核指标简单笼统、针对性弱、计划少或没有，方案操作性差）的不得分。</w:t>
                  </w:r>
                </w:p>
                <w:p w14:paraId="3B869CCE">
                  <w:pPr>
                    <w:keepNext w:val="0"/>
                    <w:keepLines/>
                    <w:pageBreakBefore w:val="0"/>
                    <w:widowControl w:val="0"/>
                    <w:kinsoku/>
                    <w:overflowPunct/>
                    <w:topLinePunct w:val="0"/>
                    <w:bidi w:val="0"/>
                    <w:snapToGrid/>
                    <w:textAlignment w:val="auto"/>
                    <w:rPr>
                      <w:rFonts w:hint="eastAsia" w:ascii="宋体" w:hAnsi="宋体" w:eastAsia="宋体" w:cs="宋体"/>
                      <w:color w:val="auto"/>
                      <w:sz w:val="21"/>
                      <w:szCs w:val="21"/>
                      <w:highlight w:val="none"/>
                    </w:rPr>
                  </w:pPr>
                  <w:r>
                    <w:rPr>
                      <w:rFonts w:hint="eastAsia" w:ascii="宋体" w:hAnsi="宋体" w:eastAsia="宋体" w:cs="宋体"/>
                      <w:sz w:val="21"/>
                      <w:szCs w:val="21"/>
                    </w:rPr>
                    <w:t>以上两项合计最高得100分。</w:t>
                  </w:r>
                </w:p>
              </w:tc>
            </w:tr>
            <w:tr w14:paraId="3B34F9F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380" w:type="pct"/>
                  <w:vMerge w:val="continue"/>
                  <w:tcBorders>
                    <w:top w:val="single" w:color="000000" w:sz="8" w:space="0"/>
                    <w:left w:val="single" w:color="000000" w:sz="8" w:space="0"/>
                    <w:bottom w:val="single" w:color="000000" w:sz="8" w:space="0"/>
                    <w:right w:val="single" w:color="000000" w:sz="8" w:space="0"/>
                  </w:tcBorders>
                  <w:vAlign w:val="center"/>
                </w:tcPr>
                <w:p w14:paraId="7BCB096A">
                  <w:pPr>
                    <w:keepNext w:val="0"/>
                    <w:pageBreakBefore w:val="0"/>
                    <w:kinsoku/>
                    <w:overflowPunct/>
                    <w:topLinePunct w:val="0"/>
                    <w:bidi w:val="0"/>
                    <w:snapToGrid/>
                    <w:spacing w:line="240" w:lineRule="auto"/>
                    <w:rPr>
                      <w:rFonts w:hint="eastAsia" w:ascii="宋体" w:hAnsi="宋体" w:eastAsia="宋体" w:cs="宋体"/>
                      <w:b/>
                      <w:bCs/>
                      <w:color w:val="0000FF"/>
                      <w:sz w:val="21"/>
                      <w:szCs w:val="21"/>
                      <w:highlight w:val="none"/>
                    </w:rPr>
                  </w:pPr>
                </w:p>
              </w:tc>
              <w:tc>
                <w:tcPr>
                  <w:tcW w:w="725" w:type="dxa"/>
                  <w:tcBorders>
                    <w:top w:val="single" w:color="000000" w:sz="8" w:space="0"/>
                    <w:left w:val="single" w:color="000000" w:sz="8" w:space="0"/>
                    <w:bottom w:val="single" w:color="000000" w:sz="8" w:space="0"/>
                    <w:right w:val="single" w:color="000000" w:sz="8" w:space="0"/>
                  </w:tcBorders>
                  <w:vAlign w:val="center"/>
                </w:tcPr>
                <w:p w14:paraId="42783DC7">
                  <w:pPr>
                    <w:keepNext w:val="0"/>
                    <w:keepLines/>
                    <w:pageBreakBefore w:val="0"/>
                    <w:widowControl w:val="0"/>
                    <w:kinsoku/>
                    <w:overflowPunct/>
                    <w:topLinePunct w:val="0"/>
                    <w:bidi w:val="0"/>
                    <w:snapToGrid/>
                    <w:jc w:val="center"/>
                    <w:textAlignment w:val="auto"/>
                    <w:rPr>
                      <w:rFonts w:hint="eastAsia" w:ascii="宋体" w:hAnsi="宋体" w:eastAsia="宋体" w:cs="宋体"/>
                      <w:color w:val="auto"/>
                      <w:sz w:val="21"/>
                      <w:szCs w:val="21"/>
                      <w:highlight w:val="none"/>
                    </w:rPr>
                  </w:pPr>
                  <w:r>
                    <w:rPr>
                      <w:rFonts w:hint="eastAsia" w:ascii="宋体" w:hAnsi="宋体" w:eastAsia="宋体" w:cs="宋体"/>
                      <w:sz w:val="21"/>
                      <w:szCs w:val="21"/>
                    </w:rPr>
                    <w:t>3</w:t>
                  </w:r>
                </w:p>
              </w:tc>
              <w:tc>
                <w:tcPr>
                  <w:tcW w:w="2427" w:type="dxa"/>
                  <w:tcBorders>
                    <w:top w:val="single" w:color="000000" w:sz="8" w:space="0"/>
                    <w:left w:val="single" w:color="000000" w:sz="8" w:space="0"/>
                    <w:bottom w:val="single" w:color="000000" w:sz="8" w:space="0"/>
                    <w:right w:val="single" w:color="000000" w:sz="8" w:space="0"/>
                  </w:tcBorders>
                  <w:vAlign w:val="center"/>
                </w:tcPr>
                <w:p w14:paraId="13D047C8">
                  <w:pPr>
                    <w:keepNext w:val="0"/>
                    <w:keepLines/>
                    <w:pageBreakBefore w:val="0"/>
                    <w:widowControl w:val="0"/>
                    <w:kinsoku/>
                    <w:wordWrap w:val="0"/>
                    <w:overflowPunct/>
                    <w:topLinePunct w:val="0"/>
                    <w:bidi w:val="0"/>
                    <w:snapToGrid/>
                    <w:jc w:val="center"/>
                    <w:textAlignment w:val="auto"/>
                    <w:rPr>
                      <w:rFonts w:hint="eastAsia" w:ascii="宋体" w:hAnsi="宋体" w:eastAsia="宋体" w:cs="宋体"/>
                      <w:color w:val="auto"/>
                      <w:sz w:val="21"/>
                      <w:szCs w:val="21"/>
                      <w:highlight w:val="none"/>
                    </w:rPr>
                  </w:pPr>
                  <w:r>
                    <w:rPr>
                      <w:rFonts w:hint="eastAsia" w:ascii="宋体" w:hAnsi="宋体" w:eastAsia="宋体" w:cs="宋体"/>
                      <w:sz w:val="21"/>
                      <w:szCs w:val="21"/>
                    </w:rPr>
                    <w:t>管理制度</w:t>
                  </w:r>
                </w:p>
              </w:tc>
              <w:tc>
                <w:tcPr>
                  <w:tcW w:w="641" w:type="dxa"/>
                  <w:tcBorders>
                    <w:top w:val="single" w:color="000000" w:sz="8" w:space="0"/>
                    <w:left w:val="single" w:color="000000" w:sz="8" w:space="0"/>
                    <w:bottom w:val="single" w:color="000000" w:sz="8" w:space="0"/>
                    <w:right w:val="single" w:color="000000" w:sz="8" w:space="0"/>
                  </w:tcBorders>
                  <w:vAlign w:val="center"/>
                </w:tcPr>
                <w:p w14:paraId="51DF43ED">
                  <w:pPr>
                    <w:keepNext w:val="0"/>
                    <w:keepLines/>
                    <w:pageBreakBefore w:val="0"/>
                    <w:widowControl w:val="0"/>
                    <w:kinsoku/>
                    <w:wordWrap w:val="0"/>
                    <w:overflowPunct/>
                    <w:topLinePunct w:val="0"/>
                    <w:bidi w:val="0"/>
                    <w:snapToGrid/>
                    <w:jc w:val="center"/>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sz w:val="21"/>
                      <w:szCs w:val="21"/>
                    </w:rPr>
                    <w:t>5</w:t>
                  </w:r>
                </w:p>
              </w:tc>
              <w:tc>
                <w:tcPr>
                  <w:tcW w:w="4482" w:type="dxa"/>
                  <w:tcBorders>
                    <w:top w:val="single" w:color="000000" w:sz="8" w:space="0"/>
                    <w:left w:val="single" w:color="000000" w:sz="8" w:space="0"/>
                    <w:bottom w:val="single" w:color="000000" w:sz="8" w:space="0"/>
                    <w:right w:val="single" w:color="000000" w:sz="8" w:space="0"/>
                  </w:tcBorders>
                  <w:vAlign w:val="center"/>
                </w:tcPr>
                <w:p w14:paraId="6F21AC28">
                  <w:pPr>
                    <w:keepNext w:val="0"/>
                    <w:keepLines/>
                    <w:pageBreakBefore w:val="0"/>
                    <w:widowControl w:val="0"/>
                    <w:kinsoku/>
                    <w:wordWrap w:val="0"/>
                    <w:overflowPunct/>
                    <w:topLinePunct w:val="0"/>
                    <w:bidi w:val="0"/>
                    <w:snapToGrid/>
                    <w:jc w:val="left"/>
                    <w:textAlignment w:val="auto"/>
                    <w:rPr>
                      <w:rFonts w:hint="eastAsia" w:ascii="宋体" w:hAnsi="宋体" w:eastAsia="宋体" w:cs="宋体"/>
                      <w:sz w:val="21"/>
                      <w:szCs w:val="21"/>
                    </w:rPr>
                  </w:pPr>
                  <w:r>
                    <w:rPr>
                      <w:rFonts w:hint="eastAsia" w:ascii="宋体" w:hAnsi="宋体" w:eastAsia="宋体" w:cs="宋体"/>
                      <w:b/>
                      <w:bCs/>
                      <w:sz w:val="21"/>
                      <w:szCs w:val="21"/>
                    </w:rPr>
                    <w:t>1.</w:t>
                  </w:r>
                  <w:r>
                    <w:rPr>
                      <w:rFonts w:hint="eastAsia" w:ascii="宋体" w:hAnsi="宋体" w:eastAsia="宋体" w:cs="宋体"/>
                      <w:b/>
                      <w:bCs/>
                      <w:sz w:val="21"/>
                      <w:szCs w:val="21"/>
                      <w:lang w:eastAsia="zh-CN"/>
                    </w:rPr>
                    <w:t>依据是否</w:t>
                  </w:r>
                  <w:r>
                    <w:rPr>
                      <w:rFonts w:hint="eastAsia" w:ascii="宋体" w:hAnsi="宋体" w:eastAsia="宋体" w:cs="宋体"/>
                      <w:b/>
                      <w:bCs/>
                      <w:sz w:val="21"/>
                      <w:szCs w:val="21"/>
                    </w:rPr>
                    <w:t>具有确保机构及岗位良好运作的相关管理制度进行评审：</w:t>
                  </w:r>
                </w:p>
                <w:p w14:paraId="2855A764">
                  <w:pPr>
                    <w:keepNext w:val="0"/>
                    <w:keepLines/>
                    <w:pageBreakBefore w:val="0"/>
                    <w:widowControl w:val="0"/>
                    <w:kinsoku/>
                    <w:wordWrap w:val="0"/>
                    <w:overflowPunct/>
                    <w:topLinePunct w:val="0"/>
                    <w:bidi w:val="0"/>
                    <w:snapToGrid/>
                    <w:jc w:val="left"/>
                    <w:textAlignment w:val="auto"/>
                    <w:rPr>
                      <w:rFonts w:hint="eastAsia" w:ascii="宋体" w:hAnsi="宋体" w:eastAsia="宋体" w:cs="宋体"/>
                      <w:sz w:val="21"/>
                      <w:szCs w:val="21"/>
                    </w:rPr>
                  </w:pPr>
                  <w:r>
                    <w:rPr>
                      <w:rFonts w:hint="eastAsia" w:ascii="宋体" w:hAnsi="宋体" w:eastAsia="宋体" w:cs="宋体"/>
                      <w:sz w:val="21"/>
                      <w:szCs w:val="21"/>
                    </w:rPr>
                    <w:t>① 建立服务管理制度；</w:t>
                  </w:r>
                </w:p>
                <w:p w14:paraId="3DA46A72">
                  <w:pPr>
                    <w:keepNext w:val="0"/>
                    <w:keepLines/>
                    <w:pageBreakBefore w:val="0"/>
                    <w:widowControl w:val="0"/>
                    <w:kinsoku/>
                    <w:wordWrap w:val="0"/>
                    <w:overflowPunct/>
                    <w:topLinePunct w:val="0"/>
                    <w:bidi w:val="0"/>
                    <w:snapToGrid/>
                    <w:jc w:val="left"/>
                    <w:textAlignment w:val="auto"/>
                    <w:rPr>
                      <w:rFonts w:hint="eastAsia" w:ascii="宋体" w:hAnsi="宋体" w:eastAsia="宋体" w:cs="宋体"/>
                      <w:sz w:val="21"/>
                      <w:szCs w:val="21"/>
                    </w:rPr>
                  </w:pPr>
                  <w:r>
                    <w:rPr>
                      <w:rFonts w:hint="eastAsia" w:ascii="宋体" w:hAnsi="宋体" w:eastAsia="宋体" w:cs="宋体"/>
                      <w:sz w:val="21"/>
                      <w:szCs w:val="21"/>
                    </w:rPr>
                    <w:t>② 建立档案管理制度；</w:t>
                  </w:r>
                </w:p>
                <w:p w14:paraId="2309E1C1">
                  <w:pPr>
                    <w:keepNext w:val="0"/>
                    <w:keepLines/>
                    <w:pageBreakBefore w:val="0"/>
                    <w:widowControl w:val="0"/>
                    <w:kinsoku/>
                    <w:wordWrap w:val="0"/>
                    <w:overflowPunct/>
                    <w:topLinePunct w:val="0"/>
                    <w:bidi w:val="0"/>
                    <w:snapToGrid/>
                    <w:jc w:val="left"/>
                    <w:textAlignment w:val="auto"/>
                    <w:rPr>
                      <w:rFonts w:hint="eastAsia" w:ascii="宋体" w:hAnsi="宋体" w:eastAsia="宋体" w:cs="宋体"/>
                      <w:sz w:val="21"/>
                      <w:szCs w:val="21"/>
                    </w:rPr>
                  </w:pPr>
                  <w:r>
                    <w:rPr>
                      <w:rFonts w:hint="eastAsia" w:ascii="宋体" w:hAnsi="宋体" w:eastAsia="宋体" w:cs="宋体"/>
                      <w:sz w:val="21"/>
                      <w:szCs w:val="21"/>
                    </w:rPr>
                    <w:t>③ 建立财务管理制度；</w:t>
                  </w:r>
                </w:p>
                <w:p w14:paraId="38B782AE">
                  <w:pPr>
                    <w:keepNext w:val="0"/>
                    <w:keepLines/>
                    <w:pageBreakBefore w:val="0"/>
                    <w:widowControl w:val="0"/>
                    <w:kinsoku/>
                    <w:wordWrap w:val="0"/>
                    <w:overflowPunct/>
                    <w:topLinePunct w:val="0"/>
                    <w:bidi w:val="0"/>
                    <w:snapToGrid/>
                    <w:jc w:val="left"/>
                    <w:textAlignment w:val="auto"/>
                    <w:rPr>
                      <w:rFonts w:hint="eastAsia" w:ascii="宋体" w:hAnsi="宋体" w:eastAsia="宋体" w:cs="宋体"/>
                      <w:sz w:val="21"/>
                      <w:szCs w:val="21"/>
                    </w:rPr>
                  </w:pPr>
                  <w:r>
                    <w:rPr>
                      <w:rFonts w:hint="eastAsia" w:ascii="宋体" w:hAnsi="宋体" w:eastAsia="宋体" w:cs="宋体"/>
                      <w:sz w:val="21"/>
                      <w:szCs w:val="21"/>
                    </w:rPr>
                    <w:t>④ 建立人力资源管理制度；</w:t>
                  </w:r>
                </w:p>
                <w:p w14:paraId="5AB0718D">
                  <w:pPr>
                    <w:keepNext w:val="0"/>
                    <w:keepLines/>
                    <w:pageBreakBefore w:val="0"/>
                    <w:widowControl w:val="0"/>
                    <w:kinsoku/>
                    <w:wordWrap w:val="0"/>
                    <w:overflowPunct/>
                    <w:topLinePunct w:val="0"/>
                    <w:bidi w:val="0"/>
                    <w:snapToGrid/>
                    <w:jc w:val="left"/>
                    <w:textAlignment w:val="auto"/>
                    <w:rPr>
                      <w:rFonts w:hint="eastAsia" w:ascii="宋体" w:hAnsi="宋体" w:eastAsia="宋体" w:cs="宋体"/>
                      <w:sz w:val="21"/>
                      <w:szCs w:val="21"/>
                    </w:rPr>
                  </w:pPr>
                  <w:r>
                    <w:rPr>
                      <w:rFonts w:hint="eastAsia" w:ascii="宋体" w:hAnsi="宋体" w:eastAsia="宋体" w:cs="宋体"/>
                      <w:sz w:val="21"/>
                      <w:szCs w:val="21"/>
                    </w:rPr>
                    <w:t>⑤ 建立岗位职责制度；</w:t>
                  </w:r>
                </w:p>
                <w:p w14:paraId="689119D3">
                  <w:pPr>
                    <w:keepNext w:val="0"/>
                    <w:keepLines/>
                    <w:pageBreakBefore w:val="0"/>
                    <w:widowControl w:val="0"/>
                    <w:kinsoku/>
                    <w:wordWrap w:val="0"/>
                    <w:overflowPunct/>
                    <w:topLinePunct w:val="0"/>
                    <w:bidi w:val="0"/>
                    <w:snapToGrid/>
                    <w:jc w:val="left"/>
                    <w:textAlignment w:val="auto"/>
                    <w:rPr>
                      <w:rFonts w:hint="eastAsia" w:ascii="宋体" w:hAnsi="宋体" w:eastAsia="宋体" w:cs="宋体"/>
                      <w:sz w:val="21"/>
                      <w:szCs w:val="21"/>
                    </w:rPr>
                  </w:pPr>
                  <w:r>
                    <w:rPr>
                      <w:rFonts w:hint="eastAsia" w:ascii="宋体" w:hAnsi="宋体" w:eastAsia="宋体" w:cs="宋体"/>
                      <w:sz w:val="21"/>
                      <w:szCs w:val="21"/>
                    </w:rPr>
                    <w:t>⑥ 建立员工招募制度。</w:t>
                  </w:r>
                </w:p>
                <w:p w14:paraId="65DD5696">
                  <w:pPr>
                    <w:keepNext w:val="0"/>
                    <w:keepLines/>
                    <w:pageBreakBefore w:val="0"/>
                    <w:widowControl w:val="0"/>
                    <w:kinsoku/>
                    <w:wordWrap w:val="0"/>
                    <w:overflowPunct/>
                    <w:topLinePunct w:val="0"/>
                    <w:bidi w:val="0"/>
                    <w:snapToGrid/>
                    <w:jc w:val="left"/>
                    <w:textAlignment w:val="auto"/>
                    <w:rPr>
                      <w:rFonts w:hint="eastAsia" w:ascii="宋体" w:hAnsi="宋体" w:eastAsia="宋体" w:cs="宋体"/>
                      <w:sz w:val="21"/>
                      <w:szCs w:val="21"/>
                    </w:rPr>
                  </w:pPr>
                  <w:r>
                    <w:rPr>
                      <w:rFonts w:hint="eastAsia" w:ascii="宋体" w:hAnsi="宋体" w:eastAsia="宋体" w:cs="宋体"/>
                      <w:sz w:val="21"/>
                      <w:szCs w:val="21"/>
                    </w:rPr>
                    <w:t>根据投标人提供的项目管理制度进行打分：满足任意一点得10分，本小项最高得60分，未满足不得分；</w:t>
                  </w:r>
                </w:p>
                <w:p w14:paraId="72768737">
                  <w:pPr>
                    <w:keepNext w:val="0"/>
                    <w:keepLines/>
                    <w:pageBreakBefore w:val="0"/>
                    <w:widowControl w:val="0"/>
                    <w:kinsoku/>
                    <w:wordWrap w:val="0"/>
                    <w:overflowPunct/>
                    <w:topLinePunct w:val="0"/>
                    <w:bidi w:val="0"/>
                    <w:snapToGrid/>
                    <w:jc w:val="left"/>
                    <w:textAlignment w:val="auto"/>
                    <w:rPr>
                      <w:rFonts w:hint="eastAsia" w:ascii="宋体" w:hAnsi="宋体" w:eastAsia="宋体" w:cs="宋体"/>
                      <w:b/>
                      <w:bCs/>
                      <w:sz w:val="21"/>
                      <w:szCs w:val="21"/>
                    </w:rPr>
                  </w:pPr>
                  <w:r>
                    <w:rPr>
                      <w:rFonts w:hint="eastAsia" w:ascii="宋体" w:hAnsi="宋体" w:eastAsia="宋体" w:cs="宋体"/>
                      <w:b/>
                      <w:bCs/>
                      <w:sz w:val="21"/>
                      <w:szCs w:val="21"/>
                    </w:rPr>
                    <w:t>2.在此基础上，专家根据各供应商的具体响应内容进一步评审，评审标准如下:</w:t>
                  </w:r>
                </w:p>
                <w:p w14:paraId="462B8550">
                  <w:pPr>
                    <w:keepNext w:val="0"/>
                    <w:keepLines/>
                    <w:pageBreakBefore w:val="0"/>
                    <w:widowControl w:val="0"/>
                    <w:kinsoku/>
                    <w:wordWrap w:val="0"/>
                    <w:overflowPunct/>
                    <w:topLinePunct w:val="0"/>
                    <w:bidi w:val="0"/>
                    <w:snapToGrid/>
                    <w:jc w:val="left"/>
                    <w:textAlignment w:val="auto"/>
                    <w:rPr>
                      <w:rFonts w:hint="eastAsia" w:ascii="宋体" w:hAnsi="宋体" w:eastAsia="宋体" w:cs="宋体"/>
                      <w:sz w:val="21"/>
                      <w:szCs w:val="21"/>
                    </w:rPr>
                  </w:pPr>
                  <w:r>
                    <w:rPr>
                      <w:rFonts w:hint="eastAsia" w:ascii="宋体" w:hAnsi="宋体" w:eastAsia="宋体" w:cs="宋体"/>
                      <w:sz w:val="21"/>
                      <w:szCs w:val="21"/>
                    </w:rPr>
                    <w:t>评审为优（制度内容制定详细、针对性强、科学合理，可行性高）的加40分；</w:t>
                  </w:r>
                </w:p>
                <w:p w14:paraId="10FEE259">
                  <w:pPr>
                    <w:keepNext w:val="0"/>
                    <w:keepLines/>
                    <w:pageBreakBefore w:val="0"/>
                    <w:widowControl w:val="0"/>
                    <w:kinsoku/>
                    <w:wordWrap w:val="0"/>
                    <w:overflowPunct/>
                    <w:topLinePunct w:val="0"/>
                    <w:bidi w:val="0"/>
                    <w:snapToGrid/>
                    <w:jc w:val="left"/>
                    <w:textAlignment w:val="auto"/>
                    <w:rPr>
                      <w:rFonts w:hint="eastAsia" w:ascii="宋体" w:hAnsi="宋体" w:eastAsia="宋体" w:cs="宋体"/>
                      <w:sz w:val="21"/>
                      <w:szCs w:val="21"/>
                    </w:rPr>
                  </w:pPr>
                  <w:r>
                    <w:rPr>
                      <w:rFonts w:hint="eastAsia" w:ascii="宋体" w:hAnsi="宋体" w:eastAsia="宋体" w:cs="宋体"/>
                      <w:sz w:val="21"/>
                      <w:szCs w:val="21"/>
                    </w:rPr>
                    <w:t>评审为良（制度内容有一定的针对性、可行性一般，）的加20分；</w:t>
                  </w:r>
                </w:p>
                <w:p w14:paraId="6E59FA96">
                  <w:pPr>
                    <w:keepNext w:val="0"/>
                    <w:keepLines/>
                    <w:pageBreakBefore w:val="0"/>
                    <w:widowControl w:val="0"/>
                    <w:kinsoku/>
                    <w:wordWrap w:val="0"/>
                    <w:overflowPunct/>
                    <w:topLinePunct w:val="0"/>
                    <w:bidi w:val="0"/>
                    <w:snapToGrid/>
                    <w:jc w:val="left"/>
                    <w:textAlignment w:val="auto"/>
                    <w:rPr>
                      <w:rFonts w:hint="eastAsia" w:ascii="宋体" w:hAnsi="宋体" w:eastAsia="宋体" w:cs="宋体"/>
                      <w:sz w:val="21"/>
                      <w:szCs w:val="21"/>
                    </w:rPr>
                  </w:pPr>
                  <w:r>
                    <w:rPr>
                      <w:rFonts w:hint="eastAsia" w:ascii="宋体" w:hAnsi="宋体" w:eastAsia="宋体" w:cs="宋体"/>
                      <w:sz w:val="21"/>
                      <w:szCs w:val="21"/>
                    </w:rPr>
                    <w:t>评审为中（制度内容不详细、针对性不强、可行性较差）的加10分；</w:t>
                  </w:r>
                </w:p>
                <w:p w14:paraId="5B5CD12B">
                  <w:pPr>
                    <w:keepNext w:val="0"/>
                    <w:keepLines/>
                    <w:pageBreakBefore w:val="0"/>
                    <w:widowControl w:val="0"/>
                    <w:kinsoku/>
                    <w:wordWrap w:val="0"/>
                    <w:overflowPunct/>
                    <w:topLinePunct w:val="0"/>
                    <w:bidi w:val="0"/>
                    <w:snapToGrid/>
                    <w:jc w:val="left"/>
                    <w:textAlignment w:val="auto"/>
                    <w:rPr>
                      <w:rFonts w:hint="eastAsia" w:ascii="宋体" w:hAnsi="宋体" w:eastAsia="宋体" w:cs="宋体"/>
                      <w:sz w:val="21"/>
                      <w:szCs w:val="21"/>
                    </w:rPr>
                  </w:pPr>
                  <w:r>
                    <w:rPr>
                      <w:rFonts w:hint="eastAsia" w:ascii="宋体" w:hAnsi="宋体" w:eastAsia="宋体" w:cs="宋体"/>
                      <w:sz w:val="21"/>
                      <w:szCs w:val="21"/>
                    </w:rPr>
                    <w:t>评审为差（制度内容简单笼统、针对性弱、计划少或没有，方案操作性差）的不得分。</w:t>
                  </w:r>
                </w:p>
                <w:p w14:paraId="175678A8">
                  <w:pPr>
                    <w:keepNext w:val="0"/>
                    <w:keepLines/>
                    <w:pageBreakBefore w:val="0"/>
                    <w:widowControl w:val="0"/>
                    <w:kinsoku/>
                    <w:wordWrap w:val="0"/>
                    <w:overflowPunct/>
                    <w:topLinePunct w:val="0"/>
                    <w:bidi w:val="0"/>
                    <w:snapToGrid/>
                    <w:jc w:val="left"/>
                    <w:textAlignment w:val="auto"/>
                    <w:rPr>
                      <w:rFonts w:hint="eastAsia" w:ascii="宋体" w:hAnsi="宋体" w:eastAsia="宋体" w:cs="宋体"/>
                      <w:color w:val="auto"/>
                      <w:sz w:val="21"/>
                      <w:szCs w:val="21"/>
                      <w:highlight w:val="none"/>
                    </w:rPr>
                  </w:pPr>
                  <w:r>
                    <w:rPr>
                      <w:rFonts w:hint="eastAsia" w:ascii="宋体" w:hAnsi="宋体" w:eastAsia="宋体" w:cs="宋体"/>
                      <w:sz w:val="21"/>
                      <w:szCs w:val="21"/>
                    </w:rPr>
                    <w:t>以上两项合计最高得100分。</w:t>
                  </w:r>
                </w:p>
              </w:tc>
            </w:tr>
            <w:tr w14:paraId="081780B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380" w:type="pct"/>
                  <w:vMerge w:val="continue"/>
                  <w:tcBorders>
                    <w:top w:val="single" w:color="000000" w:sz="8" w:space="0"/>
                    <w:left w:val="single" w:color="000000" w:sz="8" w:space="0"/>
                    <w:bottom w:val="single" w:color="000000" w:sz="8" w:space="0"/>
                    <w:right w:val="single" w:color="000000" w:sz="8" w:space="0"/>
                  </w:tcBorders>
                  <w:vAlign w:val="center"/>
                </w:tcPr>
                <w:p w14:paraId="0F6D835C">
                  <w:pPr>
                    <w:keepNext w:val="0"/>
                    <w:pageBreakBefore w:val="0"/>
                    <w:kinsoku/>
                    <w:overflowPunct/>
                    <w:topLinePunct w:val="0"/>
                    <w:bidi w:val="0"/>
                    <w:snapToGrid/>
                    <w:spacing w:line="240" w:lineRule="auto"/>
                    <w:rPr>
                      <w:rFonts w:hint="eastAsia" w:ascii="宋体" w:hAnsi="宋体" w:eastAsia="宋体" w:cs="宋体"/>
                      <w:b/>
                      <w:bCs/>
                      <w:color w:val="0000FF"/>
                      <w:sz w:val="21"/>
                      <w:szCs w:val="21"/>
                      <w:highlight w:val="none"/>
                    </w:rPr>
                  </w:pPr>
                </w:p>
              </w:tc>
              <w:tc>
                <w:tcPr>
                  <w:tcW w:w="725" w:type="dxa"/>
                  <w:tcBorders>
                    <w:top w:val="single" w:color="000000" w:sz="8" w:space="0"/>
                    <w:left w:val="single" w:color="000000" w:sz="8" w:space="0"/>
                    <w:bottom w:val="single" w:color="000000" w:sz="8" w:space="0"/>
                    <w:right w:val="single" w:color="000000" w:sz="8" w:space="0"/>
                  </w:tcBorders>
                  <w:vAlign w:val="center"/>
                </w:tcPr>
                <w:p w14:paraId="204AAE1D">
                  <w:pPr>
                    <w:keepNext w:val="0"/>
                    <w:keepLines/>
                    <w:pageBreakBefore w:val="0"/>
                    <w:widowControl w:val="0"/>
                    <w:kinsoku/>
                    <w:overflowPunct/>
                    <w:topLinePunct w:val="0"/>
                    <w:bidi w:val="0"/>
                    <w:snapToGrid/>
                    <w:jc w:val="center"/>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sz w:val="21"/>
                      <w:szCs w:val="21"/>
                    </w:rPr>
                    <w:t>4</w:t>
                  </w:r>
                </w:p>
              </w:tc>
              <w:tc>
                <w:tcPr>
                  <w:tcW w:w="2427" w:type="dxa"/>
                  <w:tcBorders>
                    <w:top w:val="single" w:color="000000" w:sz="8" w:space="0"/>
                    <w:left w:val="single" w:color="000000" w:sz="8" w:space="0"/>
                    <w:bottom w:val="single" w:color="000000" w:sz="8" w:space="0"/>
                    <w:right w:val="single" w:color="000000" w:sz="8" w:space="0"/>
                  </w:tcBorders>
                  <w:vAlign w:val="center"/>
                </w:tcPr>
                <w:p w14:paraId="5D58ED56">
                  <w:pPr>
                    <w:keepNext w:val="0"/>
                    <w:keepLines/>
                    <w:pageBreakBefore w:val="0"/>
                    <w:widowControl w:val="0"/>
                    <w:kinsoku/>
                    <w:wordWrap w:val="0"/>
                    <w:overflowPunct/>
                    <w:topLinePunct w:val="0"/>
                    <w:bidi w:val="0"/>
                    <w:snapToGrid/>
                    <w:ind w:firstLine="210" w:firstLineChars="100"/>
                    <w:jc w:val="center"/>
                    <w:textAlignment w:val="auto"/>
                    <w:rPr>
                      <w:rFonts w:hint="eastAsia" w:ascii="宋体" w:hAnsi="宋体" w:eastAsia="宋体" w:cs="宋体"/>
                      <w:sz w:val="21"/>
                      <w:szCs w:val="21"/>
                    </w:rPr>
                  </w:pPr>
                  <w:r>
                    <w:rPr>
                      <w:rFonts w:hint="eastAsia" w:ascii="宋体" w:hAnsi="宋体" w:eastAsia="宋体" w:cs="宋体"/>
                      <w:sz w:val="21"/>
                      <w:szCs w:val="21"/>
                    </w:rPr>
                    <w:t>服务监测与评估</w:t>
                  </w:r>
                </w:p>
              </w:tc>
              <w:tc>
                <w:tcPr>
                  <w:tcW w:w="641" w:type="dxa"/>
                  <w:tcBorders>
                    <w:top w:val="single" w:color="000000" w:sz="8" w:space="0"/>
                    <w:left w:val="single" w:color="000000" w:sz="8" w:space="0"/>
                    <w:bottom w:val="single" w:color="000000" w:sz="8" w:space="0"/>
                    <w:right w:val="single" w:color="000000" w:sz="8" w:space="0"/>
                  </w:tcBorders>
                  <w:vAlign w:val="center"/>
                </w:tcPr>
                <w:p w14:paraId="31885052">
                  <w:pPr>
                    <w:keepNext w:val="0"/>
                    <w:keepLines/>
                    <w:pageBreakBefore w:val="0"/>
                    <w:widowControl w:val="0"/>
                    <w:kinsoku/>
                    <w:wordWrap w:val="0"/>
                    <w:overflowPunct/>
                    <w:topLinePunct w:val="0"/>
                    <w:bidi w:val="0"/>
                    <w:snapToGrid/>
                    <w:jc w:val="center"/>
                    <w:textAlignment w:val="auto"/>
                    <w:rPr>
                      <w:rFonts w:hint="eastAsia" w:ascii="宋体" w:hAnsi="宋体" w:eastAsia="宋体" w:cs="宋体"/>
                      <w:sz w:val="21"/>
                      <w:szCs w:val="21"/>
                    </w:rPr>
                  </w:pPr>
                  <w:r>
                    <w:rPr>
                      <w:rFonts w:hint="eastAsia" w:ascii="宋体" w:hAnsi="宋体" w:eastAsia="宋体" w:cs="宋体"/>
                      <w:sz w:val="21"/>
                      <w:szCs w:val="21"/>
                    </w:rPr>
                    <w:t>5</w:t>
                  </w:r>
                </w:p>
              </w:tc>
              <w:tc>
                <w:tcPr>
                  <w:tcW w:w="4482" w:type="dxa"/>
                  <w:tcBorders>
                    <w:top w:val="single" w:color="000000" w:sz="8" w:space="0"/>
                    <w:left w:val="single" w:color="000000" w:sz="8" w:space="0"/>
                    <w:bottom w:val="single" w:color="000000" w:sz="8" w:space="0"/>
                    <w:right w:val="single" w:color="000000" w:sz="8" w:space="0"/>
                  </w:tcBorders>
                  <w:vAlign w:val="center"/>
                </w:tcPr>
                <w:p w14:paraId="0A54209F">
                  <w:pPr>
                    <w:keepNext w:val="0"/>
                    <w:keepLines/>
                    <w:pageBreakBefore w:val="0"/>
                    <w:widowControl w:val="0"/>
                    <w:kinsoku/>
                    <w:wordWrap w:val="0"/>
                    <w:overflowPunct/>
                    <w:topLinePunct w:val="0"/>
                    <w:autoSpaceDE/>
                    <w:autoSpaceDN/>
                    <w:bidi w:val="0"/>
                    <w:adjustRightInd/>
                    <w:snapToGrid/>
                    <w:spacing w:line="240" w:lineRule="auto"/>
                    <w:jc w:val="left"/>
                    <w:textAlignment w:val="auto"/>
                    <w:rPr>
                      <w:rFonts w:hint="eastAsia" w:ascii="宋体" w:hAnsi="宋体" w:eastAsia="宋体" w:cs="宋体"/>
                      <w:b/>
                      <w:bCs/>
                      <w:sz w:val="21"/>
                      <w:szCs w:val="21"/>
                    </w:rPr>
                  </w:pPr>
                  <w:r>
                    <w:rPr>
                      <w:rFonts w:hint="eastAsia" w:ascii="宋体" w:hAnsi="宋体" w:eastAsia="宋体" w:cs="宋体"/>
                      <w:b/>
                      <w:bCs/>
                      <w:sz w:val="21"/>
                      <w:szCs w:val="21"/>
                    </w:rPr>
                    <w:t>1.</w:t>
                  </w:r>
                  <w:r>
                    <w:rPr>
                      <w:rFonts w:hint="eastAsia" w:ascii="宋体" w:hAnsi="宋体" w:eastAsia="宋体" w:cs="宋体"/>
                      <w:b/>
                      <w:bCs/>
                      <w:sz w:val="21"/>
                      <w:szCs w:val="21"/>
                      <w:lang w:eastAsia="zh-CN"/>
                    </w:rPr>
                    <w:t>依据是否</w:t>
                  </w:r>
                  <w:r>
                    <w:rPr>
                      <w:rFonts w:hint="eastAsia" w:ascii="宋体" w:hAnsi="宋体" w:eastAsia="宋体" w:cs="宋体"/>
                      <w:b/>
                      <w:bCs/>
                      <w:sz w:val="21"/>
                      <w:szCs w:val="21"/>
                    </w:rPr>
                    <w:t>具有项目的服务监测与评估进行评审：</w:t>
                  </w:r>
                </w:p>
                <w:p w14:paraId="3D9FC9CF">
                  <w:pPr>
                    <w:keepNext w:val="0"/>
                    <w:keepLines/>
                    <w:pageBreakBefore w:val="0"/>
                    <w:widowControl w:val="0"/>
                    <w:kinsoku/>
                    <w:wordWrap w:val="0"/>
                    <w:overflowPunct/>
                    <w:topLinePunct w:val="0"/>
                    <w:autoSpaceDE/>
                    <w:autoSpaceDN/>
                    <w:bidi w:val="0"/>
                    <w:adjustRightInd/>
                    <w:snapToGrid/>
                    <w:spacing w:line="240" w:lineRule="auto"/>
                    <w:jc w:val="left"/>
                    <w:textAlignment w:val="auto"/>
                    <w:rPr>
                      <w:rFonts w:hint="eastAsia" w:ascii="宋体" w:hAnsi="宋体" w:eastAsia="宋体" w:cs="宋体"/>
                      <w:sz w:val="21"/>
                      <w:szCs w:val="21"/>
                    </w:rPr>
                  </w:pPr>
                  <w:r>
                    <w:rPr>
                      <w:rFonts w:hint="eastAsia" w:ascii="宋体" w:hAnsi="宋体" w:eastAsia="宋体" w:cs="宋体"/>
                      <w:sz w:val="21"/>
                      <w:szCs w:val="21"/>
                    </w:rPr>
                    <w:t>（1）具有项目的跟踪服务方案；</w:t>
                  </w:r>
                </w:p>
                <w:p w14:paraId="501727C1">
                  <w:pPr>
                    <w:keepNext w:val="0"/>
                    <w:keepLines/>
                    <w:pageBreakBefore w:val="0"/>
                    <w:widowControl w:val="0"/>
                    <w:kinsoku/>
                    <w:wordWrap w:val="0"/>
                    <w:overflowPunct/>
                    <w:topLinePunct w:val="0"/>
                    <w:autoSpaceDE/>
                    <w:autoSpaceDN/>
                    <w:bidi w:val="0"/>
                    <w:adjustRightInd/>
                    <w:snapToGrid/>
                    <w:spacing w:line="240" w:lineRule="auto"/>
                    <w:jc w:val="left"/>
                    <w:textAlignment w:val="auto"/>
                    <w:rPr>
                      <w:rFonts w:hint="eastAsia" w:ascii="宋体" w:hAnsi="宋体" w:eastAsia="宋体" w:cs="宋体"/>
                      <w:sz w:val="21"/>
                      <w:szCs w:val="21"/>
                    </w:rPr>
                  </w:pPr>
                  <w:r>
                    <w:rPr>
                      <w:rFonts w:hint="eastAsia" w:ascii="宋体" w:hAnsi="宋体" w:eastAsia="宋体" w:cs="宋体"/>
                      <w:sz w:val="21"/>
                      <w:szCs w:val="21"/>
                    </w:rPr>
                    <w:t>（2）具有项目的意见反馈方案；</w:t>
                  </w:r>
                </w:p>
                <w:p w14:paraId="4BE32F9C">
                  <w:pPr>
                    <w:keepNext w:val="0"/>
                    <w:keepLines/>
                    <w:pageBreakBefore w:val="0"/>
                    <w:widowControl w:val="0"/>
                    <w:kinsoku/>
                    <w:wordWrap w:val="0"/>
                    <w:overflowPunct/>
                    <w:topLinePunct w:val="0"/>
                    <w:autoSpaceDE/>
                    <w:autoSpaceDN/>
                    <w:bidi w:val="0"/>
                    <w:adjustRightInd/>
                    <w:snapToGrid/>
                    <w:spacing w:line="240" w:lineRule="auto"/>
                    <w:jc w:val="left"/>
                    <w:textAlignment w:val="auto"/>
                    <w:rPr>
                      <w:rFonts w:hint="eastAsia" w:ascii="宋体" w:hAnsi="宋体" w:eastAsia="宋体" w:cs="宋体"/>
                      <w:sz w:val="21"/>
                      <w:szCs w:val="21"/>
                    </w:rPr>
                  </w:pPr>
                  <w:r>
                    <w:rPr>
                      <w:rFonts w:hint="eastAsia" w:ascii="宋体" w:hAnsi="宋体" w:eastAsia="宋体" w:cs="宋体"/>
                      <w:sz w:val="21"/>
                      <w:szCs w:val="21"/>
                    </w:rPr>
                    <w:t>（3）具有项目的监控流程方案；</w:t>
                  </w:r>
                </w:p>
                <w:p w14:paraId="1F281AAF">
                  <w:pPr>
                    <w:keepNext w:val="0"/>
                    <w:keepLines/>
                    <w:pageBreakBefore w:val="0"/>
                    <w:widowControl w:val="0"/>
                    <w:kinsoku/>
                    <w:wordWrap w:val="0"/>
                    <w:overflowPunct/>
                    <w:topLinePunct w:val="0"/>
                    <w:autoSpaceDE/>
                    <w:autoSpaceDN/>
                    <w:bidi w:val="0"/>
                    <w:adjustRightInd/>
                    <w:snapToGrid/>
                    <w:spacing w:line="240" w:lineRule="auto"/>
                    <w:jc w:val="left"/>
                    <w:textAlignment w:val="auto"/>
                    <w:rPr>
                      <w:rFonts w:hint="eastAsia" w:ascii="宋体" w:hAnsi="宋体" w:eastAsia="宋体" w:cs="宋体"/>
                      <w:sz w:val="21"/>
                      <w:szCs w:val="21"/>
                    </w:rPr>
                  </w:pPr>
                  <w:r>
                    <w:rPr>
                      <w:rFonts w:hint="eastAsia" w:ascii="宋体" w:hAnsi="宋体" w:eastAsia="宋体" w:cs="宋体"/>
                      <w:sz w:val="21"/>
                      <w:szCs w:val="21"/>
                    </w:rPr>
                    <w:t>（4）具有项目的评估流程方案。</w:t>
                  </w:r>
                </w:p>
                <w:p w14:paraId="0E7E3D0D">
                  <w:pPr>
                    <w:keepNext w:val="0"/>
                    <w:keepLines/>
                    <w:pageBreakBefore w:val="0"/>
                    <w:widowControl w:val="0"/>
                    <w:kinsoku/>
                    <w:wordWrap w:val="0"/>
                    <w:overflowPunct/>
                    <w:topLinePunct w:val="0"/>
                    <w:autoSpaceDE/>
                    <w:autoSpaceDN/>
                    <w:bidi w:val="0"/>
                    <w:adjustRightInd/>
                    <w:snapToGrid/>
                    <w:spacing w:line="240" w:lineRule="auto"/>
                    <w:jc w:val="left"/>
                    <w:textAlignment w:val="auto"/>
                    <w:rPr>
                      <w:rFonts w:hint="eastAsia" w:ascii="宋体" w:hAnsi="宋体" w:eastAsia="宋体" w:cs="宋体"/>
                      <w:sz w:val="21"/>
                      <w:szCs w:val="21"/>
                    </w:rPr>
                  </w:pPr>
                  <w:r>
                    <w:rPr>
                      <w:rFonts w:hint="eastAsia" w:ascii="宋体" w:hAnsi="宋体" w:eastAsia="宋体" w:cs="宋体"/>
                      <w:sz w:val="21"/>
                      <w:szCs w:val="21"/>
                    </w:rPr>
                    <w:t>根据投标人提供项目的服务监测与评估进行打分：全部满足得60分，满足任意三点得50分，满足任意二点得40分，满足任意一点得20分，未满足不得分；</w:t>
                  </w:r>
                </w:p>
                <w:p w14:paraId="14DD473A">
                  <w:pPr>
                    <w:keepNext w:val="0"/>
                    <w:keepLines/>
                    <w:pageBreakBefore w:val="0"/>
                    <w:widowControl w:val="0"/>
                    <w:kinsoku/>
                    <w:wordWrap w:val="0"/>
                    <w:overflowPunct/>
                    <w:topLinePunct w:val="0"/>
                    <w:autoSpaceDE/>
                    <w:autoSpaceDN/>
                    <w:bidi w:val="0"/>
                    <w:adjustRightInd/>
                    <w:snapToGrid/>
                    <w:spacing w:line="240" w:lineRule="auto"/>
                    <w:jc w:val="left"/>
                    <w:textAlignment w:val="auto"/>
                    <w:rPr>
                      <w:rFonts w:hint="eastAsia" w:ascii="宋体" w:hAnsi="宋体" w:eastAsia="宋体" w:cs="宋体"/>
                      <w:b/>
                      <w:bCs/>
                      <w:sz w:val="21"/>
                      <w:szCs w:val="21"/>
                    </w:rPr>
                  </w:pPr>
                  <w:r>
                    <w:rPr>
                      <w:rFonts w:hint="eastAsia" w:ascii="宋体" w:hAnsi="宋体" w:eastAsia="宋体" w:cs="宋体"/>
                      <w:b/>
                      <w:bCs/>
                      <w:sz w:val="21"/>
                      <w:szCs w:val="21"/>
                    </w:rPr>
                    <w:t>2.在此基础上，专家根据各供应商的具体响应内容进一步评审，评审标准如下:</w:t>
                  </w:r>
                </w:p>
                <w:p w14:paraId="016F795C">
                  <w:pPr>
                    <w:keepNext w:val="0"/>
                    <w:keepLines/>
                    <w:pageBreakBefore w:val="0"/>
                    <w:widowControl w:val="0"/>
                    <w:kinsoku/>
                    <w:wordWrap w:val="0"/>
                    <w:overflowPunct/>
                    <w:topLinePunct w:val="0"/>
                    <w:autoSpaceDE/>
                    <w:autoSpaceDN/>
                    <w:bidi w:val="0"/>
                    <w:adjustRightInd/>
                    <w:snapToGrid/>
                    <w:spacing w:line="240" w:lineRule="auto"/>
                    <w:jc w:val="left"/>
                    <w:textAlignment w:val="auto"/>
                    <w:rPr>
                      <w:rFonts w:hint="eastAsia" w:ascii="宋体" w:hAnsi="宋体" w:eastAsia="宋体" w:cs="宋体"/>
                      <w:sz w:val="21"/>
                      <w:szCs w:val="21"/>
                    </w:rPr>
                  </w:pPr>
                  <w:r>
                    <w:rPr>
                      <w:rFonts w:hint="eastAsia" w:ascii="宋体" w:hAnsi="宋体" w:eastAsia="宋体" w:cs="宋体"/>
                      <w:sz w:val="21"/>
                      <w:szCs w:val="21"/>
                    </w:rPr>
                    <w:t>评审为优（服务监测与评估方案制定详细、针对性强、专业服务经验丰富，方案可操作性强）的加40分；</w:t>
                  </w:r>
                </w:p>
                <w:p w14:paraId="1D9C02CA">
                  <w:pPr>
                    <w:keepNext w:val="0"/>
                    <w:keepLines/>
                    <w:pageBreakBefore w:val="0"/>
                    <w:widowControl w:val="0"/>
                    <w:kinsoku/>
                    <w:wordWrap w:val="0"/>
                    <w:overflowPunct/>
                    <w:topLinePunct w:val="0"/>
                    <w:autoSpaceDE/>
                    <w:autoSpaceDN/>
                    <w:bidi w:val="0"/>
                    <w:adjustRightInd/>
                    <w:snapToGrid/>
                    <w:spacing w:line="240" w:lineRule="auto"/>
                    <w:jc w:val="left"/>
                    <w:textAlignment w:val="auto"/>
                    <w:rPr>
                      <w:rFonts w:hint="eastAsia" w:ascii="宋体" w:hAnsi="宋体" w:eastAsia="宋体" w:cs="宋体"/>
                      <w:sz w:val="21"/>
                      <w:szCs w:val="21"/>
                    </w:rPr>
                  </w:pPr>
                  <w:r>
                    <w:rPr>
                      <w:rFonts w:hint="eastAsia" w:ascii="宋体" w:hAnsi="宋体" w:eastAsia="宋体" w:cs="宋体"/>
                      <w:sz w:val="21"/>
                      <w:szCs w:val="21"/>
                    </w:rPr>
                    <w:t>评审为良（服务监测与评估方案制定详细、有一定的针对性、专业服务经验较为丰富，方案操作性较强）的加20分；</w:t>
                  </w:r>
                </w:p>
                <w:p w14:paraId="39B5B2F8">
                  <w:pPr>
                    <w:keepNext w:val="0"/>
                    <w:keepLines/>
                    <w:pageBreakBefore w:val="0"/>
                    <w:widowControl w:val="0"/>
                    <w:kinsoku/>
                    <w:wordWrap w:val="0"/>
                    <w:overflowPunct/>
                    <w:topLinePunct w:val="0"/>
                    <w:autoSpaceDE/>
                    <w:autoSpaceDN/>
                    <w:bidi w:val="0"/>
                    <w:adjustRightInd/>
                    <w:snapToGrid/>
                    <w:spacing w:line="240" w:lineRule="auto"/>
                    <w:jc w:val="left"/>
                    <w:textAlignment w:val="auto"/>
                    <w:rPr>
                      <w:rFonts w:hint="eastAsia" w:ascii="宋体" w:hAnsi="宋体" w:eastAsia="宋体" w:cs="宋体"/>
                      <w:sz w:val="21"/>
                      <w:szCs w:val="21"/>
                    </w:rPr>
                  </w:pPr>
                  <w:r>
                    <w:rPr>
                      <w:rFonts w:hint="eastAsia" w:ascii="宋体" w:hAnsi="宋体" w:eastAsia="宋体" w:cs="宋体"/>
                      <w:sz w:val="21"/>
                      <w:szCs w:val="21"/>
                    </w:rPr>
                    <w:t>评审为中（服务监测与评估方案制定不详细、针对性不强、专业服务经验较少，方案具有一定的操作性）的加10分；</w:t>
                  </w:r>
                </w:p>
                <w:p w14:paraId="2DCD40A7">
                  <w:pPr>
                    <w:keepNext w:val="0"/>
                    <w:keepLines/>
                    <w:pageBreakBefore w:val="0"/>
                    <w:widowControl w:val="0"/>
                    <w:kinsoku/>
                    <w:wordWrap w:val="0"/>
                    <w:overflowPunct/>
                    <w:topLinePunct w:val="0"/>
                    <w:autoSpaceDE/>
                    <w:autoSpaceDN/>
                    <w:bidi w:val="0"/>
                    <w:adjustRightInd/>
                    <w:snapToGrid/>
                    <w:spacing w:line="240" w:lineRule="auto"/>
                    <w:jc w:val="left"/>
                    <w:textAlignment w:val="auto"/>
                    <w:rPr>
                      <w:rFonts w:hint="eastAsia" w:ascii="宋体" w:hAnsi="宋体" w:eastAsia="宋体" w:cs="宋体"/>
                      <w:sz w:val="21"/>
                      <w:szCs w:val="21"/>
                    </w:rPr>
                  </w:pPr>
                  <w:r>
                    <w:rPr>
                      <w:rFonts w:hint="eastAsia" w:ascii="宋体" w:hAnsi="宋体" w:eastAsia="宋体" w:cs="宋体"/>
                      <w:sz w:val="21"/>
                      <w:szCs w:val="21"/>
                    </w:rPr>
                    <w:t>评审为差（服务监测与评估方案简单笼统、针对性弱、专业服务经验少或没有，方案操作性差）的不得分。</w:t>
                  </w:r>
                </w:p>
                <w:p w14:paraId="6669C9C4">
                  <w:pPr>
                    <w:keepNext w:val="0"/>
                    <w:keepLines/>
                    <w:pageBreakBefore w:val="0"/>
                    <w:widowControl w:val="0"/>
                    <w:kinsoku/>
                    <w:wordWrap w:val="0"/>
                    <w:overflowPunct/>
                    <w:topLinePunct w:val="0"/>
                    <w:autoSpaceDE/>
                    <w:autoSpaceDN/>
                    <w:bidi w:val="0"/>
                    <w:adjustRightInd/>
                    <w:snapToGrid/>
                    <w:spacing w:line="240" w:lineRule="auto"/>
                    <w:jc w:val="left"/>
                    <w:textAlignment w:val="auto"/>
                    <w:rPr>
                      <w:rFonts w:hint="eastAsia" w:ascii="宋体" w:hAnsi="宋体" w:eastAsia="宋体" w:cs="宋体"/>
                      <w:spacing w:val="9"/>
                      <w:sz w:val="21"/>
                      <w:szCs w:val="21"/>
                      <w:lang w:val="en-US"/>
                    </w:rPr>
                  </w:pPr>
                  <w:r>
                    <w:rPr>
                      <w:rFonts w:hint="eastAsia" w:ascii="宋体" w:hAnsi="宋体" w:eastAsia="宋体" w:cs="宋体"/>
                      <w:sz w:val="21"/>
                      <w:szCs w:val="21"/>
                    </w:rPr>
                    <w:t>以上两项合计最高得100分。</w:t>
                  </w:r>
                </w:p>
              </w:tc>
            </w:tr>
            <w:tr w14:paraId="7FFDB27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380" w:type="pct"/>
                  <w:vMerge w:val="continue"/>
                  <w:tcBorders>
                    <w:top w:val="single" w:color="000000" w:sz="8" w:space="0"/>
                    <w:left w:val="single" w:color="000000" w:sz="8" w:space="0"/>
                    <w:bottom w:val="single" w:color="000000" w:sz="8" w:space="0"/>
                    <w:right w:val="single" w:color="000000" w:sz="8" w:space="0"/>
                  </w:tcBorders>
                  <w:vAlign w:val="center"/>
                </w:tcPr>
                <w:p w14:paraId="06B7A383">
                  <w:pPr>
                    <w:keepNext w:val="0"/>
                    <w:pageBreakBefore w:val="0"/>
                    <w:kinsoku/>
                    <w:overflowPunct/>
                    <w:topLinePunct w:val="0"/>
                    <w:bidi w:val="0"/>
                    <w:snapToGrid/>
                    <w:spacing w:line="240" w:lineRule="auto"/>
                    <w:rPr>
                      <w:rFonts w:hint="eastAsia" w:ascii="宋体" w:hAnsi="宋体" w:eastAsia="宋体" w:cs="宋体"/>
                      <w:b/>
                      <w:bCs/>
                      <w:color w:val="0000FF"/>
                      <w:sz w:val="21"/>
                      <w:szCs w:val="21"/>
                      <w:highlight w:val="none"/>
                    </w:rPr>
                  </w:pPr>
                </w:p>
              </w:tc>
              <w:tc>
                <w:tcPr>
                  <w:tcW w:w="725" w:type="dxa"/>
                  <w:tcBorders>
                    <w:top w:val="single" w:color="000000" w:sz="8" w:space="0"/>
                    <w:left w:val="single" w:color="000000" w:sz="8" w:space="0"/>
                    <w:bottom w:val="single" w:color="000000" w:sz="8" w:space="0"/>
                    <w:right w:val="single" w:color="000000" w:sz="8" w:space="0"/>
                  </w:tcBorders>
                  <w:vAlign w:val="center"/>
                </w:tcPr>
                <w:p w14:paraId="2EC489C7">
                  <w:pPr>
                    <w:keepNext w:val="0"/>
                    <w:keepLines/>
                    <w:pageBreakBefore w:val="0"/>
                    <w:widowControl w:val="0"/>
                    <w:kinsoku/>
                    <w:overflowPunct/>
                    <w:topLinePunct w:val="0"/>
                    <w:bidi w:val="0"/>
                    <w:snapToGrid/>
                    <w:jc w:val="center"/>
                    <w:textAlignment w:val="auto"/>
                    <w:rPr>
                      <w:rFonts w:hint="eastAsia" w:ascii="宋体" w:hAnsi="宋体" w:eastAsia="宋体" w:cs="宋体"/>
                      <w:color w:val="000000"/>
                      <w:kern w:val="0"/>
                      <w:sz w:val="21"/>
                      <w:szCs w:val="21"/>
                      <w:lang w:bidi="ar"/>
                    </w:rPr>
                  </w:pPr>
                  <w:r>
                    <w:rPr>
                      <w:rFonts w:hint="eastAsia" w:ascii="宋体" w:hAnsi="宋体" w:eastAsia="宋体" w:cs="宋体"/>
                      <w:sz w:val="21"/>
                      <w:szCs w:val="21"/>
                    </w:rPr>
                    <w:t>5</w:t>
                  </w:r>
                </w:p>
              </w:tc>
              <w:tc>
                <w:tcPr>
                  <w:tcW w:w="2427" w:type="dxa"/>
                  <w:tcBorders>
                    <w:top w:val="single" w:color="000000" w:sz="8" w:space="0"/>
                    <w:left w:val="single" w:color="000000" w:sz="8" w:space="0"/>
                    <w:bottom w:val="single" w:color="000000" w:sz="8" w:space="0"/>
                    <w:right w:val="single" w:color="000000" w:sz="8" w:space="0"/>
                  </w:tcBorders>
                  <w:vAlign w:val="center"/>
                </w:tcPr>
                <w:p w14:paraId="4EE0447A">
                  <w:pPr>
                    <w:keepNext w:val="0"/>
                    <w:keepLines/>
                    <w:pageBreakBefore w:val="0"/>
                    <w:widowControl w:val="0"/>
                    <w:kinsoku/>
                    <w:wordWrap w:val="0"/>
                    <w:overflowPunct/>
                    <w:topLinePunct w:val="0"/>
                    <w:bidi w:val="0"/>
                    <w:snapToGrid/>
                    <w:ind w:firstLine="210" w:firstLineChars="100"/>
                    <w:jc w:val="left"/>
                    <w:textAlignment w:val="auto"/>
                    <w:rPr>
                      <w:rFonts w:hint="eastAsia" w:ascii="宋体" w:hAnsi="宋体" w:eastAsia="宋体" w:cs="宋体"/>
                      <w:color w:val="000000"/>
                      <w:kern w:val="0"/>
                      <w:sz w:val="21"/>
                      <w:szCs w:val="21"/>
                      <w:lang w:bidi="ar"/>
                    </w:rPr>
                  </w:pPr>
                  <w:r>
                    <w:rPr>
                      <w:rFonts w:hint="eastAsia" w:ascii="宋体" w:hAnsi="宋体" w:eastAsia="宋体" w:cs="宋体"/>
                      <w:sz w:val="21"/>
                      <w:szCs w:val="21"/>
                    </w:rPr>
                    <w:t>人员督导、培训计划</w:t>
                  </w:r>
                </w:p>
              </w:tc>
              <w:tc>
                <w:tcPr>
                  <w:tcW w:w="641" w:type="dxa"/>
                  <w:tcBorders>
                    <w:top w:val="single" w:color="000000" w:sz="8" w:space="0"/>
                    <w:left w:val="single" w:color="000000" w:sz="8" w:space="0"/>
                    <w:bottom w:val="single" w:color="000000" w:sz="8" w:space="0"/>
                    <w:right w:val="single" w:color="000000" w:sz="8" w:space="0"/>
                  </w:tcBorders>
                  <w:vAlign w:val="center"/>
                </w:tcPr>
                <w:p w14:paraId="59159AEE">
                  <w:pPr>
                    <w:keepNext w:val="0"/>
                    <w:keepLines/>
                    <w:pageBreakBefore w:val="0"/>
                    <w:widowControl w:val="0"/>
                    <w:kinsoku/>
                    <w:wordWrap w:val="0"/>
                    <w:overflowPunct/>
                    <w:topLinePunct w:val="0"/>
                    <w:bidi w:val="0"/>
                    <w:snapToGrid/>
                    <w:jc w:val="center"/>
                    <w:textAlignment w:val="auto"/>
                    <w:rPr>
                      <w:rFonts w:hint="eastAsia" w:ascii="宋体" w:hAnsi="宋体" w:eastAsia="宋体" w:cs="宋体"/>
                      <w:color w:val="000000"/>
                      <w:kern w:val="0"/>
                      <w:sz w:val="21"/>
                      <w:szCs w:val="21"/>
                      <w:lang w:bidi="ar"/>
                    </w:rPr>
                  </w:pPr>
                  <w:r>
                    <w:rPr>
                      <w:rFonts w:hint="eastAsia" w:ascii="宋体" w:hAnsi="宋体" w:eastAsia="宋体" w:cs="宋体"/>
                      <w:sz w:val="21"/>
                      <w:szCs w:val="21"/>
                    </w:rPr>
                    <w:t>5</w:t>
                  </w:r>
                </w:p>
              </w:tc>
              <w:tc>
                <w:tcPr>
                  <w:tcW w:w="4482" w:type="dxa"/>
                  <w:tcBorders>
                    <w:top w:val="single" w:color="000000" w:sz="8" w:space="0"/>
                    <w:left w:val="single" w:color="000000" w:sz="8" w:space="0"/>
                    <w:bottom w:val="single" w:color="000000" w:sz="8" w:space="0"/>
                    <w:right w:val="single" w:color="000000" w:sz="8" w:space="0"/>
                  </w:tcBorders>
                  <w:vAlign w:val="center"/>
                </w:tcPr>
                <w:p w14:paraId="7EBFB04F">
                  <w:pPr>
                    <w:keepNext w:val="0"/>
                    <w:keepLines/>
                    <w:pageBreakBefore w:val="0"/>
                    <w:widowControl w:val="0"/>
                    <w:kinsoku/>
                    <w:wordWrap w:val="0"/>
                    <w:overflowPunct/>
                    <w:topLinePunct w:val="0"/>
                    <w:autoSpaceDE/>
                    <w:autoSpaceDN/>
                    <w:bidi w:val="0"/>
                    <w:adjustRightInd/>
                    <w:snapToGrid/>
                    <w:spacing w:line="240" w:lineRule="auto"/>
                    <w:jc w:val="left"/>
                    <w:textAlignment w:val="auto"/>
                    <w:rPr>
                      <w:rFonts w:hint="eastAsia" w:ascii="宋体" w:hAnsi="宋体" w:eastAsia="宋体" w:cs="宋体"/>
                      <w:b/>
                      <w:bCs/>
                      <w:sz w:val="21"/>
                      <w:szCs w:val="21"/>
                    </w:rPr>
                  </w:pPr>
                  <w:r>
                    <w:rPr>
                      <w:rFonts w:hint="eastAsia" w:ascii="宋体" w:hAnsi="宋体" w:eastAsia="宋体" w:cs="宋体"/>
                      <w:b/>
                      <w:bCs/>
                      <w:sz w:val="21"/>
                      <w:szCs w:val="21"/>
                    </w:rPr>
                    <w:t>1.</w:t>
                  </w:r>
                  <w:r>
                    <w:rPr>
                      <w:rFonts w:hint="eastAsia" w:ascii="宋体" w:hAnsi="宋体" w:eastAsia="宋体" w:cs="宋体"/>
                      <w:b/>
                      <w:bCs/>
                      <w:sz w:val="21"/>
                      <w:szCs w:val="21"/>
                      <w:lang w:eastAsia="zh-CN"/>
                    </w:rPr>
                    <w:t>依据是否</w:t>
                  </w:r>
                  <w:r>
                    <w:rPr>
                      <w:rFonts w:hint="eastAsia" w:ascii="宋体" w:hAnsi="宋体" w:eastAsia="宋体" w:cs="宋体"/>
                      <w:b/>
                      <w:bCs/>
                      <w:sz w:val="21"/>
                      <w:szCs w:val="21"/>
                    </w:rPr>
                    <w:t>具有完善的人员督导、培训计划</w:t>
                  </w:r>
                  <w:r>
                    <w:rPr>
                      <w:rFonts w:hint="eastAsia" w:ascii="宋体" w:hAnsi="宋体" w:eastAsia="宋体" w:cs="宋体"/>
                      <w:b/>
                      <w:bCs/>
                      <w:sz w:val="21"/>
                      <w:szCs w:val="21"/>
                      <w:lang w:eastAsia="zh-CN"/>
                    </w:rPr>
                    <w:t>等</w:t>
                  </w:r>
                  <w:r>
                    <w:rPr>
                      <w:rFonts w:hint="eastAsia" w:ascii="宋体" w:hAnsi="宋体" w:eastAsia="宋体" w:cs="宋体"/>
                      <w:b/>
                      <w:bCs/>
                      <w:sz w:val="21"/>
                      <w:szCs w:val="21"/>
                    </w:rPr>
                    <w:t>内容进行评审：</w:t>
                  </w:r>
                </w:p>
                <w:p w14:paraId="3344CF37">
                  <w:pPr>
                    <w:keepNext w:val="0"/>
                    <w:keepLines/>
                    <w:pageBreakBefore w:val="0"/>
                    <w:widowControl w:val="0"/>
                    <w:kinsoku/>
                    <w:wordWrap w:val="0"/>
                    <w:overflowPunct/>
                    <w:topLinePunct w:val="0"/>
                    <w:autoSpaceDE/>
                    <w:autoSpaceDN/>
                    <w:bidi w:val="0"/>
                    <w:adjustRightInd/>
                    <w:snapToGrid/>
                    <w:spacing w:line="240" w:lineRule="auto"/>
                    <w:jc w:val="left"/>
                    <w:textAlignment w:val="auto"/>
                    <w:rPr>
                      <w:rFonts w:hint="eastAsia" w:ascii="宋体" w:hAnsi="宋体" w:eastAsia="宋体" w:cs="宋体"/>
                      <w:sz w:val="21"/>
                      <w:szCs w:val="21"/>
                    </w:rPr>
                  </w:pPr>
                  <w:r>
                    <w:rPr>
                      <w:rFonts w:hint="eastAsia" w:ascii="宋体" w:hAnsi="宋体" w:eastAsia="宋体" w:cs="宋体"/>
                      <w:sz w:val="21"/>
                      <w:szCs w:val="21"/>
                    </w:rPr>
                    <w:t>（1）具有详细完整的年度及具体督导、培训计划；</w:t>
                  </w:r>
                </w:p>
                <w:p w14:paraId="3A5E62E3">
                  <w:pPr>
                    <w:keepNext w:val="0"/>
                    <w:keepLines/>
                    <w:pageBreakBefore w:val="0"/>
                    <w:widowControl w:val="0"/>
                    <w:kinsoku/>
                    <w:wordWrap w:val="0"/>
                    <w:overflowPunct/>
                    <w:topLinePunct w:val="0"/>
                    <w:autoSpaceDE/>
                    <w:autoSpaceDN/>
                    <w:bidi w:val="0"/>
                    <w:adjustRightInd/>
                    <w:snapToGrid/>
                    <w:spacing w:line="240" w:lineRule="auto"/>
                    <w:jc w:val="left"/>
                    <w:textAlignment w:val="auto"/>
                    <w:rPr>
                      <w:rFonts w:hint="eastAsia" w:ascii="宋体" w:hAnsi="宋体" w:eastAsia="宋体" w:cs="宋体"/>
                      <w:sz w:val="21"/>
                      <w:szCs w:val="21"/>
                    </w:rPr>
                  </w:pPr>
                  <w:r>
                    <w:rPr>
                      <w:rFonts w:hint="eastAsia" w:ascii="宋体" w:hAnsi="宋体" w:eastAsia="宋体" w:cs="宋体"/>
                      <w:sz w:val="21"/>
                      <w:szCs w:val="21"/>
                    </w:rPr>
                    <w:t>（2）督导、培训计划符合社工及用人单位需求；</w:t>
                  </w:r>
                </w:p>
                <w:p w14:paraId="637C1300">
                  <w:pPr>
                    <w:keepNext w:val="0"/>
                    <w:keepLines/>
                    <w:pageBreakBefore w:val="0"/>
                    <w:widowControl w:val="0"/>
                    <w:kinsoku/>
                    <w:wordWrap w:val="0"/>
                    <w:overflowPunct/>
                    <w:topLinePunct w:val="0"/>
                    <w:autoSpaceDE/>
                    <w:autoSpaceDN/>
                    <w:bidi w:val="0"/>
                    <w:adjustRightInd/>
                    <w:snapToGrid/>
                    <w:spacing w:line="240" w:lineRule="auto"/>
                    <w:jc w:val="left"/>
                    <w:textAlignment w:val="auto"/>
                    <w:rPr>
                      <w:rFonts w:hint="eastAsia" w:ascii="宋体" w:hAnsi="宋体" w:eastAsia="宋体" w:cs="宋体"/>
                      <w:sz w:val="21"/>
                      <w:szCs w:val="21"/>
                    </w:rPr>
                  </w:pPr>
                  <w:r>
                    <w:rPr>
                      <w:rFonts w:hint="eastAsia" w:ascii="宋体" w:hAnsi="宋体" w:eastAsia="宋体" w:cs="宋体"/>
                      <w:sz w:val="21"/>
                      <w:szCs w:val="21"/>
                    </w:rPr>
                    <w:t>（3）督导、培训计划切实可行；</w:t>
                  </w:r>
                </w:p>
                <w:p w14:paraId="7C28A17E">
                  <w:pPr>
                    <w:keepNext w:val="0"/>
                    <w:keepLines/>
                    <w:pageBreakBefore w:val="0"/>
                    <w:widowControl w:val="0"/>
                    <w:kinsoku/>
                    <w:wordWrap w:val="0"/>
                    <w:overflowPunct/>
                    <w:topLinePunct w:val="0"/>
                    <w:autoSpaceDE/>
                    <w:autoSpaceDN/>
                    <w:bidi w:val="0"/>
                    <w:adjustRightInd/>
                    <w:snapToGrid/>
                    <w:spacing w:line="240" w:lineRule="auto"/>
                    <w:jc w:val="left"/>
                    <w:textAlignment w:val="auto"/>
                    <w:rPr>
                      <w:rFonts w:hint="eastAsia" w:ascii="宋体" w:hAnsi="宋体" w:eastAsia="宋体" w:cs="宋体"/>
                      <w:sz w:val="21"/>
                      <w:szCs w:val="21"/>
                    </w:rPr>
                  </w:pPr>
                  <w:r>
                    <w:rPr>
                      <w:rFonts w:hint="eastAsia" w:ascii="宋体" w:hAnsi="宋体" w:eastAsia="宋体" w:cs="宋体"/>
                      <w:sz w:val="21"/>
                      <w:szCs w:val="21"/>
                    </w:rPr>
                    <w:t>（4）设计有实施各项具体计划的操作方案；</w:t>
                  </w:r>
                </w:p>
                <w:p w14:paraId="3563418E">
                  <w:pPr>
                    <w:keepNext w:val="0"/>
                    <w:keepLines/>
                    <w:pageBreakBefore w:val="0"/>
                    <w:widowControl w:val="0"/>
                    <w:kinsoku/>
                    <w:wordWrap w:val="0"/>
                    <w:overflowPunct/>
                    <w:topLinePunct w:val="0"/>
                    <w:autoSpaceDE/>
                    <w:autoSpaceDN/>
                    <w:bidi w:val="0"/>
                    <w:adjustRightInd/>
                    <w:snapToGrid/>
                    <w:spacing w:line="240" w:lineRule="auto"/>
                    <w:jc w:val="left"/>
                    <w:textAlignment w:val="auto"/>
                    <w:rPr>
                      <w:rFonts w:hint="eastAsia" w:ascii="宋体" w:hAnsi="宋体" w:eastAsia="宋体" w:cs="宋体"/>
                      <w:sz w:val="21"/>
                      <w:szCs w:val="21"/>
                    </w:rPr>
                  </w:pPr>
                  <w:r>
                    <w:rPr>
                      <w:rFonts w:hint="eastAsia" w:ascii="宋体" w:hAnsi="宋体" w:eastAsia="宋体" w:cs="宋体"/>
                      <w:sz w:val="21"/>
                      <w:szCs w:val="21"/>
                    </w:rPr>
                    <w:t>（5）投标人承诺中标后聘请层次较高的专家学者（提供承诺函，格式自拟）。</w:t>
                  </w:r>
                </w:p>
                <w:p w14:paraId="168ED186">
                  <w:pPr>
                    <w:keepNext w:val="0"/>
                    <w:keepLines/>
                    <w:pageBreakBefore w:val="0"/>
                    <w:widowControl w:val="0"/>
                    <w:kinsoku/>
                    <w:wordWrap w:val="0"/>
                    <w:overflowPunct/>
                    <w:topLinePunct w:val="0"/>
                    <w:autoSpaceDE/>
                    <w:autoSpaceDN/>
                    <w:bidi w:val="0"/>
                    <w:adjustRightInd/>
                    <w:snapToGrid/>
                    <w:spacing w:line="240" w:lineRule="auto"/>
                    <w:jc w:val="left"/>
                    <w:textAlignment w:val="auto"/>
                    <w:rPr>
                      <w:rFonts w:hint="eastAsia" w:ascii="宋体" w:hAnsi="宋体" w:eastAsia="宋体" w:cs="宋体"/>
                      <w:sz w:val="21"/>
                      <w:szCs w:val="21"/>
                    </w:rPr>
                  </w:pPr>
                  <w:r>
                    <w:rPr>
                      <w:rFonts w:hint="eastAsia" w:ascii="宋体" w:hAnsi="宋体" w:eastAsia="宋体" w:cs="宋体"/>
                      <w:sz w:val="21"/>
                      <w:szCs w:val="21"/>
                    </w:rPr>
                    <w:t>全部满足得60分，满足任意四点得50分，满满足上述三点得40分，满足任意两点得20分，满足任意一点得10分，未满足不得分；</w:t>
                  </w:r>
                </w:p>
                <w:p w14:paraId="15A848A0">
                  <w:pPr>
                    <w:keepNext w:val="0"/>
                    <w:keepLines/>
                    <w:pageBreakBefore w:val="0"/>
                    <w:widowControl w:val="0"/>
                    <w:kinsoku/>
                    <w:wordWrap w:val="0"/>
                    <w:overflowPunct/>
                    <w:topLinePunct w:val="0"/>
                    <w:autoSpaceDE/>
                    <w:autoSpaceDN/>
                    <w:bidi w:val="0"/>
                    <w:adjustRightInd/>
                    <w:snapToGrid/>
                    <w:spacing w:line="240" w:lineRule="auto"/>
                    <w:jc w:val="left"/>
                    <w:textAlignment w:val="auto"/>
                    <w:rPr>
                      <w:rFonts w:hint="eastAsia" w:ascii="宋体" w:hAnsi="宋体" w:eastAsia="宋体" w:cs="宋体"/>
                      <w:b/>
                      <w:bCs/>
                      <w:sz w:val="21"/>
                      <w:szCs w:val="21"/>
                    </w:rPr>
                  </w:pPr>
                  <w:r>
                    <w:rPr>
                      <w:rFonts w:hint="eastAsia" w:ascii="宋体" w:hAnsi="宋体" w:eastAsia="宋体" w:cs="宋体"/>
                      <w:b/>
                      <w:bCs/>
                      <w:sz w:val="21"/>
                      <w:szCs w:val="21"/>
                    </w:rPr>
                    <w:t>2.在此基础上，专家根据各供应商的具体响应内容进一步评审，评审标准如下:</w:t>
                  </w:r>
                </w:p>
                <w:p w14:paraId="72D5EB81">
                  <w:pPr>
                    <w:keepNext w:val="0"/>
                    <w:keepLines/>
                    <w:pageBreakBefore w:val="0"/>
                    <w:widowControl w:val="0"/>
                    <w:kinsoku/>
                    <w:wordWrap w:val="0"/>
                    <w:overflowPunct/>
                    <w:topLinePunct w:val="0"/>
                    <w:autoSpaceDE/>
                    <w:autoSpaceDN/>
                    <w:bidi w:val="0"/>
                    <w:adjustRightInd/>
                    <w:snapToGrid/>
                    <w:spacing w:line="240" w:lineRule="auto"/>
                    <w:jc w:val="left"/>
                    <w:textAlignment w:val="auto"/>
                    <w:rPr>
                      <w:rFonts w:hint="eastAsia" w:ascii="宋体" w:hAnsi="宋体" w:eastAsia="宋体" w:cs="宋体"/>
                      <w:sz w:val="21"/>
                      <w:szCs w:val="21"/>
                    </w:rPr>
                  </w:pPr>
                  <w:r>
                    <w:rPr>
                      <w:rFonts w:hint="eastAsia" w:ascii="宋体" w:hAnsi="宋体" w:eastAsia="宋体" w:cs="宋体"/>
                      <w:sz w:val="21"/>
                      <w:szCs w:val="21"/>
                    </w:rPr>
                    <w:t>评审为优（计划制定详细、针对性强、专业服务经验丰富，方案可操作性强）的加40分；</w:t>
                  </w:r>
                </w:p>
                <w:p w14:paraId="0D4D6E3E">
                  <w:pPr>
                    <w:keepNext w:val="0"/>
                    <w:keepLines/>
                    <w:pageBreakBefore w:val="0"/>
                    <w:widowControl w:val="0"/>
                    <w:kinsoku/>
                    <w:wordWrap w:val="0"/>
                    <w:overflowPunct/>
                    <w:topLinePunct w:val="0"/>
                    <w:autoSpaceDE/>
                    <w:autoSpaceDN/>
                    <w:bidi w:val="0"/>
                    <w:adjustRightInd/>
                    <w:snapToGrid/>
                    <w:spacing w:line="240" w:lineRule="auto"/>
                    <w:jc w:val="left"/>
                    <w:textAlignment w:val="auto"/>
                    <w:rPr>
                      <w:rFonts w:hint="eastAsia" w:ascii="宋体" w:hAnsi="宋体" w:eastAsia="宋体" w:cs="宋体"/>
                      <w:sz w:val="21"/>
                      <w:szCs w:val="21"/>
                    </w:rPr>
                  </w:pPr>
                  <w:r>
                    <w:rPr>
                      <w:rFonts w:hint="eastAsia" w:ascii="宋体" w:hAnsi="宋体" w:eastAsia="宋体" w:cs="宋体"/>
                      <w:sz w:val="21"/>
                      <w:szCs w:val="21"/>
                    </w:rPr>
                    <w:t>评审为良（计划制定详细、有一定的针对性、专业服务经验较为丰富，方案操作性较强）的加20分；</w:t>
                  </w:r>
                </w:p>
                <w:p w14:paraId="20EED762">
                  <w:pPr>
                    <w:keepNext w:val="0"/>
                    <w:keepLines/>
                    <w:pageBreakBefore w:val="0"/>
                    <w:widowControl w:val="0"/>
                    <w:kinsoku/>
                    <w:wordWrap w:val="0"/>
                    <w:overflowPunct/>
                    <w:topLinePunct w:val="0"/>
                    <w:autoSpaceDE/>
                    <w:autoSpaceDN/>
                    <w:bidi w:val="0"/>
                    <w:adjustRightInd/>
                    <w:snapToGrid/>
                    <w:spacing w:line="240" w:lineRule="auto"/>
                    <w:jc w:val="left"/>
                    <w:textAlignment w:val="auto"/>
                    <w:rPr>
                      <w:rFonts w:hint="eastAsia" w:ascii="宋体" w:hAnsi="宋体" w:eastAsia="宋体" w:cs="宋体"/>
                      <w:sz w:val="21"/>
                      <w:szCs w:val="21"/>
                    </w:rPr>
                  </w:pPr>
                  <w:r>
                    <w:rPr>
                      <w:rFonts w:hint="eastAsia" w:ascii="宋体" w:hAnsi="宋体" w:eastAsia="宋体" w:cs="宋体"/>
                      <w:sz w:val="21"/>
                      <w:szCs w:val="21"/>
                    </w:rPr>
                    <w:t>评审为中（计划制定不详细、针对性不强、专业服务经验较少，方案具有一定的操作性）的加10分；</w:t>
                  </w:r>
                </w:p>
                <w:p w14:paraId="21AB3E72">
                  <w:pPr>
                    <w:keepNext w:val="0"/>
                    <w:keepLines/>
                    <w:pageBreakBefore w:val="0"/>
                    <w:widowControl w:val="0"/>
                    <w:kinsoku/>
                    <w:wordWrap w:val="0"/>
                    <w:overflowPunct/>
                    <w:topLinePunct w:val="0"/>
                    <w:autoSpaceDE/>
                    <w:autoSpaceDN/>
                    <w:bidi w:val="0"/>
                    <w:adjustRightInd/>
                    <w:snapToGrid/>
                    <w:spacing w:line="240" w:lineRule="auto"/>
                    <w:jc w:val="left"/>
                    <w:textAlignment w:val="auto"/>
                    <w:rPr>
                      <w:rFonts w:hint="eastAsia" w:ascii="宋体" w:hAnsi="宋体" w:eastAsia="宋体" w:cs="宋体"/>
                      <w:sz w:val="21"/>
                      <w:szCs w:val="21"/>
                    </w:rPr>
                  </w:pPr>
                  <w:r>
                    <w:rPr>
                      <w:rFonts w:hint="eastAsia" w:ascii="宋体" w:hAnsi="宋体" w:eastAsia="宋体" w:cs="宋体"/>
                      <w:sz w:val="21"/>
                      <w:szCs w:val="21"/>
                    </w:rPr>
                    <w:t>评审为差（计划简单笼统、针对性弱、专业服务经验少或没有，方案操作性差）的不得分。</w:t>
                  </w:r>
                </w:p>
                <w:p w14:paraId="4FA49386">
                  <w:pPr>
                    <w:pStyle w:val="2"/>
                    <w:keepNext w:val="0"/>
                    <w:pageBreakBefore w:val="0"/>
                    <w:widowControl w:val="0"/>
                    <w:kinsoku/>
                    <w:overflowPunct/>
                    <w:topLinePunct w:val="0"/>
                    <w:autoSpaceDE/>
                    <w:autoSpaceDN/>
                    <w:bidi w:val="0"/>
                    <w:adjustRightInd/>
                    <w:snapToGrid/>
                    <w:spacing w:line="240" w:lineRule="auto"/>
                    <w:textAlignment w:val="auto"/>
                    <w:rPr>
                      <w:rFonts w:hint="eastAsia" w:ascii="宋体" w:hAnsi="宋体" w:eastAsia="宋体" w:cs="宋体"/>
                      <w:color w:val="000000"/>
                      <w:kern w:val="0"/>
                      <w:sz w:val="21"/>
                      <w:szCs w:val="21"/>
                      <w:lang w:bidi="ar"/>
                    </w:rPr>
                  </w:pPr>
                  <w:r>
                    <w:rPr>
                      <w:rFonts w:hint="eastAsia" w:ascii="宋体" w:hAnsi="宋体" w:eastAsia="宋体" w:cs="宋体"/>
                      <w:b w:val="0"/>
                      <w:bCs w:val="0"/>
                      <w:sz w:val="21"/>
                      <w:szCs w:val="21"/>
                    </w:rPr>
                    <w:t>以上两项合计最高得100分。</w:t>
                  </w:r>
                </w:p>
              </w:tc>
            </w:tr>
            <w:tr w14:paraId="38008EC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380" w:type="pct"/>
                  <w:vMerge w:val="continue"/>
                  <w:tcBorders>
                    <w:top w:val="single" w:color="000000" w:sz="8" w:space="0"/>
                    <w:left w:val="single" w:color="000000" w:sz="8" w:space="0"/>
                    <w:bottom w:val="single" w:color="000000" w:sz="8" w:space="0"/>
                    <w:right w:val="single" w:color="000000" w:sz="8" w:space="0"/>
                  </w:tcBorders>
                  <w:vAlign w:val="center"/>
                </w:tcPr>
                <w:p w14:paraId="64DD0EA2">
                  <w:pPr>
                    <w:keepNext w:val="0"/>
                    <w:pageBreakBefore w:val="0"/>
                    <w:kinsoku/>
                    <w:overflowPunct/>
                    <w:topLinePunct w:val="0"/>
                    <w:bidi w:val="0"/>
                    <w:snapToGrid/>
                    <w:spacing w:line="240" w:lineRule="auto"/>
                    <w:rPr>
                      <w:rFonts w:hint="eastAsia" w:ascii="宋体" w:hAnsi="宋体" w:eastAsia="宋体" w:cs="宋体"/>
                      <w:b/>
                      <w:bCs/>
                      <w:color w:val="0000FF"/>
                      <w:sz w:val="21"/>
                      <w:szCs w:val="21"/>
                      <w:highlight w:val="none"/>
                    </w:rPr>
                  </w:pPr>
                </w:p>
              </w:tc>
              <w:tc>
                <w:tcPr>
                  <w:tcW w:w="725" w:type="dxa"/>
                  <w:tcBorders>
                    <w:top w:val="single" w:color="000000" w:sz="8" w:space="0"/>
                    <w:left w:val="single" w:color="000000" w:sz="8" w:space="0"/>
                    <w:bottom w:val="single" w:color="000000" w:sz="8" w:space="0"/>
                    <w:right w:val="single" w:color="000000" w:sz="8" w:space="0"/>
                  </w:tcBorders>
                  <w:vAlign w:val="center"/>
                </w:tcPr>
                <w:p w14:paraId="6138F5A3">
                  <w:pPr>
                    <w:keepNext w:val="0"/>
                    <w:keepLines/>
                    <w:pageBreakBefore w:val="0"/>
                    <w:widowControl w:val="0"/>
                    <w:kinsoku/>
                    <w:overflowPunct/>
                    <w:topLinePunct w:val="0"/>
                    <w:bidi w:val="0"/>
                    <w:snapToGrid/>
                    <w:jc w:val="center"/>
                    <w:textAlignment w:val="auto"/>
                    <w:rPr>
                      <w:rFonts w:hint="eastAsia" w:ascii="宋体" w:hAnsi="宋体" w:eastAsia="宋体" w:cs="宋体"/>
                      <w:color w:val="000000"/>
                      <w:kern w:val="0"/>
                      <w:sz w:val="21"/>
                      <w:szCs w:val="21"/>
                      <w:lang w:bidi="ar"/>
                    </w:rPr>
                  </w:pPr>
                  <w:r>
                    <w:rPr>
                      <w:rFonts w:hint="eastAsia" w:ascii="宋体" w:hAnsi="宋体" w:eastAsia="宋体" w:cs="宋体"/>
                      <w:sz w:val="21"/>
                      <w:szCs w:val="21"/>
                    </w:rPr>
                    <w:t>6</w:t>
                  </w:r>
                </w:p>
              </w:tc>
              <w:tc>
                <w:tcPr>
                  <w:tcW w:w="2427" w:type="dxa"/>
                  <w:tcBorders>
                    <w:top w:val="single" w:color="000000" w:sz="8" w:space="0"/>
                    <w:left w:val="single" w:color="000000" w:sz="8" w:space="0"/>
                    <w:bottom w:val="single" w:color="000000" w:sz="8" w:space="0"/>
                    <w:right w:val="single" w:color="000000" w:sz="8" w:space="0"/>
                  </w:tcBorders>
                  <w:vAlign w:val="center"/>
                </w:tcPr>
                <w:p w14:paraId="1F97CA7F">
                  <w:pPr>
                    <w:pStyle w:val="164"/>
                    <w:keepNext w:val="0"/>
                    <w:keepLines/>
                    <w:pageBreakBefore w:val="0"/>
                    <w:widowControl w:val="0"/>
                    <w:kinsoku/>
                    <w:overflowPunct/>
                    <w:topLinePunct w:val="0"/>
                    <w:bidi w:val="0"/>
                    <w:snapToGrid/>
                    <w:jc w:val="center"/>
                    <w:textAlignment w:val="auto"/>
                    <w:rPr>
                      <w:rFonts w:hint="eastAsia" w:ascii="宋体" w:hAnsi="宋体" w:eastAsia="宋体" w:cs="宋体"/>
                      <w:color w:val="000000"/>
                      <w:kern w:val="0"/>
                      <w:sz w:val="21"/>
                      <w:szCs w:val="21"/>
                      <w:lang w:bidi="ar"/>
                    </w:rPr>
                  </w:pPr>
                  <w:r>
                    <w:rPr>
                      <w:rFonts w:hint="eastAsia" w:ascii="宋体" w:hAnsi="宋体" w:eastAsia="宋体" w:cs="宋体"/>
                      <w:sz w:val="21"/>
                      <w:szCs w:val="21"/>
                    </w:rPr>
                    <w:t>项目督导人员</w:t>
                  </w:r>
                </w:p>
              </w:tc>
              <w:tc>
                <w:tcPr>
                  <w:tcW w:w="641" w:type="dxa"/>
                  <w:tcBorders>
                    <w:top w:val="single" w:color="000000" w:sz="8" w:space="0"/>
                    <w:left w:val="single" w:color="000000" w:sz="8" w:space="0"/>
                    <w:bottom w:val="single" w:color="000000" w:sz="8" w:space="0"/>
                    <w:right w:val="single" w:color="000000" w:sz="8" w:space="0"/>
                  </w:tcBorders>
                  <w:vAlign w:val="center"/>
                </w:tcPr>
                <w:p w14:paraId="58A19A32">
                  <w:pPr>
                    <w:keepNext w:val="0"/>
                    <w:keepLines/>
                    <w:pageBreakBefore w:val="0"/>
                    <w:widowControl w:val="0"/>
                    <w:kinsoku/>
                    <w:overflowPunct/>
                    <w:topLinePunct w:val="0"/>
                    <w:bidi w:val="0"/>
                    <w:snapToGrid/>
                    <w:jc w:val="center"/>
                    <w:textAlignment w:val="auto"/>
                    <w:rPr>
                      <w:rFonts w:hint="eastAsia" w:ascii="宋体" w:hAnsi="宋体" w:eastAsia="宋体" w:cs="宋体"/>
                      <w:color w:val="000000"/>
                      <w:kern w:val="0"/>
                      <w:sz w:val="21"/>
                      <w:szCs w:val="21"/>
                      <w:lang w:bidi="ar"/>
                    </w:rPr>
                  </w:pPr>
                  <w:r>
                    <w:rPr>
                      <w:rFonts w:hint="eastAsia" w:ascii="宋体" w:hAnsi="宋体" w:eastAsia="宋体" w:cs="宋体"/>
                      <w:sz w:val="21"/>
                      <w:szCs w:val="21"/>
                    </w:rPr>
                    <w:t>5</w:t>
                  </w:r>
                </w:p>
              </w:tc>
              <w:tc>
                <w:tcPr>
                  <w:tcW w:w="4482" w:type="dxa"/>
                  <w:tcBorders>
                    <w:top w:val="single" w:color="000000" w:sz="8" w:space="0"/>
                    <w:left w:val="single" w:color="000000" w:sz="8" w:space="0"/>
                    <w:bottom w:val="single" w:color="000000" w:sz="8" w:space="0"/>
                    <w:right w:val="single" w:color="000000" w:sz="8" w:space="0"/>
                  </w:tcBorders>
                  <w:vAlign w:val="center"/>
                </w:tcPr>
                <w:p w14:paraId="2EED347E">
                  <w:pPr>
                    <w:keepNext w:val="0"/>
                    <w:keepLines/>
                    <w:pageBreakBefore w:val="0"/>
                    <w:widowControl w:val="0"/>
                    <w:kinsoku/>
                    <w:overflowPunct/>
                    <w:topLinePunct w:val="0"/>
                    <w:bidi w:val="0"/>
                    <w:snapToGrid/>
                    <w:jc w:val="left"/>
                    <w:textAlignment w:val="auto"/>
                    <w:rPr>
                      <w:rFonts w:hint="eastAsia" w:ascii="宋体" w:hAnsi="宋体" w:eastAsia="宋体" w:cs="宋体"/>
                      <w:b/>
                      <w:bCs/>
                      <w:sz w:val="21"/>
                      <w:szCs w:val="21"/>
                    </w:rPr>
                  </w:pPr>
                  <w:r>
                    <w:rPr>
                      <w:rFonts w:hint="eastAsia" w:ascii="宋体" w:hAnsi="宋体" w:eastAsia="宋体" w:cs="宋体"/>
                      <w:b/>
                      <w:bCs/>
                      <w:sz w:val="21"/>
                      <w:szCs w:val="21"/>
                    </w:rPr>
                    <w:t>评审标准：</w:t>
                  </w:r>
                </w:p>
                <w:p w14:paraId="26D9F373">
                  <w:pPr>
                    <w:keepNext w:val="0"/>
                    <w:keepLines/>
                    <w:pageBreakBefore w:val="0"/>
                    <w:widowControl w:val="0"/>
                    <w:kinsoku/>
                    <w:overflowPunct/>
                    <w:topLinePunct w:val="0"/>
                    <w:bidi w:val="0"/>
                    <w:snapToGrid/>
                    <w:jc w:val="left"/>
                    <w:textAlignment w:val="auto"/>
                    <w:rPr>
                      <w:rFonts w:hint="eastAsia" w:ascii="宋体" w:hAnsi="宋体" w:eastAsia="宋体" w:cs="宋体"/>
                      <w:sz w:val="21"/>
                      <w:szCs w:val="21"/>
                    </w:rPr>
                  </w:pPr>
                  <w:r>
                    <w:rPr>
                      <w:rFonts w:hint="eastAsia" w:ascii="宋体" w:hAnsi="宋体" w:eastAsia="宋体" w:cs="宋体"/>
                      <w:sz w:val="21"/>
                      <w:szCs w:val="21"/>
                    </w:rPr>
                    <w:t>投标人需为项目配备督导1名：</w:t>
                  </w:r>
                </w:p>
                <w:p w14:paraId="28178C37">
                  <w:pPr>
                    <w:pStyle w:val="164"/>
                    <w:keepNext w:val="0"/>
                    <w:keepLines/>
                    <w:pageBreakBefore w:val="0"/>
                    <w:widowControl w:val="0"/>
                    <w:kinsoku/>
                    <w:overflowPunct/>
                    <w:topLinePunct w:val="0"/>
                    <w:bidi w:val="0"/>
                    <w:snapToGrid/>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sz w:val="21"/>
                      <w:szCs w:val="21"/>
                    </w:rPr>
                    <w:t>（1）项目督导具有本科或以上学历的，</w:t>
                  </w:r>
                  <w:r>
                    <w:rPr>
                      <w:rFonts w:hint="eastAsia" w:ascii="宋体" w:hAnsi="宋体" w:eastAsia="宋体" w:cs="宋体"/>
                      <w:color w:val="000000" w:themeColor="text1"/>
                      <w:sz w:val="21"/>
                      <w:szCs w:val="21"/>
                      <w14:textFill>
                        <w14:solidFill>
                          <w14:schemeClr w14:val="tx1"/>
                        </w14:solidFill>
                      </w14:textFill>
                    </w:rPr>
                    <w:t>得20分；</w:t>
                  </w:r>
                </w:p>
                <w:p w14:paraId="2F7BF625">
                  <w:pPr>
                    <w:pStyle w:val="164"/>
                    <w:keepNext w:val="0"/>
                    <w:keepLines/>
                    <w:pageBreakBefore w:val="0"/>
                    <w:widowControl w:val="0"/>
                    <w:kinsoku/>
                    <w:overflowPunct/>
                    <w:topLinePunct w:val="0"/>
                    <w:bidi w:val="0"/>
                    <w:snapToGrid/>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（2）项目</w:t>
                  </w:r>
                  <w:r>
                    <w:rPr>
                      <w:rFonts w:hint="eastAsia" w:ascii="宋体" w:hAnsi="宋体" w:eastAsia="宋体" w:cs="宋体"/>
                      <w:color w:val="000000" w:themeColor="text1"/>
                      <w:kern w:val="2"/>
                      <w:sz w:val="21"/>
                      <w:szCs w:val="21"/>
                      <w14:textFill>
                        <w14:solidFill>
                          <w14:schemeClr w14:val="tx1"/>
                        </w14:solidFill>
                      </w14:textFill>
                    </w:rPr>
                    <w:t>督导为机构自有员工且具有</w:t>
                  </w:r>
                  <w:r>
                    <w:rPr>
                      <w:rFonts w:hint="eastAsia" w:ascii="宋体" w:hAnsi="宋体" w:eastAsia="宋体" w:cs="宋体"/>
                      <w:color w:val="000000" w:themeColor="text1"/>
                      <w:kern w:val="2"/>
                      <w:sz w:val="21"/>
                      <w:szCs w:val="21"/>
                      <w:lang w:eastAsia="zh-CN"/>
                      <w14:textFill>
                        <w14:solidFill>
                          <w14:schemeClr w14:val="tx1"/>
                        </w14:solidFill>
                      </w14:textFill>
                    </w:rPr>
                    <w:t>社工</w:t>
                  </w:r>
                  <w:r>
                    <w:rPr>
                      <w:rFonts w:hint="eastAsia" w:ascii="宋体" w:hAnsi="宋体" w:eastAsia="宋体" w:cs="宋体"/>
                      <w:color w:val="000000" w:themeColor="text1"/>
                      <w:kern w:val="2"/>
                      <w:sz w:val="21"/>
                      <w:szCs w:val="21"/>
                      <w14:textFill>
                        <w14:solidFill>
                          <w14:schemeClr w14:val="tx1"/>
                        </w14:solidFill>
                      </w14:textFill>
                    </w:rPr>
                    <w:t>督导证的，得20分；</w:t>
                  </w:r>
                </w:p>
                <w:p w14:paraId="515F4982">
                  <w:pPr>
                    <w:pStyle w:val="164"/>
                    <w:keepNext w:val="0"/>
                    <w:keepLines/>
                    <w:pageBreakBefore w:val="0"/>
                    <w:widowControl w:val="0"/>
                    <w:kinsoku/>
                    <w:overflowPunct/>
                    <w:topLinePunct w:val="0"/>
                    <w:bidi w:val="0"/>
                    <w:snapToGrid/>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（3）项目督导具有助理社会工作师资格证书的，得10分；社会工作师（中级）资格证书的，得20分；具有高级社</w:t>
                  </w:r>
                  <w:r>
                    <w:rPr>
                      <w:rFonts w:hint="eastAsia" w:ascii="宋体" w:hAnsi="宋体" w:eastAsia="宋体" w:cs="宋体"/>
                      <w:color w:val="000000" w:themeColor="text1"/>
                      <w:sz w:val="21"/>
                      <w:szCs w:val="21"/>
                      <w:lang w:eastAsia="zh-CN"/>
                      <w14:textFill>
                        <w14:solidFill>
                          <w14:schemeClr w14:val="tx1"/>
                        </w14:solidFill>
                      </w14:textFill>
                    </w:rPr>
                    <w:t>会工作</w:t>
                  </w:r>
                  <w:r>
                    <w:rPr>
                      <w:rFonts w:hint="eastAsia" w:ascii="宋体" w:hAnsi="宋体" w:eastAsia="宋体" w:cs="宋体"/>
                      <w:color w:val="000000" w:themeColor="text1"/>
                      <w:sz w:val="21"/>
                      <w:szCs w:val="21"/>
                      <w14:textFill>
                        <w14:solidFill>
                          <w14:schemeClr w14:val="tx1"/>
                        </w14:solidFill>
                      </w14:textFill>
                    </w:rPr>
                    <w:t>师资格证书的，得30分；同时具备以上一种或多种证书的，按较高级计，仅计算一个证书</w:t>
                  </w:r>
                  <w:r>
                    <w:rPr>
                      <w:rFonts w:hint="eastAsia" w:ascii="宋体" w:hAnsi="宋体" w:eastAsia="宋体" w:cs="宋体"/>
                      <w:color w:val="000000" w:themeColor="text1"/>
                      <w:sz w:val="21"/>
                      <w:szCs w:val="21"/>
                      <w:lang w:eastAsia="zh-CN"/>
                      <w14:textFill>
                        <w14:solidFill>
                          <w14:schemeClr w14:val="tx1"/>
                        </w14:solidFill>
                      </w14:textFill>
                    </w:rPr>
                    <w:t>，</w:t>
                  </w:r>
                  <w:r>
                    <w:rPr>
                      <w:rFonts w:hint="eastAsia" w:ascii="宋体" w:hAnsi="宋体" w:eastAsia="宋体" w:cs="宋体"/>
                      <w:color w:val="000000" w:themeColor="text1"/>
                      <w:sz w:val="21"/>
                      <w:szCs w:val="21"/>
                      <w14:textFill>
                        <w14:solidFill>
                          <w14:schemeClr w14:val="tx1"/>
                        </w14:solidFill>
                      </w14:textFill>
                    </w:rPr>
                    <w:t>本项最高得30</w:t>
                  </w:r>
                  <w:r>
                    <w:rPr>
                      <w:rFonts w:hint="eastAsia" w:ascii="宋体" w:hAnsi="宋体" w:eastAsia="宋体" w:cs="宋体"/>
                      <w:color w:val="000000" w:themeColor="text1"/>
                      <w:sz w:val="21"/>
                      <w:szCs w:val="21"/>
                      <w:lang w:val="en-US" w:eastAsia="zh-CN"/>
                      <w14:textFill>
                        <w14:solidFill>
                          <w14:schemeClr w14:val="tx1"/>
                        </w14:solidFill>
                      </w14:textFill>
                    </w:rPr>
                    <w:t>分。</w:t>
                  </w:r>
                </w:p>
                <w:p w14:paraId="70E2AED8">
                  <w:pPr>
                    <w:pStyle w:val="164"/>
                    <w:keepNext w:val="0"/>
                    <w:keepLines/>
                    <w:pageBreakBefore w:val="0"/>
                    <w:widowControl w:val="0"/>
                    <w:kinsoku/>
                    <w:overflowPunct/>
                    <w:topLinePunct w:val="0"/>
                    <w:bidi w:val="0"/>
                    <w:snapToGrid/>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（4）</w:t>
                  </w:r>
                  <w:r>
                    <w:rPr>
                      <w:rFonts w:hint="eastAsia" w:ascii="宋体" w:hAnsi="宋体" w:eastAsia="宋体" w:cs="宋体"/>
                      <w:color w:val="auto"/>
                      <w:sz w:val="21"/>
                      <w:szCs w:val="21"/>
                    </w:rPr>
                    <w:t>具有3年≤社会工作督导工作经验年限＜6年，得10分；社会工作督导工作经验年限≥6年的，得30分；</w:t>
                  </w:r>
                  <w:r>
                    <w:rPr>
                      <w:rFonts w:hint="eastAsia" w:ascii="宋体" w:hAnsi="宋体" w:eastAsia="宋体" w:cs="宋体"/>
                      <w:sz w:val="21"/>
                      <w:szCs w:val="21"/>
                    </w:rPr>
                    <w:t>最高得30分</w:t>
                  </w:r>
                  <w:r>
                    <w:rPr>
                      <w:rFonts w:hint="eastAsia" w:ascii="宋体" w:hAnsi="宋体" w:eastAsia="宋体" w:cs="宋体"/>
                      <w:color w:val="000000" w:themeColor="text1"/>
                      <w:sz w:val="21"/>
                      <w:szCs w:val="21"/>
                      <w14:textFill>
                        <w14:solidFill>
                          <w14:schemeClr w14:val="tx1"/>
                        </w14:solidFill>
                      </w14:textFill>
                    </w:rPr>
                    <w:t>。</w:t>
                  </w:r>
                </w:p>
                <w:p w14:paraId="0E0F1F90">
                  <w:pPr>
                    <w:keepNext w:val="0"/>
                    <w:keepLines/>
                    <w:pageBreakBefore w:val="0"/>
                    <w:widowControl w:val="0"/>
                    <w:kinsoku/>
                    <w:overflowPunct/>
                    <w:topLinePunct w:val="0"/>
                    <w:bidi w:val="0"/>
                    <w:snapToGrid/>
                    <w:jc w:val="left"/>
                    <w:textAlignment w:val="auto"/>
                    <w:rPr>
                      <w:rFonts w:hint="eastAsia" w:ascii="宋体" w:hAnsi="宋体" w:eastAsia="宋体" w:cs="宋体"/>
                      <w:b/>
                      <w:bCs/>
                      <w:sz w:val="21"/>
                      <w:szCs w:val="21"/>
                    </w:rPr>
                  </w:pPr>
                  <w:r>
                    <w:rPr>
                      <w:rFonts w:hint="eastAsia" w:ascii="宋体" w:hAnsi="宋体" w:eastAsia="宋体" w:cs="宋体"/>
                      <w:b/>
                      <w:bCs/>
                      <w:sz w:val="21"/>
                      <w:szCs w:val="21"/>
                    </w:rPr>
                    <w:t>证明文件：</w:t>
                  </w:r>
                </w:p>
                <w:p w14:paraId="6F0FC905">
                  <w:pPr>
                    <w:keepNext w:val="0"/>
                    <w:keepLines/>
                    <w:pageBreakBefore w:val="0"/>
                    <w:widowControl w:val="0"/>
                    <w:kinsoku/>
                    <w:wordWrap w:val="0"/>
                    <w:overflowPunct/>
                    <w:topLinePunct w:val="0"/>
                    <w:autoSpaceDE/>
                    <w:autoSpaceDN/>
                    <w:bidi w:val="0"/>
                    <w:adjustRightInd/>
                    <w:snapToGrid/>
                    <w:jc w:val="left"/>
                    <w:textAlignment w:val="auto"/>
                    <w:rPr>
                      <w:rFonts w:hint="eastAsia" w:ascii="宋体" w:hAnsi="宋体" w:eastAsia="宋体" w:cs="宋体"/>
                      <w:sz w:val="21"/>
                      <w:szCs w:val="21"/>
                    </w:rPr>
                  </w:pPr>
                  <w:r>
                    <w:rPr>
                      <w:rFonts w:hint="eastAsia" w:ascii="宋体" w:hAnsi="宋体" w:eastAsia="宋体" w:cs="宋体"/>
                      <w:sz w:val="21"/>
                      <w:szCs w:val="21"/>
                    </w:rPr>
                    <w:t>1.提供上述相应的证书扫描件；若由行业协会颁发的，还需提供该协会在中国社会组织政务服务平台查询正常的截图（https://xxgs.chinanpo.mca.gov.cn/gsxt/newList）；学历证书还需提供学信网查询记录，对于较早颁发的学历证书，学信网无法查询的，提供其他佐证材料（如毕业院校、人社部门等颁发机构或监管机构等单位出具的证明）作为可以得分的依据；</w:t>
                  </w:r>
                </w:p>
                <w:p w14:paraId="76F5D620">
                  <w:pPr>
                    <w:pStyle w:val="10"/>
                    <w:keepNext w:val="0"/>
                    <w:keepLines/>
                    <w:pageBreakBefore w:val="0"/>
                    <w:widowControl w:val="0"/>
                    <w:kinsoku/>
                    <w:overflowPunct/>
                    <w:topLinePunct w:val="0"/>
                    <w:bidi w:val="0"/>
                    <w:snapToGrid/>
                    <w:ind w:firstLine="0"/>
                    <w:textAlignment w:val="auto"/>
                    <w:rPr>
                      <w:rFonts w:hint="eastAsia" w:ascii="宋体" w:hAnsi="宋体" w:eastAsia="宋体" w:cs="宋体"/>
                      <w:sz w:val="21"/>
                      <w:szCs w:val="21"/>
                    </w:rPr>
                  </w:pPr>
                  <w:r>
                    <w:rPr>
                      <w:rFonts w:hint="eastAsia" w:ascii="宋体" w:hAnsi="宋体" w:eastAsia="宋体" w:cs="宋体"/>
                      <w:sz w:val="21"/>
                      <w:szCs w:val="21"/>
                    </w:rPr>
                    <w:t>2.社会工作督导工作经验</w:t>
                  </w:r>
                  <w:r>
                    <w:rPr>
                      <w:rFonts w:hint="eastAsia" w:ascii="宋体" w:hAnsi="宋体" w:eastAsia="宋体" w:cs="宋体"/>
                      <w:sz w:val="21"/>
                      <w:szCs w:val="21"/>
                      <w:lang w:eastAsia="zh-CN"/>
                    </w:rPr>
                    <w:t>需</w:t>
                  </w:r>
                  <w:r>
                    <w:rPr>
                      <w:rFonts w:hint="eastAsia" w:ascii="宋体" w:hAnsi="宋体" w:eastAsia="宋体" w:cs="宋体"/>
                      <w:sz w:val="21"/>
                      <w:szCs w:val="21"/>
                    </w:rPr>
                    <w:t>提供被服务单位开具并加盖公章</w:t>
                  </w:r>
                  <w:r>
                    <w:rPr>
                      <w:rFonts w:hint="eastAsia" w:ascii="宋体" w:hAnsi="宋体" w:eastAsia="宋体" w:cs="宋体"/>
                      <w:sz w:val="21"/>
                      <w:szCs w:val="21"/>
                      <w:lang w:eastAsia="zh-CN"/>
                    </w:rPr>
                    <w:t>的</w:t>
                  </w:r>
                  <w:r>
                    <w:rPr>
                      <w:rFonts w:hint="eastAsia" w:ascii="宋体" w:hAnsi="宋体" w:eastAsia="宋体" w:cs="宋体"/>
                      <w:sz w:val="21"/>
                      <w:szCs w:val="21"/>
                    </w:rPr>
                    <w:t>证明文件扫描件。</w:t>
                  </w:r>
                </w:p>
                <w:p w14:paraId="62429EA1">
                  <w:pPr>
                    <w:keepNext w:val="0"/>
                    <w:keepLines/>
                    <w:pageBreakBefore w:val="0"/>
                    <w:widowControl w:val="0"/>
                    <w:kinsoku/>
                    <w:overflowPunct/>
                    <w:topLinePunct w:val="0"/>
                    <w:bidi w:val="0"/>
                    <w:snapToGrid/>
                    <w:jc w:val="left"/>
                    <w:textAlignment w:val="auto"/>
                    <w:rPr>
                      <w:rFonts w:hint="eastAsia" w:ascii="宋体" w:hAnsi="宋体" w:eastAsia="宋体" w:cs="宋体"/>
                      <w:sz w:val="21"/>
                      <w:szCs w:val="21"/>
                    </w:rPr>
                  </w:pPr>
                  <w:r>
                    <w:rPr>
                      <w:rFonts w:hint="eastAsia" w:ascii="宋体" w:hAnsi="宋体" w:eastAsia="宋体" w:cs="宋体"/>
                      <w:sz w:val="21"/>
                      <w:szCs w:val="21"/>
                    </w:rPr>
                    <w:t>3.提供投标人为其缴纳的近一个月社保证明扫描件</w:t>
                  </w:r>
                  <w:r>
                    <w:rPr>
                      <w:rFonts w:hint="eastAsia" w:ascii="宋体" w:hAnsi="宋体" w:eastAsia="宋体" w:cs="宋体"/>
                      <w:sz w:val="21"/>
                      <w:szCs w:val="21"/>
                      <w:lang w:eastAsia="zh-CN"/>
                    </w:rPr>
                    <w:t>，如投标人为新成立单位且成立时间不足一个月，可提供相关情况说明，亦视为满足</w:t>
                  </w:r>
                  <w:r>
                    <w:rPr>
                      <w:rFonts w:hint="eastAsia" w:ascii="宋体" w:hAnsi="宋体" w:eastAsia="宋体" w:cs="宋体"/>
                      <w:sz w:val="21"/>
                      <w:szCs w:val="21"/>
                    </w:rPr>
                    <w:t>；</w:t>
                  </w:r>
                </w:p>
                <w:p w14:paraId="0C8CD5E0">
                  <w:pPr>
                    <w:keepNext w:val="0"/>
                    <w:keepLines/>
                    <w:pageBreakBefore w:val="0"/>
                    <w:widowControl w:val="0"/>
                    <w:kinsoku/>
                    <w:overflowPunct/>
                    <w:topLinePunct w:val="0"/>
                    <w:bidi w:val="0"/>
                    <w:snapToGrid/>
                    <w:jc w:val="left"/>
                    <w:textAlignment w:val="auto"/>
                    <w:rPr>
                      <w:rFonts w:hint="eastAsia" w:ascii="宋体" w:hAnsi="宋体" w:eastAsia="宋体" w:cs="宋体"/>
                      <w:color w:val="000000"/>
                      <w:kern w:val="0"/>
                      <w:sz w:val="21"/>
                      <w:szCs w:val="21"/>
                      <w:lang w:bidi="ar"/>
                    </w:rPr>
                  </w:pPr>
                  <w:r>
                    <w:rPr>
                      <w:rFonts w:hint="eastAsia" w:ascii="宋体" w:hAnsi="宋体" w:eastAsia="宋体" w:cs="宋体"/>
                      <w:sz w:val="21"/>
                      <w:szCs w:val="21"/>
                      <w:lang w:val="en-US" w:eastAsia="zh-CN"/>
                    </w:rPr>
                    <w:t>原件备查，</w:t>
                  </w:r>
                  <w:r>
                    <w:rPr>
                      <w:rFonts w:hint="eastAsia" w:ascii="宋体" w:hAnsi="宋体" w:eastAsia="宋体" w:cs="宋体"/>
                      <w:sz w:val="21"/>
                      <w:szCs w:val="21"/>
                    </w:rPr>
                    <w:t>未按要求提供相关材料或扫描件不清晰导致无法识别的不计得分。</w:t>
                  </w:r>
                </w:p>
              </w:tc>
            </w:tr>
            <w:tr w14:paraId="3DD43E5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380" w:type="pct"/>
                  <w:vMerge w:val="continue"/>
                  <w:tcBorders>
                    <w:top w:val="single" w:color="000000" w:sz="8" w:space="0"/>
                    <w:left w:val="single" w:color="000000" w:sz="8" w:space="0"/>
                    <w:bottom w:val="single" w:color="000000" w:sz="8" w:space="0"/>
                    <w:right w:val="single" w:color="000000" w:sz="8" w:space="0"/>
                  </w:tcBorders>
                  <w:vAlign w:val="center"/>
                </w:tcPr>
                <w:p w14:paraId="0E9F3583">
                  <w:pPr>
                    <w:keepNext w:val="0"/>
                    <w:pageBreakBefore w:val="0"/>
                    <w:kinsoku/>
                    <w:overflowPunct/>
                    <w:topLinePunct w:val="0"/>
                    <w:bidi w:val="0"/>
                    <w:snapToGrid/>
                    <w:spacing w:line="240" w:lineRule="auto"/>
                    <w:rPr>
                      <w:rFonts w:hint="eastAsia" w:ascii="宋体" w:hAnsi="宋体" w:eastAsia="宋体" w:cs="宋体"/>
                      <w:b/>
                      <w:bCs/>
                      <w:color w:val="0000FF"/>
                      <w:sz w:val="21"/>
                      <w:szCs w:val="21"/>
                      <w:highlight w:val="none"/>
                    </w:rPr>
                  </w:pPr>
                </w:p>
              </w:tc>
              <w:tc>
                <w:tcPr>
                  <w:tcW w:w="725" w:type="dxa"/>
                  <w:tcBorders>
                    <w:top w:val="single" w:color="000000" w:sz="8" w:space="0"/>
                    <w:left w:val="single" w:color="000000" w:sz="8" w:space="0"/>
                    <w:bottom w:val="single" w:color="000000" w:sz="8" w:space="0"/>
                    <w:right w:val="single" w:color="000000" w:sz="8" w:space="0"/>
                  </w:tcBorders>
                  <w:vAlign w:val="center"/>
                </w:tcPr>
                <w:p w14:paraId="53A93EA9">
                  <w:pPr>
                    <w:keepNext w:val="0"/>
                    <w:keepLines/>
                    <w:pageBreakBefore w:val="0"/>
                    <w:widowControl w:val="0"/>
                    <w:kinsoku/>
                    <w:overflowPunct/>
                    <w:topLinePunct w:val="0"/>
                    <w:bidi w:val="0"/>
                    <w:snapToGrid/>
                    <w:jc w:val="center"/>
                    <w:textAlignment w:val="auto"/>
                    <w:rPr>
                      <w:rFonts w:hint="eastAsia" w:ascii="宋体" w:hAnsi="宋体" w:eastAsia="宋体" w:cs="宋体"/>
                      <w:color w:val="000000"/>
                      <w:kern w:val="0"/>
                      <w:sz w:val="21"/>
                      <w:szCs w:val="21"/>
                      <w:lang w:bidi="ar"/>
                    </w:rPr>
                  </w:pPr>
                  <w:r>
                    <w:rPr>
                      <w:rFonts w:hint="eastAsia" w:ascii="宋体" w:hAnsi="宋体" w:eastAsia="宋体" w:cs="宋体"/>
                      <w:sz w:val="21"/>
                      <w:szCs w:val="21"/>
                      <w:lang w:val="en-US" w:eastAsia="zh-CN"/>
                    </w:rPr>
                    <w:t>7</w:t>
                  </w:r>
                </w:p>
              </w:tc>
              <w:tc>
                <w:tcPr>
                  <w:tcW w:w="2427" w:type="dxa"/>
                  <w:tcBorders>
                    <w:top w:val="single" w:color="000000" w:sz="8" w:space="0"/>
                    <w:left w:val="single" w:color="000000" w:sz="8" w:space="0"/>
                    <w:bottom w:val="single" w:color="000000" w:sz="8" w:space="0"/>
                    <w:right w:val="single" w:color="000000" w:sz="8" w:space="0"/>
                  </w:tcBorders>
                  <w:vAlign w:val="center"/>
                </w:tcPr>
                <w:p w14:paraId="482EECE6">
                  <w:pPr>
                    <w:keepNext w:val="0"/>
                    <w:keepLines/>
                    <w:pageBreakBefore w:val="0"/>
                    <w:widowControl w:val="0"/>
                    <w:kinsoku/>
                    <w:wordWrap w:val="0"/>
                    <w:overflowPunct/>
                    <w:topLinePunct w:val="0"/>
                    <w:bidi w:val="0"/>
                    <w:snapToGrid/>
                    <w:jc w:val="center"/>
                    <w:textAlignment w:val="auto"/>
                    <w:rPr>
                      <w:rFonts w:hint="eastAsia" w:ascii="宋体" w:hAnsi="宋体" w:eastAsia="宋体" w:cs="宋体"/>
                      <w:sz w:val="21"/>
                      <w:szCs w:val="21"/>
                    </w:rPr>
                  </w:pPr>
                  <w:r>
                    <w:rPr>
                      <w:rFonts w:hint="eastAsia" w:ascii="宋体" w:hAnsi="宋体" w:eastAsia="宋体" w:cs="宋体"/>
                      <w:sz w:val="21"/>
                      <w:szCs w:val="21"/>
                    </w:rPr>
                    <w:t>拟安排的项目团队</w:t>
                  </w:r>
                </w:p>
                <w:p w14:paraId="23A8C064">
                  <w:pPr>
                    <w:keepNext w:val="0"/>
                    <w:keepLines/>
                    <w:pageBreakBefore w:val="0"/>
                    <w:widowControl w:val="0"/>
                    <w:kinsoku/>
                    <w:wordWrap w:val="0"/>
                    <w:overflowPunct/>
                    <w:topLinePunct w:val="0"/>
                    <w:bidi w:val="0"/>
                    <w:snapToGrid/>
                    <w:jc w:val="center"/>
                    <w:textAlignment w:val="auto"/>
                    <w:rPr>
                      <w:rFonts w:hint="eastAsia" w:ascii="宋体" w:hAnsi="宋体" w:eastAsia="宋体" w:cs="宋体"/>
                      <w:color w:val="000000"/>
                      <w:kern w:val="0"/>
                      <w:sz w:val="21"/>
                      <w:szCs w:val="21"/>
                      <w:lang w:bidi="ar"/>
                    </w:rPr>
                  </w:pPr>
                  <w:r>
                    <w:rPr>
                      <w:rFonts w:hint="eastAsia" w:ascii="宋体" w:hAnsi="宋体" w:eastAsia="宋体" w:cs="宋体"/>
                      <w:sz w:val="21"/>
                      <w:szCs w:val="21"/>
                    </w:rPr>
                    <w:t>负责人情况</w:t>
                  </w:r>
                </w:p>
              </w:tc>
              <w:tc>
                <w:tcPr>
                  <w:tcW w:w="641" w:type="dxa"/>
                  <w:tcBorders>
                    <w:top w:val="single" w:color="000000" w:sz="8" w:space="0"/>
                    <w:left w:val="single" w:color="000000" w:sz="8" w:space="0"/>
                    <w:bottom w:val="single" w:color="000000" w:sz="8" w:space="0"/>
                    <w:right w:val="single" w:color="000000" w:sz="8" w:space="0"/>
                  </w:tcBorders>
                  <w:vAlign w:val="center"/>
                </w:tcPr>
                <w:p w14:paraId="4E5DF49A">
                  <w:pPr>
                    <w:keepNext w:val="0"/>
                    <w:keepLines/>
                    <w:pageBreakBefore w:val="0"/>
                    <w:widowControl w:val="0"/>
                    <w:kinsoku/>
                    <w:wordWrap w:val="0"/>
                    <w:overflowPunct/>
                    <w:topLinePunct w:val="0"/>
                    <w:bidi w:val="0"/>
                    <w:snapToGrid/>
                    <w:jc w:val="center"/>
                    <w:textAlignment w:val="auto"/>
                    <w:rPr>
                      <w:rFonts w:hint="eastAsia" w:ascii="宋体" w:hAnsi="宋体" w:eastAsia="宋体" w:cs="宋体"/>
                      <w:color w:val="000000"/>
                      <w:kern w:val="0"/>
                      <w:sz w:val="21"/>
                      <w:szCs w:val="21"/>
                      <w:lang w:bidi="ar"/>
                    </w:rPr>
                  </w:pPr>
                  <w:r>
                    <w:rPr>
                      <w:rFonts w:hint="eastAsia" w:ascii="宋体" w:hAnsi="宋体" w:eastAsia="宋体" w:cs="宋体"/>
                      <w:sz w:val="21"/>
                      <w:szCs w:val="21"/>
                    </w:rPr>
                    <w:t>5</w:t>
                  </w:r>
                </w:p>
              </w:tc>
              <w:tc>
                <w:tcPr>
                  <w:tcW w:w="4482" w:type="dxa"/>
                  <w:tcBorders>
                    <w:top w:val="single" w:color="000000" w:sz="8" w:space="0"/>
                    <w:left w:val="single" w:color="000000" w:sz="8" w:space="0"/>
                    <w:bottom w:val="single" w:color="000000" w:sz="8" w:space="0"/>
                    <w:right w:val="single" w:color="000000" w:sz="8" w:space="0"/>
                  </w:tcBorders>
                  <w:vAlign w:val="center"/>
                </w:tcPr>
                <w:p w14:paraId="475569CC">
                  <w:pPr>
                    <w:keepNext w:val="0"/>
                    <w:keepLines/>
                    <w:pageBreakBefore w:val="0"/>
                    <w:widowControl w:val="0"/>
                    <w:kinsoku/>
                    <w:wordWrap w:val="0"/>
                    <w:overflowPunct/>
                    <w:topLinePunct w:val="0"/>
                    <w:bidi w:val="0"/>
                    <w:snapToGrid/>
                    <w:jc w:val="left"/>
                    <w:textAlignment w:val="auto"/>
                    <w:rPr>
                      <w:rFonts w:hint="eastAsia" w:ascii="宋体" w:hAnsi="宋体" w:eastAsia="宋体" w:cs="宋体"/>
                      <w:b/>
                      <w:bCs/>
                      <w:sz w:val="21"/>
                      <w:szCs w:val="21"/>
                    </w:rPr>
                  </w:pPr>
                  <w:r>
                    <w:rPr>
                      <w:rFonts w:hint="eastAsia" w:ascii="宋体" w:hAnsi="宋体" w:eastAsia="宋体" w:cs="宋体"/>
                      <w:b/>
                      <w:bCs/>
                      <w:sz w:val="21"/>
                      <w:szCs w:val="21"/>
                    </w:rPr>
                    <w:t>评审标准：</w:t>
                  </w:r>
                </w:p>
                <w:p w14:paraId="6F7B8AC4">
                  <w:pPr>
                    <w:keepNext w:val="0"/>
                    <w:keepLines/>
                    <w:pageBreakBefore w:val="0"/>
                    <w:widowControl w:val="0"/>
                    <w:kinsoku/>
                    <w:wordWrap w:val="0"/>
                    <w:overflowPunct/>
                    <w:topLinePunct w:val="0"/>
                    <w:bidi w:val="0"/>
                    <w:snapToGrid/>
                    <w:jc w:val="left"/>
                    <w:textAlignment w:val="auto"/>
                    <w:rPr>
                      <w:rFonts w:hint="eastAsia" w:ascii="宋体" w:hAnsi="宋体" w:eastAsia="宋体" w:cs="宋体"/>
                      <w:sz w:val="21"/>
                      <w:szCs w:val="21"/>
                      <w:lang w:eastAsia="zh-CN"/>
                    </w:rPr>
                  </w:pPr>
                  <w:r>
                    <w:rPr>
                      <w:rFonts w:hint="eastAsia" w:ascii="宋体" w:hAnsi="宋体" w:eastAsia="宋体" w:cs="宋体"/>
                      <w:sz w:val="21"/>
                      <w:szCs w:val="21"/>
                    </w:rPr>
                    <w:t>投标人拟</w:t>
                  </w:r>
                  <w:r>
                    <w:rPr>
                      <w:rFonts w:hint="eastAsia" w:ascii="宋体" w:hAnsi="宋体" w:eastAsia="宋体" w:cs="宋体"/>
                      <w:sz w:val="21"/>
                      <w:szCs w:val="21"/>
                      <w:lang w:val="en-US" w:eastAsia="zh-CN"/>
                    </w:rPr>
                    <w:t>为</w:t>
                  </w:r>
                  <w:r>
                    <w:rPr>
                      <w:rFonts w:hint="eastAsia" w:ascii="宋体" w:hAnsi="宋体" w:eastAsia="宋体" w:cs="宋体"/>
                      <w:sz w:val="21"/>
                      <w:szCs w:val="21"/>
                    </w:rPr>
                    <w:t>本项目三个社区党群服务中心配置服务团队负责人（督导人员除外）各1名（共3名）</w:t>
                  </w:r>
                  <w:r>
                    <w:rPr>
                      <w:rFonts w:hint="eastAsia" w:ascii="宋体" w:hAnsi="宋体" w:eastAsia="宋体" w:cs="宋体"/>
                      <w:sz w:val="21"/>
                      <w:szCs w:val="21"/>
                      <w:lang w:eastAsia="zh-CN"/>
                    </w:rPr>
                    <w:t>：</w:t>
                  </w:r>
                </w:p>
                <w:p w14:paraId="154EDB07">
                  <w:pPr>
                    <w:keepNext w:val="0"/>
                    <w:keepLines/>
                    <w:pageBreakBefore w:val="0"/>
                    <w:widowControl w:val="0"/>
                    <w:kinsoku/>
                    <w:wordWrap w:val="0"/>
                    <w:overflowPunct/>
                    <w:topLinePunct w:val="0"/>
                    <w:bidi w:val="0"/>
                    <w:snapToGrid/>
                    <w:jc w:val="left"/>
                    <w:textAlignment w:val="auto"/>
                    <w:rPr>
                      <w:rFonts w:hint="eastAsia" w:ascii="宋体" w:hAnsi="宋体" w:eastAsia="宋体" w:cs="宋体"/>
                      <w:sz w:val="21"/>
                      <w:szCs w:val="21"/>
                      <w:lang w:eastAsia="zh-CN"/>
                    </w:rPr>
                  </w:pPr>
                  <w:r>
                    <w:rPr>
                      <w:rFonts w:hint="eastAsia" w:ascii="宋体" w:hAnsi="宋体" w:eastAsia="宋体" w:cs="宋体"/>
                      <w:sz w:val="21"/>
                      <w:szCs w:val="21"/>
                    </w:rPr>
                    <w:t>（1）投标人提供的服务团队负责人具备社会工作师（中级）或以上级别资格证书</w:t>
                  </w:r>
                  <w:r>
                    <w:rPr>
                      <w:rFonts w:hint="eastAsia" w:ascii="宋体" w:hAnsi="宋体" w:eastAsia="宋体" w:cs="宋体"/>
                      <w:sz w:val="21"/>
                      <w:szCs w:val="21"/>
                      <w:lang w:eastAsia="zh-CN"/>
                    </w:rPr>
                    <w:t>：有</w:t>
                  </w:r>
                  <w:r>
                    <w:rPr>
                      <w:rFonts w:hint="eastAsia" w:ascii="宋体" w:hAnsi="宋体" w:eastAsia="宋体" w:cs="宋体"/>
                      <w:sz w:val="21"/>
                      <w:szCs w:val="21"/>
                      <w:lang w:val="en-US" w:eastAsia="zh-CN"/>
                    </w:rPr>
                    <w:t>1</w:t>
                  </w:r>
                  <w:r>
                    <w:rPr>
                      <w:rFonts w:hint="eastAsia" w:ascii="宋体" w:hAnsi="宋体" w:eastAsia="宋体" w:cs="宋体"/>
                      <w:sz w:val="21"/>
                      <w:szCs w:val="21"/>
                      <w:lang w:eastAsia="zh-CN"/>
                    </w:rPr>
                    <w:t>人满足条件的得</w:t>
                  </w:r>
                  <w:r>
                    <w:rPr>
                      <w:rFonts w:hint="eastAsia" w:ascii="宋体" w:hAnsi="宋体" w:eastAsia="宋体" w:cs="宋体"/>
                      <w:sz w:val="21"/>
                      <w:szCs w:val="21"/>
                      <w:lang w:val="en-US" w:eastAsia="zh-CN"/>
                    </w:rPr>
                    <w:t>17分；2人满足</w:t>
                  </w:r>
                  <w:r>
                    <w:rPr>
                      <w:rFonts w:hint="eastAsia" w:ascii="宋体" w:hAnsi="宋体" w:eastAsia="宋体" w:cs="宋体"/>
                      <w:sz w:val="21"/>
                      <w:szCs w:val="21"/>
                      <w:lang w:eastAsia="zh-CN"/>
                    </w:rPr>
                    <w:t>条件的得</w:t>
                  </w:r>
                  <w:r>
                    <w:rPr>
                      <w:rFonts w:hint="eastAsia" w:ascii="宋体" w:hAnsi="宋体" w:eastAsia="宋体" w:cs="宋体"/>
                      <w:sz w:val="21"/>
                      <w:szCs w:val="21"/>
                      <w:lang w:val="en-US" w:eastAsia="zh-CN"/>
                    </w:rPr>
                    <w:t>34分；3</w:t>
                  </w:r>
                  <w:r>
                    <w:rPr>
                      <w:rFonts w:hint="eastAsia" w:ascii="宋体" w:hAnsi="宋体" w:eastAsia="宋体" w:cs="宋体"/>
                      <w:sz w:val="21"/>
                      <w:szCs w:val="21"/>
                      <w:lang w:eastAsia="zh-CN"/>
                    </w:rPr>
                    <w:t>人满足条件的得</w:t>
                  </w:r>
                  <w:r>
                    <w:rPr>
                      <w:rFonts w:hint="eastAsia" w:ascii="宋体" w:hAnsi="宋体" w:eastAsia="宋体" w:cs="宋体"/>
                      <w:sz w:val="21"/>
                      <w:szCs w:val="21"/>
                    </w:rPr>
                    <w:t>50分</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最高50分</w:t>
                  </w:r>
                  <w:r>
                    <w:rPr>
                      <w:rFonts w:hint="eastAsia" w:ascii="宋体" w:hAnsi="宋体" w:eastAsia="宋体" w:cs="宋体"/>
                      <w:sz w:val="21"/>
                      <w:szCs w:val="21"/>
                      <w:lang w:eastAsia="zh-CN"/>
                    </w:rPr>
                    <w:t>。</w:t>
                  </w:r>
                </w:p>
                <w:p w14:paraId="6DD2C978">
                  <w:pPr>
                    <w:keepNext w:val="0"/>
                    <w:keepLines/>
                    <w:pageBreakBefore w:val="0"/>
                    <w:widowControl w:val="0"/>
                    <w:kinsoku/>
                    <w:wordWrap w:val="0"/>
                    <w:overflowPunct/>
                    <w:topLinePunct w:val="0"/>
                    <w:bidi w:val="0"/>
                    <w:snapToGrid/>
                    <w:jc w:val="left"/>
                    <w:textAlignment w:val="auto"/>
                    <w:rPr>
                      <w:rFonts w:hint="eastAsia" w:ascii="宋体" w:hAnsi="宋体" w:eastAsia="宋体" w:cs="宋体"/>
                      <w:sz w:val="21"/>
                      <w:szCs w:val="21"/>
                    </w:rPr>
                  </w:pPr>
                  <w:r>
                    <w:rPr>
                      <w:rFonts w:hint="eastAsia" w:ascii="宋体" w:hAnsi="宋体" w:eastAsia="宋体" w:cs="宋体"/>
                      <w:sz w:val="21"/>
                      <w:szCs w:val="21"/>
                    </w:rPr>
                    <w:t>（2）投标人提供的服务团队负责人为中共党员</w:t>
                  </w:r>
                  <w:r>
                    <w:rPr>
                      <w:rFonts w:hint="eastAsia" w:ascii="宋体" w:hAnsi="宋体" w:eastAsia="宋体" w:cs="宋体"/>
                      <w:sz w:val="21"/>
                      <w:szCs w:val="21"/>
                      <w:lang w:eastAsia="zh-CN"/>
                    </w:rPr>
                    <w:t>：有</w:t>
                  </w:r>
                  <w:r>
                    <w:rPr>
                      <w:rFonts w:hint="eastAsia" w:ascii="宋体" w:hAnsi="宋体" w:eastAsia="宋体" w:cs="宋体"/>
                      <w:sz w:val="21"/>
                      <w:szCs w:val="21"/>
                      <w:lang w:val="en-US" w:eastAsia="zh-CN"/>
                    </w:rPr>
                    <w:t>1</w:t>
                  </w:r>
                  <w:r>
                    <w:rPr>
                      <w:rFonts w:hint="eastAsia" w:ascii="宋体" w:hAnsi="宋体" w:eastAsia="宋体" w:cs="宋体"/>
                      <w:sz w:val="21"/>
                      <w:szCs w:val="21"/>
                      <w:lang w:eastAsia="zh-CN"/>
                    </w:rPr>
                    <w:t>人满足条件的得</w:t>
                  </w:r>
                  <w:r>
                    <w:rPr>
                      <w:rFonts w:hint="eastAsia" w:ascii="宋体" w:hAnsi="宋体" w:eastAsia="宋体" w:cs="宋体"/>
                      <w:sz w:val="21"/>
                      <w:szCs w:val="21"/>
                      <w:lang w:val="en-US" w:eastAsia="zh-CN"/>
                    </w:rPr>
                    <w:t>17分；2人满足</w:t>
                  </w:r>
                  <w:r>
                    <w:rPr>
                      <w:rFonts w:hint="eastAsia" w:ascii="宋体" w:hAnsi="宋体" w:eastAsia="宋体" w:cs="宋体"/>
                      <w:sz w:val="21"/>
                      <w:szCs w:val="21"/>
                      <w:lang w:eastAsia="zh-CN"/>
                    </w:rPr>
                    <w:t>条件的得</w:t>
                  </w:r>
                  <w:r>
                    <w:rPr>
                      <w:rFonts w:hint="eastAsia" w:ascii="宋体" w:hAnsi="宋体" w:eastAsia="宋体" w:cs="宋体"/>
                      <w:sz w:val="21"/>
                      <w:szCs w:val="21"/>
                      <w:lang w:val="en-US" w:eastAsia="zh-CN"/>
                    </w:rPr>
                    <w:t>34分；3</w:t>
                  </w:r>
                  <w:r>
                    <w:rPr>
                      <w:rFonts w:hint="eastAsia" w:ascii="宋体" w:hAnsi="宋体" w:eastAsia="宋体" w:cs="宋体"/>
                      <w:sz w:val="21"/>
                      <w:szCs w:val="21"/>
                      <w:lang w:eastAsia="zh-CN"/>
                    </w:rPr>
                    <w:t>人满足条件的得</w:t>
                  </w:r>
                  <w:r>
                    <w:rPr>
                      <w:rFonts w:hint="eastAsia" w:ascii="宋体" w:hAnsi="宋体" w:eastAsia="宋体" w:cs="宋体"/>
                      <w:sz w:val="21"/>
                      <w:szCs w:val="21"/>
                    </w:rPr>
                    <w:t>50分</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最高50分</w:t>
                  </w:r>
                  <w:r>
                    <w:rPr>
                      <w:rFonts w:hint="eastAsia" w:ascii="宋体" w:hAnsi="宋体" w:eastAsia="宋体" w:cs="宋体"/>
                      <w:sz w:val="21"/>
                      <w:szCs w:val="21"/>
                    </w:rPr>
                    <w:t>。</w:t>
                  </w:r>
                </w:p>
                <w:p w14:paraId="10D67682">
                  <w:pPr>
                    <w:keepNext w:val="0"/>
                    <w:keepLines/>
                    <w:pageBreakBefore w:val="0"/>
                    <w:widowControl w:val="0"/>
                    <w:kinsoku/>
                    <w:wordWrap w:val="0"/>
                    <w:overflowPunct/>
                    <w:topLinePunct w:val="0"/>
                    <w:bidi w:val="0"/>
                    <w:snapToGrid/>
                    <w:jc w:val="left"/>
                    <w:textAlignment w:val="auto"/>
                    <w:rPr>
                      <w:rFonts w:hint="eastAsia" w:ascii="宋体" w:hAnsi="宋体" w:eastAsia="宋体" w:cs="宋体"/>
                      <w:b/>
                      <w:bCs/>
                      <w:sz w:val="21"/>
                      <w:szCs w:val="21"/>
                    </w:rPr>
                  </w:pPr>
                  <w:r>
                    <w:rPr>
                      <w:rFonts w:hint="eastAsia" w:ascii="宋体" w:hAnsi="宋体" w:eastAsia="宋体" w:cs="宋体"/>
                      <w:b/>
                      <w:bCs/>
                      <w:sz w:val="21"/>
                      <w:szCs w:val="21"/>
                    </w:rPr>
                    <w:t>证明文件：</w:t>
                  </w:r>
                </w:p>
                <w:p w14:paraId="64BEACE5">
                  <w:pPr>
                    <w:keepNext w:val="0"/>
                    <w:keepLines/>
                    <w:pageBreakBefore w:val="0"/>
                    <w:widowControl w:val="0"/>
                    <w:kinsoku/>
                    <w:wordWrap w:val="0"/>
                    <w:overflowPunct/>
                    <w:topLinePunct w:val="0"/>
                    <w:bidi w:val="0"/>
                    <w:snapToGrid/>
                    <w:jc w:val="left"/>
                    <w:textAlignment w:val="auto"/>
                    <w:rPr>
                      <w:rFonts w:hint="eastAsia" w:ascii="宋体" w:hAnsi="宋体" w:eastAsia="宋体" w:cs="宋体"/>
                      <w:sz w:val="21"/>
                      <w:szCs w:val="21"/>
                    </w:rPr>
                  </w:pPr>
                  <w:r>
                    <w:rPr>
                      <w:rFonts w:hint="eastAsia" w:ascii="宋体" w:hAnsi="宋体" w:eastAsia="宋体" w:cs="宋体"/>
                      <w:sz w:val="21"/>
                      <w:szCs w:val="21"/>
                    </w:rPr>
                    <w:t>1.中共党员提供党支部盖章的党员证明材料扫描件；</w:t>
                  </w:r>
                </w:p>
                <w:p w14:paraId="05098281">
                  <w:pPr>
                    <w:keepNext w:val="0"/>
                    <w:keepLines/>
                    <w:pageBreakBefore w:val="0"/>
                    <w:widowControl w:val="0"/>
                    <w:kinsoku/>
                    <w:wordWrap w:val="0"/>
                    <w:overflowPunct/>
                    <w:topLinePunct w:val="0"/>
                    <w:bidi w:val="0"/>
                    <w:snapToGrid/>
                    <w:jc w:val="left"/>
                    <w:textAlignment w:val="auto"/>
                    <w:rPr>
                      <w:rFonts w:hint="eastAsia" w:ascii="宋体" w:hAnsi="宋体" w:eastAsia="宋体" w:cs="宋体"/>
                      <w:sz w:val="21"/>
                      <w:szCs w:val="21"/>
                    </w:rPr>
                  </w:pPr>
                  <w:r>
                    <w:rPr>
                      <w:rFonts w:hint="eastAsia" w:ascii="宋体" w:hAnsi="宋体" w:eastAsia="宋体" w:cs="宋体"/>
                      <w:sz w:val="21"/>
                      <w:szCs w:val="21"/>
                    </w:rPr>
                    <w:t>2.</w:t>
                  </w:r>
                  <w:r>
                    <w:rPr>
                      <w:rFonts w:hint="eastAsia" w:ascii="宋体" w:hAnsi="宋体" w:eastAsia="宋体" w:cs="宋体"/>
                      <w:sz w:val="21"/>
                      <w:szCs w:val="21"/>
                      <w:lang w:val="en-US" w:eastAsia="zh-CN"/>
                    </w:rPr>
                    <w:t>提供</w:t>
                  </w:r>
                  <w:r>
                    <w:rPr>
                      <w:rFonts w:hint="eastAsia" w:ascii="宋体" w:hAnsi="宋体" w:eastAsia="宋体" w:cs="宋体"/>
                      <w:sz w:val="21"/>
                      <w:szCs w:val="21"/>
                    </w:rPr>
                    <w:t>社会工作师（中级）或以上级别资格证书扫描件；</w:t>
                  </w:r>
                </w:p>
                <w:p w14:paraId="3A198B30">
                  <w:pPr>
                    <w:keepNext w:val="0"/>
                    <w:keepLines/>
                    <w:pageBreakBefore w:val="0"/>
                    <w:widowControl w:val="0"/>
                    <w:kinsoku/>
                    <w:wordWrap w:val="0"/>
                    <w:overflowPunct/>
                    <w:topLinePunct w:val="0"/>
                    <w:bidi w:val="0"/>
                    <w:snapToGrid/>
                    <w:jc w:val="left"/>
                    <w:textAlignment w:val="auto"/>
                    <w:rPr>
                      <w:rFonts w:hint="eastAsia" w:ascii="宋体" w:hAnsi="宋体" w:eastAsia="宋体" w:cs="宋体"/>
                      <w:sz w:val="21"/>
                      <w:szCs w:val="21"/>
                    </w:rPr>
                  </w:pPr>
                  <w:r>
                    <w:rPr>
                      <w:rFonts w:hint="eastAsia" w:ascii="宋体" w:hAnsi="宋体" w:eastAsia="宋体" w:cs="宋体"/>
                      <w:sz w:val="21"/>
                      <w:szCs w:val="21"/>
                    </w:rPr>
                    <w:t>3.提供投标人为服务团队负责人缴纳的近一个月社保证明扫描件</w:t>
                  </w:r>
                  <w:r>
                    <w:rPr>
                      <w:rFonts w:hint="eastAsia" w:ascii="宋体" w:hAnsi="宋体" w:eastAsia="宋体" w:cs="宋体"/>
                      <w:sz w:val="21"/>
                      <w:szCs w:val="21"/>
                      <w:lang w:eastAsia="zh-CN"/>
                    </w:rPr>
                    <w:t>，</w:t>
                  </w:r>
                  <w:r>
                    <w:rPr>
                      <w:rFonts w:hint="eastAsia" w:ascii="宋体" w:hAnsi="宋体" w:eastAsia="宋体" w:cs="宋体"/>
                      <w:sz w:val="21"/>
                      <w:szCs w:val="21"/>
                    </w:rPr>
                    <w:t>如投标人为新成立单位且成立时间不足一个月，可提供相关情况说明，亦视为满足。</w:t>
                  </w:r>
                </w:p>
                <w:p w14:paraId="6D5091C6">
                  <w:pPr>
                    <w:keepNext w:val="0"/>
                    <w:keepLines/>
                    <w:pageBreakBefore w:val="0"/>
                    <w:widowControl w:val="0"/>
                    <w:kinsoku/>
                    <w:wordWrap w:val="0"/>
                    <w:overflowPunct/>
                    <w:topLinePunct w:val="0"/>
                    <w:bidi w:val="0"/>
                    <w:snapToGrid/>
                    <w:jc w:val="left"/>
                    <w:textAlignment w:val="auto"/>
                    <w:rPr>
                      <w:rFonts w:hint="eastAsia" w:ascii="宋体" w:hAnsi="宋体" w:eastAsia="宋体" w:cs="宋体"/>
                      <w:color w:val="000000"/>
                      <w:kern w:val="0"/>
                      <w:sz w:val="21"/>
                      <w:szCs w:val="21"/>
                      <w:lang w:bidi="ar"/>
                    </w:rPr>
                  </w:pPr>
                  <w:r>
                    <w:rPr>
                      <w:rFonts w:hint="eastAsia" w:ascii="宋体" w:hAnsi="宋体" w:eastAsia="宋体" w:cs="宋体"/>
                      <w:sz w:val="21"/>
                      <w:szCs w:val="21"/>
                      <w:lang w:val="en-US" w:eastAsia="zh-CN"/>
                    </w:rPr>
                    <w:t>原件备查，</w:t>
                  </w:r>
                  <w:r>
                    <w:rPr>
                      <w:rFonts w:hint="eastAsia" w:ascii="宋体" w:hAnsi="宋体" w:eastAsia="宋体" w:cs="宋体"/>
                      <w:sz w:val="21"/>
                      <w:szCs w:val="21"/>
                    </w:rPr>
                    <w:t>未按要求提供相关材料或扫描件不清晰导致无法识别的不计得分。</w:t>
                  </w:r>
                </w:p>
              </w:tc>
            </w:tr>
            <w:tr w14:paraId="3782868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380" w:type="pct"/>
                  <w:vMerge w:val="continue"/>
                  <w:tcBorders>
                    <w:top w:val="single" w:color="000000" w:sz="8" w:space="0"/>
                    <w:left w:val="single" w:color="000000" w:sz="8" w:space="0"/>
                    <w:bottom w:val="single" w:color="000000" w:sz="8" w:space="0"/>
                    <w:right w:val="single" w:color="000000" w:sz="8" w:space="0"/>
                  </w:tcBorders>
                  <w:vAlign w:val="center"/>
                </w:tcPr>
                <w:p w14:paraId="3DB6D504">
                  <w:pPr>
                    <w:keepNext w:val="0"/>
                    <w:pageBreakBefore w:val="0"/>
                    <w:kinsoku/>
                    <w:overflowPunct/>
                    <w:topLinePunct w:val="0"/>
                    <w:bidi w:val="0"/>
                    <w:snapToGrid/>
                    <w:spacing w:line="240" w:lineRule="auto"/>
                    <w:rPr>
                      <w:rFonts w:hint="eastAsia" w:ascii="宋体" w:hAnsi="宋体" w:eastAsia="宋体" w:cs="宋体"/>
                      <w:b/>
                      <w:bCs/>
                      <w:color w:val="0000FF"/>
                      <w:sz w:val="21"/>
                      <w:szCs w:val="21"/>
                      <w:highlight w:val="none"/>
                    </w:rPr>
                  </w:pPr>
                </w:p>
              </w:tc>
              <w:tc>
                <w:tcPr>
                  <w:tcW w:w="725" w:type="dxa"/>
                  <w:tcBorders>
                    <w:top w:val="single" w:color="000000" w:sz="8" w:space="0"/>
                    <w:left w:val="single" w:color="000000" w:sz="8" w:space="0"/>
                    <w:bottom w:val="single" w:color="000000" w:sz="8" w:space="0"/>
                    <w:right w:val="single" w:color="000000" w:sz="8" w:space="0"/>
                  </w:tcBorders>
                  <w:vAlign w:val="center"/>
                </w:tcPr>
                <w:p w14:paraId="1B32B1AB">
                  <w:pPr>
                    <w:keepNext w:val="0"/>
                    <w:keepLines/>
                    <w:pageBreakBefore w:val="0"/>
                    <w:widowControl w:val="0"/>
                    <w:kinsoku/>
                    <w:overflowPunct/>
                    <w:topLinePunct w:val="0"/>
                    <w:bidi w:val="0"/>
                    <w:snapToGrid/>
                    <w:jc w:val="center"/>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sz w:val="21"/>
                      <w:szCs w:val="21"/>
                    </w:rPr>
                    <w:t>8</w:t>
                  </w:r>
                </w:p>
              </w:tc>
              <w:tc>
                <w:tcPr>
                  <w:tcW w:w="2427" w:type="dxa"/>
                  <w:tcBorders>
                    <w:top w:val="single" w:color="000000" w:sz="8" w:space="0"/>
                    <w:left w:val="single" w:color="000000" w:sz="8" w:space="0"/>
                    <w:bottom w:val="single" w:color="000000" w:sz="8" w:space="0"/>
                    <w:right w:val="single" w:color="000000" w:sz="8" w:space="0"/>
                  </w:tcBorders>
                  <w:vAlign w:val="center"/>
                </w:tcPr>
                <w:p w14:paraId="3B7424FC">
                  <w:pPr>
                    <w:keepNext w:val="0"/>
                    <w:keepLines/>
                    <w:pageBreakBefore w:val="0"/>
                    <w:widowControl w:val="0"/>
                    <w:kinsoku/>
                    <w:wordWrap w:val="0"/>
                    <w:overflowPunct/>
                    <w:topLinePunct w:val="0"/>
                    <w:bidi w:val="0"/>
                    <w:snapToGrid/>
                    <w:jc w:val="center"/>
                    <w:textAlignment w:val="auto"/>
                    <w:rPr>
                      <w:rFonts w:hint="eastAsia" w:ascii="宋体" w:hAnsi="宋体" w:eastAsia="宋体" w:cs="宋体"/>
                      <w:sz w:val="21"/>
                      <w:szCs w:val="21"/>
                    </w:rPr>
                  </w:pPr>
                  <w:r>
                    <w:rPr>
                      <w:rFonts w:hint="eastAsia" w:ascii="宋体" w:hAnsi="宋体" w:eastAsia="宋体" w:cs="宋体"/>
                      <w:sz w:val="21"/>
                      <w:szCs w:val="21"/>
                    </w:rPr>
                    <w:t>拟安排的项目团队</w:t>
                  </w:r>
                </w:p>
                <w:p w14:paraId="53EC3EDF">
                  <w:pPr>
                    <w:keepNext w:val="0"/>
                    <w:keepLines/>
                    <w:pageBreakBefore w:val="0"/>
                    <w:widowControl w:val="0"/>
                    <w:kinsoku/>
                    <w:wordWrap w:val="0"/>
                    <w:overflowPunct/>
                    <w:topLinePunct w:val="0"/>
                    <w:bidi w:val="0"/>
                    <w:snapToGrid/>
                    <w:jc w:val="center"/>
                    <w:textAlignment w:val="auto"/>
                    <w:rPr>
                      <w:rFonts w:hint="eastAsia" w:ascii="宋体" w:hAnsi="宋体" w:eastAsia="宋体" w:cs="宋体"/>
                      <w:color w:val="auto"/>
                      <w:sz w:val="21"/>
                      <w:szCs w:val="21"/>
                      <w:highlight w:val="none"/>
                      <w:lang w:eastAsia="zh-CN"/>
                    </w:rPr>
                  </w:pPr>
                  <w:r>
                    <w:rPr>
                      <w:rFonts w:hint="eastAsia" w:ascii="宋体" w:hAnsi="宋体" w:eastAsia="宋体" w:cs="宋体"/>
                      <w:sz w:val="21"/>
                      <w:szCs w:val="21"/>
                    </w:rPr>
                    <w:t>成员情况</w:t>
                  </w:r>
                </w:p>
              </w:tc>
              <w:tc>
                <w:tcPr>
                  <w:tcW w:w="641" w:type="dxa"/>
                  <w:tcBorders>
                    <w:top w:val="single" w:color="000000" w:sz="8" w:space="0"/>
                    <w:left w:val="single" w:color="000000" w:sz="8" w:space="0"/>
                    <w:bottom w:val="single" w:color="000000" w:sz="8" w:space="0"/>
                    <w:right w:val="single" w:color="000000" w:sz="8" w:space="0"/>
                  </w:tcBorders>
                  <w:vAlign w:val="center"/>
                </w:tcPr>
                <w:p w14:paraId="7C770EF2">
                  <w:pPr>
                    <w:keepNext w:val="0"/>
                    <w:keepLines/>
                    <w:pageBreakBefore w:val="0"/>
                    <w:widowControl w:val="0"/>
                    <w:kinsoku/>
                    <w:wordWrap w:val="0"/>
                    <w:overflowPunct/>
                    <w:topLinePunct w:val="0"/>
                    <w:bidi w:val="0"/>
                    <w:snapToGrid/>
                    <w:jc w:val="center"/>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sz w:val="21"/>
                      <w:szCs w:val="21"/>
                    </w:rPr>
                    <w:t>10</w:t>
                  </w:r>
                </w:p>
              </w:tc>
              <w:tc>
                <w:tcPr>
                  <w:tcW w:w="4482" w:type="dxa"/>
                  <w:tcBorders>
                    <w:top w:val="single" w:color="000000" w:sz="8" w:space="0"/>
                    <w:left w:val="single" w:color="000000" w:sz="8" w:space="0"/>
                    <w:bottom w:val="single" w:color="000000" w:sz="8" w:space="0"/>
                    <w:right w:val="single" w:color="000000" w:sz="8" w:space="0"/>
                  </w:tcBorders>
                  <w:vAlign w:val="center"/>
                </w:tcPr>
                <w:p w14:paraId="334595BB">
                  <w:pPr>
                    <w:keepNext w:val="0"/>
                    <w:keepLines/>
                    <w:pageBreakBefore w:val="0"/>
                    <w:widowControl w:val="0"/>
                    <w:kinsoku/>
                    <w:wordWrap w:val="0"/>
                    <w:overflowPunct/>
                    <w:topLinePunct w:val="0"/>
                    <w:autoSpaceDE/>
                    <w:autoSpaceDN/>
                    <w:bidi w:val="0"/>
                    <w:adjustRightInd/>
                    <w:snapToGrid/>
                    <w:jc w:val="left"/>
                    <w:textAlignment w:val="auto"/>
                    <w:rPr>
                      <w:rFonts w:hint="eastAsia" w:ascii="宋体" w:hAnsi="宋体" w:eastAsia="宋体" w:cs="宋体"/>
                      <w:b/>
                      <w:bCs/>
                      <w:sz w:val="21"/>
                      <w:szCs w:val="21"/>
                    </w:rPr>
                  </w:pPr>
                  <w:r>
                    <w:rPr>
                      <w:rFonts w:hint="eastAsia" w:ascii="宋体" w:hAnsi="宋体" w:eastAsia="宋体" w:cs="宋体"/>
                      <w:b/>
                      <w:bCs/>
                      <w:sz w:val="21"/>
                      <w:szCs w:val="21"/>
                    </w:rPr>
                    <w:t>评审标准：</w:t>
                  </w:r>
                </w:p>
                <w:p w14:paraId="387132B3">
                  <w:pPr>
                    <w:keepNext w:val="0"/>
                    <w:keepLines/>
                    <w:pageBreakBefore w:val="0"/>
                    <w:widowControl w:val="0"/>
                    <w:kinsoku/>
                    <w:wordWrap w:val="0"/>
                    <w:overflowPunct/>
                    <w:topLinePunct w:val="0"/>
                    <w:autoSpaceDE/>
                    <w:autoSpaceDN/>
                    <w:bidi w:val="0"/>
                    <w:adjustRightInd/>
                    <w:snapToGrid/>
                    <w:jc w:val="left"/>
                    <w:textAlignment w:val="auto"/>
                    <w:rPr>
                      <w:rFonts w:hint="eastAsia" w:ascii="宋体" w:hAnsi="宋体" w:eastAsia="宋体" w:cs="宋体"/>
                      <w:sz w:val="21"/>
                      <w:szCs w:val="21"/>
                      <w:lang w:eastAsia="zh-CN"/>
                    </w:rPr>
                  </w:pPr>
                  <w:r>
                    <w:rPr>
                      <w:rFonts w:hint="eastAsia" w:ascii="宋体" w:hAnsi="宋体" w:eastAsia="宋体" w:cs="宋体"/>
                      <w:sz w:val="21"/>
                      <w:szCs w:val="21"/>
                    </w:rPr>
                    <w:t>投标</w:t>
                  </w:r>
                  <w:r>
                    <w:rPr>
                      <w:rFonts w:hint="eastAsia" w:ascii="宋体" w:hAnsi="宋体" w:eastAsia="宋体" w:cs="宋体"/>
                      <w:sz w:val="21"/>
                      <w:szCs w:val="21"/>
                      <w:lang w:val="en-US" w:eastAsia="zh-CN"/>
                    </w:rPr>
                    <w:t>人</w:t>
                  </w:r>
                  <w:r>
                    <w:rPr>
                      <w:rFonts w:hint="eastAsia" w:ascii="宋体" w:hAnsi="宋体" w:eastAsia="宋体" w:cs="宋体"/>
                      <w:sz w:val="21"/>
                      <w:szCs w:val="21"/>
                    </w:rPr>
                    <w:t>拟为本项目三个社区党群服务中心配备</w:t>
                  </w:r>
                  <w:r>
                    <w:rPr>
                      <w:rFonts w:hint="eastAsia" w:ascii="宋体" w:hAnsi="宋体" w:eastAsia="宋体" w:cs="宋体"/>
                      <w:sz w:val="21"/>
                      <w:szCs w:val="21"/>
                      <w:lang w:val="en-US" w:eastAsia="zh-CN"/>
                    </w:rPr>
                    <w:t>12名（每个社区4名）</w:t>
                  </w:r>
                  <w:r>
                    <w:rPr>
                      <w:rFonts w:hint="eastAsia" w:ascii="宋体" w:hAnsi="宋体" w:eastAsia="宋体" w:cs="宋体"/>
                      <w:sz w:val="21"/>
                      <w:szCs w:val="21"/>
                    </w:rPr>
                    <w:t>全职工作人员</w:t>
                  </w:r>
                  <w:r>
                    <w:rPr>
                      <w:rFonts w:hint="eastAsia" w:ascii="宋体" w:hAnsi="宋体" w:eastAsia="宋体" w:cs="宋体"/>
                      <w:sz w:val="21"/>
                      <w:szCs w:val="21"/>
                      <w:highlight w:val="none"/>
                    </w:rPr>
                    <w:t>（</w:t>
                  </w:r>
                  <w:r>
                    <w:rPr>
                      <w:rFonts w:hint="eastAsia" w:ascii="宋体" w:hAnsi="宋体" w:eastAsia="宋体" w:cs="宋体"/>
                      <w:sz w:val="21"/>
                      <w:szCs w:val="21"/>
                      <w:highlight w:val="none"/>
                      <w:lang w:eastAsia="zh-CN"/>
                    </w:rPr>
                    <w:t>即</w:t>
                  </w:r>
                  <w:r>
                    <w:rPr>
                      <w:rFonts w:hint="eastAsia" w:ascii="宋体" w:hAnsi="宋体" w:eastAsia="宋体" w:cs="宋体"/>
                      <w:sz w:val="21"/>
                      <w:szCs w:val="21"/>
                      <w:highlight w:val="none"/>
                    </w:rPr>
                    <w:t>项目团队负责人、督导人员除外</w:t>
                  </w:r>
                  <w:commentRangeStart w:id="0"/>
                  <w:r>
                    <w:rPr>
                      <w:rFonts w:hint="eastAsia" w:ascii="宋体" w:hAnsi="宋体" w:eastAsia="宋体" w:cs="宋体"/>
                      <w:sz w:val="21"/>
                      <w:szCs w:val="21"/>
                      <w:highlight w:val="none"/>
                    </w:rPr>
                    <w:t>）</w:t>
                  </w:r>
                  <w:commentRangeEnd w:id="0"/>
                  <w:r>
                    <w:rPr>
                      <w:woUserID w:val="2"/>
                    </w:rPr>
                    <w:commentReference w:id="0"/>
                  </w:r>
                  <w:r>
                    <w:rPr>
                      <w:rFonts w:hint="eastAsia" w:ascii="宋体" w:hAnsi="宋体" w:eastAsia="宋体" w:cs="宋体"/>
                      <w:sz w:val="21"/>
                      <w:szCs w:val="21"/>
                      <w:lang w:eastAsia="zh-CN"/>
                    </w:rPr>
                    <w:t>：</w:t>
                  </w:r>
                </w:p>
                <w:p w14:paraId="1F0375CA">
                  <w:pPr>
                    <w:keepNext w:val="0"/>
                    <w:keepLines/>
                    <w:pageBreakBefore w:val="0"/>
                    <w:widowControl w:val="0"/>
                    <w:kinsoku/>
                    <w:wordWrap w:val="0"/>
                    <w:overflowPunct/>
                    <w:topLinePunct w:val="0"/>
                    <w:autoSpaceDE/>
                    <w:autoSpaceDN/>
                    <w:bidi w:val="0"/>
                    <w:adjustRightInd/>
                    <w:snapToGrid/>
                    <w:jc w:val="left"/>
                    <w:textAlignment w:val="auto"/>
                    <w:rPr>
                      <w:rFonts w:hint="eastAsia" w:ascii="宋体" w:hAnsi="宋体" w:eastAsia="宋体" w:cs="宋体"/>
                      <w:sz w:val="21"/>
                      <w:szCs w:val="21"/>
                    </w:rPr>
                  </w:pPr>
                  <w:r>
                    <w:rPr>
                      <w:rFonts w:hint="eastAsia" w:ascii="宋体" w:hAnsi="宋体" w:eastAsia="宋体" w:cs="宋体"/>
                      <w:sz w:val="21"/>
                      <w:szCs w:val="21"/>
                    </w:rPr>
                    <w:t>（1）</w:t>
                  </w:r>
                  <w:r>
                    <w:rPr>
                      <w:rFonts w:hint="eastAsia" w:ascii="宋体" w:hAnsi="宋体" w:eastAsia="宋体" w:cs="宋体"/>
                      <w:b w:val="0"/>
                      <w:bCs w:val="0"/>
                      <w:sz w:val="21"/>
                      <w:szCs w:val="21"/>
                      <w:highlight w:val="none"/>
                    </w:rPr>
                    <w:t>投标人提供</w:t>
                  </w:r>
                  <w:r>
                    <w:rPr>
                      <w:rFonts w:hint="eastAsia" w:ascii="宋体" w:hAnsi="宋体" w:eastAsia="宋体" w:cs="宋体"/>
                      <w:b w:val="0"/>
                      <w:bCs w:val="0"/>
                      <w:sz w:val="21"/>
                      <w:szCs w:val="21"/>
                      <w:highlight w:val="none"/>
                      <w:lang w:eastAsia="zh-CN"/>
                    </w:rPr>
                    <w:t>的</w:t>
                  </w:r>
                  <w:r>
                    <w:rPr>
                      <w:rFonts w:hint="eastAsia" w:ascii="宋体" w:hAnsi="宋体" w:eastAsia="宋体" w:cs="宋体"/>
                      <w:b w:val="0"/>
                      <w:bCs w:val="0"/>
                      <w:sz w:val="21"/>
                      <w:szCs w:val="21"/>
                      <w:highlight w:val="none"/>
                      <w:lang w:val="en-US" w:eastAsia="zh-CN"/>
                    </w:rPr>
                    <w:t>12名全职工作人员，</w:t>
                  </w:r>
                  <w:r>
                    <w:rPr>
                      <w:rFonts w:hint="eastAsia" w:ascii="宋体" w:hAnsi="宋体" w:eastAsia="宋体" w:cs="宋体"/>
                      <w:sz w:val="21"/>
                      <w:szCs w:val="21"/>
                      <w:lang w:eastAsia="zh-CN"/>
                    </w:rPr>
                    <w:t>全员</w:t>
                  </w:r>
                  <w:r>
                    <w:rPr>
                      <w:rFonts w:hint="eastAsia" w:ascii="宋体" w:hAnsi="宋体" w:eastAsia="宋体" w:cs="宋体"/>
                      <w:b w:val="0"/>
                      <w:bCs w:val="0"/>
                      <w:sz w:val="21"/>
                      <w:szCs w:val="21"/>
                      <w:highlight w:val="none"/>
                      <w:lang w:val="en-US" w:eastAsia="zh-CN"/>
                    </w:rPr>
                    <w:t>具备中华人民共和国社会工作者职业水平证</w:t>
                  </w:r>
                  <w:r>
                    <w:rPr>
                      <w:rFonts w:hint="eastAsia" w:ascii="宋体" w:hAnsi="宋体" w:eastAsia="宋体" w:cs="宋体"/>
                      <w:sz w:val="21"/>
                      <w:szCs w:val="21"/>
                      <w:highlight w:val="none"/>
                      <w:lang w:val="en-US" w:eastAsia="zh-CN"/>
                    </w:rPr>
                    <w:t>书</w:t>
                  </w:r>
                  <w:r>
                    <w:rPr>
                      <w:rFonts w:hint="eastAsia" w:ascii="宋体" w:hAnsi="宋体" w:eastAsia="宋体" w:cs="宋体"/>
                      <w:b w:val="0"/>
                      <w:bCs w:val="0"/>
                      <w:sz w:val="21"/>
                      <w:szCs w:val="21"/>
                      <w:highlight w:val="none"/>
                      <w:lang w:val="en-US" w:eastAsia="zh-CN"/>
                    </w:rPr>
                    <w:t>的得60分，不满足不得分。</w:t>
                  </w:r>
                </w:p>
                <w:p w14:paraId="7A2E6D6A">
                  <w:pPr>
                    <w:keepNext w:val="0"/>
                    <w:keepLines/>
                    <w:pageBreakBefore w:val="0"/>
                    <w:widowControl w:val="0"/>
                    <w:kinsoku/>
                    <w:wordWrap w:val="0"/>
                    <w:overflowPunct/>
                    <w:topLinePunct w:val="0"/>
                    <w:autoSpaceDE/>
                    <w:autoSpaceDN/>
                    <w:bidi w:val="0"/>
                    <w:adjustRightInd/>
                    <w:snapToGrid/>
                    <w:jc w:val="left"/>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（2）</w:t>
                  </w:r>
                  <w:r>
                    <w:rPr>
                      <w:rFonts w:hint="eastAsia" w:ascii="宋体" w:hAnsi="宋体" w:eastAsia="宋体" w:cs="宋体"/>
                      <w:color w:val="auto"/>
                      <w:sz w:val="21"/>
                      <w:szCs w:val="21"/>
                      <w:lang w:val="en-US" w:eastAsia="zh-CN"/>
                    </w:rPr>
                    <w:t>服务</w:t>
                  </w:r>
                  <w:r>
                    <w:rPr>
                      <w:rFonts w:hint="eastAsia" w:ascii="宋体" w:hAnsi="宋体" w:eastAsia="宋体" w:cs="宋体"/>
                      <w:color w:val="auto"/>
                      <w:sz w:val="21"/>
                      <w:szCs w:val="21"/>
                    </w:rPr>
                    <w:t>团队成员每</w:t>
                  </w:r>
                  <w:r>
                    <w:rPr>
                      <w:rFonts w:hint="eastAsia" w:ascii="宋体" w:hAnsi="宋体" w:eastAsia="宋体" w:cs="宋体"/>
                      <w:color w:val="auto"/>
                      <w:sz w:val="21"/>
                      <w:szCs w:val="21"/>
                      <w:lang w:val="en-US" w:eastAsia="zh-CN"/>
                    </w:rPr>
                    <w:t>多</w:t>
                  </w:r>
                  <w:r>
                    <w:rPr>
                      <w:rFonts w:hint="eastAsia" w:ascii="宋体" w:hAnsi="宋体" w:eastAsia="宋体" w:cs="宋体"/>
                      <w:color w:val="auto"/>
                      <w:sz w:val="21"/>
                      <w:szCs w:val="21"/>
                    </w:rPr>
                    <w:t>配备1名中共党员或持有社会工作师（中级）及以上级别</w:t>
                  </w:r>
                  <w:r>
                    <w:rPr>
                      <w:rFonts w:hint="eastAsia" w:ascii="宋体" w:hAnsi="宋体" w:eastAsia="宋体" w:cs="宋体"/>
                      <w:sz w:val="21"/>
                      <w:szCs w:val="21"/>
                    </w:rPr>
                    <w:t>资格证书</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每符合一个条件加20分，最高的40分</w:t>
                  </w:r>
                  <w:r>
                    <w:rPr>
                      <w:rFonts w:hint="eastAsia" w:ascii="宋体" w:hAnsi="宋体" w:eastAsia="宋体" w:cs="宋体"/>
                      <w:color w:val="auto"/>
                      <w:sz w:val="21"/>
                      <w:szCs w:val="21"/>
                    </w:rPr>
                    <w:t>（同一人最高加20分）。</w:t>
                  </w:r>
                </w:p>
                <w:p w14:paraId="66227D6D">
                  <w:pPr>
                    <w:keepNext w:val="0"/>
                    <w:keepLines/>
                    <w:pageBreakBefore w:val="0"/>
                    <w:widowControl w:val="0"/>
                    <w:kinsoku/>
                    <w:wordWrap w:val="0"/>
                    <w:overflowPunct/>
                    <w:topLinePunct w:val="0"/>
                    <w:autoSpaceDE/>
                    <w:autoSpaceDN/>
                    <w:bidi w:val="0"/>
                    <w:adjustRightInd/>
                    <w:snapToGrid/>
                    <w:jc w:val="left"/>
                    <w:textAlignment w:val="auto"/>
                    <w:rPr>
                      <w:rFonts w:hint="eastAsia" w:ascii="宋体" w:hAnsi="宋体" w:eastAsia="宋体" w:cs="宋体"/>
                      <w:b/>
                      <w:bCs/>
                      <w:sz w:val="21"/>
                      <w:szCs w:val="21"/>
                    </w:rPr>
                  </w:pPr>
                  <w:r>
                    <w:rPr>
                      <w:rFonts w:hint="eastAsia" w:ascii="宋体" w:hAnsi="宋体" w:eastAsia="宋体" w:cs="宋体"/>
                      <w:b/>
                      <w:bCs/>
                      <w:sz w:val="21"/>
                      <w:szCs w:val="21"/>
                    </w:rPr>
                    <w:t>证明文件：</w:t>
                  </w:r>
                </w:p>
                <w:p w14:paraId="0BE10BA9">
                  <w:pPr>
                    <w:keepNext w:val="0"/>
                    <w:keepLines/>
                    <w:pageBreakBefore w:val="0"/>
                    <w:widowControl w:val="0"/>
                    <w:kinsoku/>
                    <w:wordWrap w:val="0"/>
                    <w:overflowPunct/>
                    <w:topLinePunct w:val="0"/>
                    <w:autoSpaceDE/>
                    <w:autoSpaceDN/>
                    <w:bidi w:val="0"/>
                    <w:adjustRightInd/>
                    <w:snapToGrid/>
                    <w:jc w:val="left"/>
                    <w:textAlignment w:val="auto"/>
                    <w:rPr>
                      <w:rFonts w:hint="eastAsia" w:ascii="宋体" w:hAnsi="宋体" w:eastAsia="宋体" w:cs="宋体"/>
                      <w:sz w:val="21"/>
                      <w:szCs w:val="21"/>
                    </w:rPr>
                  </w:pPr>
                  <w:r>
                    <w:rPr>
                      <w:rFonts w:hint="eastAsia" w:ascii="宋体" w:hAnsi="宋体" w:eastAsia="宋体" w:cs="宋体"/>
                      <w:sz w:val="21"/>
                      <w:szCs w:val="21"/>
                    </w:rPr>
                    <w:t>1.中共党员提供党支部盖章的党员证明材料扫描件；</w:t>
                  </w:r>
                </w:p>
                <w:p w14:paraId="30D8F31F">
                  <w:pPr>
                    <w:keepNext w:val="0"/>
                    <w:keepLines/>
                    <w:pageBreakBefore w:val="0"/>
                    <w:widowControl w:val="0"/>
                    <w:kinsoku/>
                    <w:wordWrap w:val="0"/>
                    <w:overflowPunct/>
                    <w:topLinePunct w:val="0"/>
                    <w:autoSpaceDE/>
                    <w:autoSpaceDN/>
                    <w:bidi w:val="0"/>
                    <w:adjustRightInd/>
                    <w:snapToGrid/>
                    <w:jc w:val="left"/>
                    <w:textAlignment w:val="auto"/>
                    <w:rPr>
                      <w:rFonts w:hint="eastAsia" w:ascii="宋体" w:hAnsi="宋体" w:eastAsia="宋体" w:cs="宋体"/>
                      <w:sz w:val="21"/>
                      <w:szCs w:val="21"/>
                    </w:rPr>
                  </w:pPr>
                  <w:r>
                    <w:rPr>
                      <w:rFonts w:hint="eastAsia" w:ascii="宋体" w:hAnsi="宋体" w:eastAsia="宋体" w:cs="宋体"/>
                      <w:sz w:val="21"/>
                      <w:szCs w:val="21"/>
                    </w:rPr>
                    <w:t>2.提供助理社会工作师(或以上）资格证书扫描件；</w:t>
                  </w:r>
                </w:p>
                <w:p w14:paraId="1BD0ABDE">
                  <w:pPr>
                    <w:keepNext w:val="0"/>
                    <w:keepLines/>
                    <w:pageBreakBefore w:val="0"/>
                    <w:widowControl w:val="0"/>
                    <w:kinsoku/>
                    <w:wordWrap w:val="0"/>
                    <w:overflowPunct/>
                    <w:topLinePunct w:val="0"/>
                    <w:autoSpaceDE/>
                    <w:autoSpaceDN/>
                    <w:bidi w:val="0"/>
                    <w:adjustRightInd/>
                    <w:snapToGrid/>
                    <w:jc w:val="left"/>
                    <w:textAlignment w:val="auto"/>
                    <w:rPr>
                      <w:rFonts w:hint="eastAsia" w:ascii="宋体" w:hAnsi="宋体" w:eastAsia="宋体" w:cs="宋体"/>
                      <w:sz w:val="21"/>
                      <w:szCs w:val="21"/>
                    </w:rPr>
                  </w:pPr>
                  <w:r>
                    <w:rPr>
                      <w:rFonts w:hint="eastAsia" w:ascii="宋体" w:hAnsi="宋体" w:eastAsia="宋体" w:cs="宋体"/>
                      <w:sz w:val="21"/>
                      <w:szCs w:val="21"/>
                    </w:rPr>
                    <w:t>3.提供投标人为</w:t>
                  </w:r>
                  <w:r>
                    <w:rPr>
                      <w:rFonts w:hint="eastAsia" w:ascii="宋体" w:hAnsi="宋体" w:eastAsia="宋体" w:cs="宋体"/>
                      <w:sz w:val="21"/>
                      <w:szCs w:val="21"/>
                      <w:lang w:val="en-US" w:eastAsia="zh-CN"/>
                    </w:rPr>
                    <w:t>团队成员</w:t>
                  </w:r>
                  <w:r>
                    <w:rPr>
                      <w:rFonts w:hint="eastAsia" w:ascii="宋体" w:hAnsi="宋体" w:eastAsia="宋体" w:cs="宋体"/>
                      <w:sz w:val="21"/>
                      <w:szCs w:val="21"/>
                    </w:rPr>
                    <w:t>缴纳的近一个月社保证明扫描件</w:t>
                  </w:r>
                  <w:r>
                    <w:rPr>
                      <w:rFonts w:hint="eastAsia" w:ascii="宋体" w:hAnsi="宋体" w:eastAsia="宋体" w:cs="宋体"/>
                      <w:sz w:val="21"/>
                      <w:szCs w:val="21"/>
                      <w:lang w:eastAsia="zh-CN"/>
                    </w:rPr>
                    <w:t>，如投标人为新成立单位且成立时间不足一个月，可提供相关情况说明，亦视为满足</w:t>
                  </w:r>
                  <w:r>
                    <w:rPr>
                      <w:rFonts w:hint="eastAsia" w:ascii="宋体" w:hAnsi="宋体" w:eastAsia="宋体" w:cs="宋体"/>
                      <w:sz w:val="21"/>
                      <w:szCs w:val="21"/>
                    </w:rPr>
                    <w:t>；</w:t>
                  </w:r>
                </w:p>
                <w:p w14:paraId="6C38783D">
                  <w:pPr>
                    <w:keepNext w:val="0"/>
                    <w:keepLines/>
                    <w:pageBreakBefore w:val="0"/>
                    <w:widowControl w:val="0"/>
                    <w:kinsoku/>
                    <w:wordWrap w:val="0"/>
                    <w:overflowPunct/>
                    <w:topLinePunct w:val="0"/>
                    <w:autoSpaceDE/>
                    <w:autoSpaceDN/>
                    <w:bidi w:val="0"/>
                    <w:adjustRightInd/>
                    <w:snapToGrid/>
                    <w:jc w:val="left"/>
                    <w:textAlignment w:val="auto"/>
                    <w:rPr>
                      <w:rFonts w:hint="eastAsia" w:ascii="宋体" w:hAnsi="宋体" w:eastAsia="宋体" w:cs="宋体"/>
                      <w:color w:val="auto"/>
                      <w:sz w:val="21"/>
                      <w:szCs w:val="21"/>
                      <w:highlight w:val="none"/>
                    </w:rPr>
                  </w:pPr>
                  <w:r>
                    <w:rPr>
                      <w:rFonts w:hint="eastAsia" w:ascii="宋体" w:hAnsi="宋体" w:eastAsia="宋体" w:cs="宋体"/>
                      <w:sz w:val="21"/>
                      <w:szCs w:val="21"/>
                    </w:rPr>
                    <w:t>未按要求提供相关材料或扫描件不清晰导致无法识别的不计得分。</w:t>
                  </w:r>
                </w:p>
              </w:tc>
            </w:tr>
            <w:tr w14:paraId="4A2A7BC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380" w:type="pct"/>
                  <w:vMerge w:val="restart"/>
                  <w:tcBorders>
                    <w:top w:val="single" w:color="000000" w:sz="8" w:space="0"/>
                    <w:left w:val="single" w:color="000000" w:sz="8" w:space="0"/>
                    <w:bottom w:val="single" w:color="000000" w:sz="8" w:space="0"/>
                    <w:right w:val="single" w:color="000000" w:sz="8" w:space="0"/>
                  </w:tcBorders>
                </w:tcPr>
                <w:p w14:paraId="77E67C12">
                  <w:pPr>
                    <w:keepNext w:val="0"/>
                    <w:pageBreakBefore w:val="0"/>
                    <w:kinsoku/>
                    <w:wordWrap w:val="0"/>
                    <w:overflowPunct/>
                    <w:topLinePunct w:val="0"/>
                    <w:bidi w:val="0"/>
                    <w:snapToGrid/>
                    <w:spacing w:line="240" w:lineRule="auto"/>
                    <w:jc w:val="center"/>
                    <w:rPr>
                      <w:rFonts w:hint="eastAsia" w:ascii="宋体" w:hAnsi="宋体" w:eastAsia="宋体" w:cs="宋体"/>
                      <w:b/>
                      <w:bCs/>
                      <w:color w:val="0000FF"/>
                      <w:sz w:val="21"/>
                      <w:szCs w:val="21"/>
                      <w:highlight w:val="none"/>
                      <w:lang w:eastAsia="zh-CN"/>
                    </w:rPr>
                  </w:pPr>
                  <w:r>
                    <w:rPr>
                      <w:rFonts w:hint="eastAsia" w:ascii="宋体" w:hAnsi="宋体" w:eastAsia="宋体" w:cs="宋体"/>
                      <w:b/>
                      <w:bCs/>
                      <w:color w:val="0000FF"/>
                      <w:sz w:val="21"/>
                      <w:szCs w:val="21"/>
                      <w:highlight w:val="none"/>
                      <w:lang w:val="en-US" w:eastAsia="zh-CN"/>
                    </w:rPr>
                    <w:t>4</w:t>
                  </w:r>
                </w:p>
              </w:tc>
              <w:tc>
                <w:tcPr>
                  <w:tcW w:w="2117" w:type="pct"/>
                  <w:gridSpan w:val="3"/>
                  <w:tcBorders>
                    <w:top w:val="single" w:color="000000" w:sz="8" w:space="0"/>
                    <w:left w:val="single" w:color="000000" w:sz="8" w:space="0"/>
                    <w:bottom w:val="single" w:color="000000" w:sz="8" w:space="0"/>
                    <w:right w:val="single" w:color="000000" w:sz="8" w:space="0"/>
                  </w:tcBorders>
                </w:tcPr>
                <w:p w14:paraId="57C8F67C">
                  <w:pPr>
                    <w:keepNext w:val="0"/>
                    <w:pageBreakBefore w:val="0"/>
                    <w:kinsoku/>
                    <w:wordWrap w:val="0"/>
                    <w:overflowPunct/>
                    <w:topLinePunct w:val="0"/>
                    <w:bidi w:val="0"/>
                    <w:snapToGrid/>
                    <w:spacing w:line="240" w:lineRule="auto"/>
                    <w:jc w:val="center"/>
                    <w:rPr>
                      <w:rFonts w:hint="eastAsia" w:ascii="宋体" w:hAnsi="宋体" w:eastAsia="宋体" w:cs="宋体"/>
                      <w:b/>
                      <w:bCs/>
                      <w:color w:val="0000FF"/>
                      <w:sz w:val="21"/>
                      <w:szCs w:val="21"/>
                      <w:highlight w:val="none"/>
                    </w:rPr>
                  </w:pPr>
                  <w:r>
                    <w:rPr>
                      <w:rFonts w:hint="eastAsia" w:ascii="宋体" w:hAnsi="宋体" w:eastAsia="宋体" w:cs="宋体"/>
                      <w:b/>
                      <w:bCs/>
                      <w:color w:val="0000FF"/>
                      <w:sz w:val="21"/>
                      <w:szCs w:val="21"/>
                      <w:highlight w:val="none"/>
                    </w:rPr>
                    <w:t>诚信情况</w:t>
                  </w:r>
                </w:p>
              </w:tc>
              <w:tc>
                <w:tcPr>
                  <w:tcW w:w="2501" w:type="pct"/>
                  <w:tcBorders>
                    <w:top w:val="single" w:color="000000" w:sz="8" w:space="0"/>
                    <w:left w:val="single" w:color="000000" w:sz="8" w:space="0"/>
                    <w:bottom w:val="single" w:color="000000" w:sz="8" w:space="0"/>
                    <w:right w:val="single" w:color="000000" w:sz="8" w:space="0"/>
                  </w:tcBorders>
                </w:tcPr>
                <w:p w14:paraId="48E2BC33">
                  <w:pPr>
                    <w:keepNext w:val="0"/>
                    <w:pageBreakBefore w:val="0"/>
                    <w:kinsoku/>
                    <w:wordWrap w:val="0"/>
                    <w:overflowPunct/>
                    <w:topLinePunct w:val="0"/>
                    <w:bidi w:val="0"/>
                    <w:snapToGrid/>
                    <w:spacing w:line="240" w:lineRule="auto"/>
                    <w:jc w:val="center"/>
                    <w:rPr>
                      <w:rFonts w:hint="eastAsia" w:ascii="宋体" w:hAnsi="宋体" w:eastAsia="宋体" w:cs="宋体"/>
                      <w:b/>
                      <w:bCs/>
                      <w:color w:val="0000FF"/>
                      <w:sz w:val="21"/>
                      <w:szCs w:val="21"/>
                      <w:highlight w:val="none"/>
                    </w:rPr>
                  </w:pPr>
                  <w:r>
                    <w:rPr>
                      <w:rFonts w:hint="eastAsia" w:ascii="宋体" w:hAnsi="宋体" w:eastAsia="宋体" w:cs="宋体"/>
                      <w:b/>
                      <w:bCs/>
                      <w:color w:val="0000FF"/>
                      <w:sz w:val="21"/>
                      <w:szCs w:val="21"/>
                      <w:highlight w:val="none"/>
                    </w:rPr>
                    <w:t>5</w:t>
                  </w:r>
                </w:p>
              </w:tc>
            </w:tr>
            <w:tr w14:paraId="42A7135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380" w:type="pct"/>
                  <w:vMerge w:val="continue"/>
                  <w:tcBorders>
                    <w:top w:val="single" w:color="000000" w:sz="8" w:space="0"/>
                    <w:left w:val="single" w:color="000000" w:sz="8" w:space="0"/>
                    <w:bottom w:val="single" w:color="000000" w:sz="8" w:space="0"/>
                    <w:right w:val="single" w:color="000000" w:sz="8" w:space="0"/>
                  </w:tcBorders>
                  <w:vAlign w:val="center"/>
                </w:tcPr>
                <w:p w14:paraId="7E39C14C">
                  <w:pPr>
                    <w:keepNext w:val="0"/>
                    <w:pageBreakBefore w:val="0"/>
                    <w:kinsoku/>
                    <w:overflowPunct/>
                    <w:topLinePunct w:val="0"/>
                    <w:bidi w:val="0"/>
                    <w:snapToGrid/>
                    <w:spacing w:line="240" w:lineRule="auto"/>
                    <w:rPr>
                      <w:rFonts w:hint="eastAsia" w:ascii="宋体" w:hAnsi="宋体" w:eastAsia="宋体" w:cs="宋体"/>
                      <w:b/>
                      <w:bCs/>
                      <w:color w:val="0000FF"/>
                      <w:sz w:val="21"/>
                      <w:szCs w:val="21"/>
                      <w:highlight w:val="none"/>
                    </w:rPr>
                  </w:pPr>
                </w:p>
              </w:tc>
              <w:tc>
                <w:tcPr>
                  <w:tcW w:w="4619" w:type="pct"/>
                  <w:gridSpan w:val="4"/>
                  <w:tcBorders>
                    <w:top w:val="single" w:color="000000" w:sz="8" w:space="0"/>
                    <w:left w:val="single" w:color="000000" w:sz="8" w:space="0"/>
                    <w:bottom w:val="single" w:color="000000" w:sz="8" w:space="0"/>
                    <w:right w:val="single" w:color="000000" w:sz="8" w:space="0"/>
                  </w:tcBorders>
                </w:tcPr>
                <w:p w14:paraId="0A1498B0">
                  <w:pPr>
                    <w:keepNext w:val="0"/>
                    <w:pageBreakBefore w:val="0"/>
                    <w:kinsoku/>
                    <w:wordWrap w:val="0"/>
                    <w:overflowPunct/>
                    <w:topLinePunct w:val="0"/>
                    <w:bidi w:val="0"/>
                    <w:snapToGrid/>
                    <w:spacing w:line="240" w:lineRule="auto"/>
                    <w:rPr>
                      <w:rFonts w:hint="eastAsia" w:ascii="宋体" w:hAnsi="宋体" w:eastAsia="宋体" w:cs="宋体"/>
                      <w:sz w:val="21"/>
                      <w:szCs w:val="21"/>
                      <w:highlight w:val="none"/>
                    </w:rPr>
                  </w:pPr>
                </w:p>
              </w:tc>
            </w:tr>
            <w:tr w14:paraId="7938C65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380" w:type="pct"/>
                  <w:vMerge w:val="continue"/>
                  <w:tcBorders>
                    <w:top w:val="single" w:color="000000" w:sz="8" w:space="0"/>
                    <w:left w:val="single" w:color="000000" w:sz="8" w:space="0"/>
                    <w:bottom w:val="single" w:color="000000" w:sz="8" w:space="0"/>
                    <w:right w:val="single" w:color="000000" w:sz="8" w:space="0"/>
                  </w:tcBorders>
                  <w:shd w:val="clear" w:color="auto" w:fill="E6EFFA"/>
                  <w:vAlign w:val="center"/>
                </w:tcPr>
                <w:p w14:paraId="4312E837">
                  <w:pPr>
                    <w:keepNext w:val="0"/>
                    <w:pageBreakBefore w:val="0"/>
                    <w:kinsoku/>
                    <w:overflowPunct/>
                    <w:topLinePunct w:val="0"/>
                    <w:bidi w:val="0"/>
                    <w:snapToGrid/>
                    <w:spacing w:line="240" w:lineRule="auto"/>
                    <w:rPr>
                      <w:rFonts w:hint="eastAsia" w:ascii="宋体" w:hAnsi="宋体" w:eastAsia="宋体" w:cs="宋体"/>
                      <w:b/>
                      <w:bCs/>
                      <w:color w:val="0000FF"/>
                      <w:sz w:val="21"/>
                      <w:szCs w:val="21"/>
                      <w:highlight w:val="none"/>
                    </w:rPr>
                  </w:pPr>
                </w:p>
              </w:tc>
              <w:tc>
                <w:tcPr>
                  <w:tcW w:w="404" w:type="pct"/>
                  <w:tcBorders>
                    <w:top w:val="outset" w:color="000000" w:sz="6" w:space="0"/>
                    <w:left w:val="outset" w:color="000000" w:sz="6" w:space="0"/>
                    <w:bottom w:val="outset" w:color="000000" w:sz="6" w:space="0"/>
                    <w:right w:val="outset" w:color="000000" w:sz="6" w:space="0"/>
                  </w:tcBorders>
                  <w:shd w:val="clear" w:color="auto" w:fill="E6EFFA"/>
                  <w:vAlign w:val="center"/>
                </w:tcPr>
                <w:p w14:paraId="392B6DB5">
                  <w:pPr>
                    <w:keepNext w:val="0"/>
                    <w:pageBreakBefore w:val="0"/>
                    <w:kinsoku/>
                    <w:wordWrap w:val="0"/>
                    <w:overflowPunct/>
                    <w:topLinePunct w:val="0"/>
                    <w:bidi w:val="0"/>
                    <w:snapToGrid/>
                    <w:spacing w:line="240" w:lineRule="auto"/>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序号</w:t>
                  </w:r>
                </w:p>
              </w:tc>
              <w:tc>
                <w:tcPr>
                  <w:tcW w:w="1354" w:type="pct"/>
                  <w:tcBorders>
                    <w:top w:val="outset" w:color="000000" w:sz="6" w:space="0"/>
                    <w:left w:val="outset" w:color="000000" w:sz="6" w:space="0"/>
                    <w:bottom w:val="outset" w:color="000000" w:sz="6" w:space="0"/>
                    <w:right w:val="outset" w:color="000000" w:sz="6" w:space="0"/>
                  </w:tcBorders>
                  <w:shd w:val="clear" w:color="auto" w:fill="E6EFFA"/>
                  <w:vAlign w:val="center"/>
                </w:tcPr>
                <w:p w14:paraId="7939F472">
                  <w:pPr>
                    <w:keepNext w:val="0"/>
                    <w:pageBreakBefore w:val="0"/>
                    <w:kinsoku/>
                    <w:wordWrap w:val="0"/>
                    <w:overflowPunct/>
                    <w:topLinePunct w:val="0"/>
                    <w:bidi w:val="0"/>
                    <w:snapToGrid/>
                    <w:spacing w:line="240" w:lineRule="auto"/>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评分因素</w:t>
                  </w:r>
                </w:p>
              </w:tc>
              <w:tc>
                <w:tcPr>
                  <w:tcW w:w="357" w:type="pct"/>
                  <w:tcBorders>
                    <w:top w:val="outset" w:color="000000" w:sz="6" w:space="0"/>
                    <w:left w:val="outset" w:color="000000" w:sz="6" w:space="0"/>
                    <w:bottom w:val="outset" w:color="000000" w:sz="6" w:space="0"/>
                    <w:right w:val="outset" w:color="000000" w:sz="6" w:space="0"/>
                  </w:tcBorders>
                  <w:shd w:val="clear" w:color="auto" w:fill="E6EFFA"/>
                  <w:vAlign w:val="center"/>
                </w:tcPr>
                <w:p w14:paraId="56D3307B">
                  <w:pPr>
                    <w:keepNext w:val="0"/>
                    <w:pageBreakBefore w:val="0"/>
                    <w:kinsoku/>
                    <w:wordWrap w:val="0"/>
                    <w:overflowPunct/>
                    <w:topLinePunct w:val="0"/>
                    <w:bidi w:val="0"/>
                    <w:snapToGrid/>
                    <w:spacing w:line="240" w:lineRule="auto"/>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权重</w:t>
                  </w: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rPr>
                    <w:t>%</w:t>
                  </w:r>
                  <w:r>
                    <w:rPr>
                      <w:rFonts w:hint="eastAsia" w:ascii="宋体" w:hAnsi="宋体" w:eastAsia="宋体" w:cs="宋体"/>
                      <w:sz w:val="21"/>
                      <w:szCs w:val="21"/>
                      <w:highlight w:val="none"/>
                      <w:lang w:eastAsia="zh-CN"/>
                    </w:rPr>
                    <w:t>）</w:t>
                  </w:r>
                </w:p>
              </w:tc>
              <w:tc>
                <w:tcPr>
                  <w:tcW w:w="2501" w:type="pct"/>
                  <w:tcBorders>
                    <w:top w:val="outset" w:color="000000" w:sz="6" w:space="0"/>
                    <w:left w:val="outset" w:color="000000" w:sz="6" w:space="0"/>
                    <w:bottom w:val="outset" w:color="000000" w:sz="6" w:space="0"/>
                    <w:right w:val="outset" w:color="000000" w:sz="6" w:space="0"/>
                  </w:tcBorders>
                  <w:shd w:val="clear" w:color="auto" w:fill="E6EFFA"/>
                  <w:vAlign w:val="center"/>
                </w:tcPr>
                <w:p w14:paraId="5A3F9A4F">
                  <w:pPr>
                    <w:keepNext w:val="0"/>
                    <w:pageBreakBefore w:val="0"/>
                    <w:kinsoku/>
                    <w:wordWrap w:val="0"/>
                    <w:overflowPunct/>
                    <w:topLinePunct w:val="0"/>
                    <w:bidi w:val="0"/>
                    <w:snapToGrid/>
                    <w:spacing w:line="240" w:lineRule="auto"/>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评分准则</w:t>
                  </w:r>
                </w:p>
              </w:tc>
            </w:tr>
            <w:tr w14:paraId="2B440A2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380" w:type="pct"/>
                  <w:vMerge w:val="continue"/>
                  <w:tcBorders>
                    <w:top w:val="single" w:color="000000" w:sz="8" w:space="0"/>
                    <w:left w:val="single" w:color="000000" w:sz="8" w:space="0"/>
                    <w:bottom w:val="single" w:color="000000" w:sz="8" w:space="0"/>
                    <w:right w:val="single" w:color="000000" w:sz="8" w:space="0"/>
                  </w:tcBorders>
                  <w:vAlign w:val="center"/>
                </w:tcPr>
                <w:p w14:paraId="1AD1142C">
                  <w:pPr>
                    <w:keepNext w:val="0"/>
                    <w:pageBreakBefore w:val="0"/>
                    <w:kinsoku/>
                    <w:overflowPunct/>
                    <w:topLinePunct w:val="0"/>
                    <w:bidi w:val="0"/>
                    <w:snapToGrid/>
                    <w:spacing w:line="240" w:lineRule="auto"/>
                    <w:rPr>
                      <w:rFonts w:hint="eastAsia" w:ascii="宋体" w:hAnsi="宋体" w:eastAsia="宋体" w:cs="宋体"/>
                      <w:b/>
                      <w:bCs/>
                      <w:color w:val="0000FF"/>
                      <w:sz w:val="21"/>
                      <w:szCs w:val="21"/>
                      <w:highlight w:val="none"/>
                    </w:rPr>
                  </w:pPr>
                </w:p>
              </w:tc>
              <w:tc>
                <w:tcPr>
                  <w:tcW w:w="404" w:type="pct"/>
                  <w:tcBorders>
                    <w:top w:val="single" w:color="000000" w:sz="8" w:space="0"/>
                    <w:left w:val="single" w:color="000000" w:sz="8" w:space="0"/>
                    <w:bottom w:val="single" w:color="000000" w:sz="8" w:space="0"/>
                    <w:right w:val="single" w:color="000000" w:sz="8" w:space="0"/>
                  </w:tcBorders>
                  <w:vAlign w:val="center"/>
                </w:tcPr>
                <w:p w14:paraId="08152A3C">
                  <w:pPr>
                    <w:keepNext w:val="0"/>
                    <w:pageBreakBefore w:val="0"/>
                    <w:kinsoku/>
                    <w:wordWrap w:val="0"/>
                    <w:overflowPunct/>
                    <w:topLinePunct w:val="0"/>
                    <w:bidi w:val="0"/>
                    <w:snapToGrid/>
                    <w:spacing w:line="240" w:lineRule="auto"/>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1</w:t>
                  </w:r>
                </w:p>
              </w:tc>
              <w:tc>
                <w:tcPr>
                  <w:tcW w:w="1354" w:type="pct"/>
                  <w:tcBorders>
                    <w:top w:val="single" w:color="000000" w:sz="8" w:space="0"/>
                    <w:left w:val="single" w:color="000000" w:sz="8" w:space="0"/>
                    <w:bottom w:val="single" w:color="000000" w:sz="8" w:space="0"/>
                    <w:right w:val="single" w:color="000000" w:sz="8" w:space="0"/>
                  </w:tcBorders>
                  <w:vAlign w:val="center"/>
                </w:tcPr>
                <w:p w14:paraId="2B677F59">
                  <w:pPr>
                    <w:keepNext w:val="0"/>
                    <w:pageBreakBefore w:val="0"/>
                    <w:kinsoku/>
                    <w:wordWrap w:val="0"/>
                    <w:overflowPunct/>
                    <w:topLinePunct w:val="0"/>
                    <w:bidi w:val="0"/>
                    <w:snapToGrid/>
                    <w:spacing w:line="240" w:lineRule="auto"/>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诚信情况</w:t>
                  </w:r>
                </w:p>
              </w:tc>
              <w:tc>
                <w:tcPr>
                  <w:tcW w:w="357" w:type="pct"/>
                  <w:tcBorders>
                    <w:top w:val="single" w:color="000000" w:sz="8" w:space="0"/>
                    <w:left w:val="single" w:color="000000" w:sz="8" w:space="0"/>
                    <w:bottom w:val="single" w:color="000000" w:sz="8" w:space="0"/>
                    <w:right w:val="single" w:color="000000" w:sz="8" w:space="0"/>
                  </w:tcBorders>
                  <w:vAlign w:val="center"/>
                </w:tcPr>
                <w:p w14:paraId="29CE2008">
                  <w:pPr>
                    <w:keepNext w:val="0"/>
                    <w:pageBreakBefore w:val="0"/>
                    <w:widowControl/>
                    <w:kinsoku/>
                    <w:wordWrap w:val="0"/>
                    <w:overflowPunct/>
                    <w:topLinePunct w:val="0"/>
                    <w:bidi w:val="0"/>
                    <w:snapToGrid/>
                    <w:spacing w:line="240" w:lineRule="auto"/>
                    <w:jc w:val="center"/>
                    <w:textAlignment w:val="top"/>
                    <w:rPr>
                      <w:rFonts w:hint="eastAsia" w:ascii="宋体" w:hAnsi="宋体" w:eastAsia="宋体" w:cs="宋体"/>
                      <w:sz w:val="21"/>
                      <w:szCs w:val="21"/>
                      <w:highlight w:val="none"/>
                    </w:rPr>
                  </w:pPr>
                  <w:r>
                    <w:rPr>
                      <w:rFonts w:hint="eastAsia" w:ascii="宋体" w:hAnsi="宋体" w:eastAsia="宋体" w:cs="宋体"/>
                      <w:sz w:val="21"/>
                      <w:szCs w:val="21"/>
                      <w:highlight w:val="none"/>
                    </w:rPr>
                    <w:t>5</w:t>
                  </w:r>
                </w:p>
              </w:tc>
              <w:tc>
                <w:tcPr>
                  <w:tcW w:w="2501" w:type="pct"/>
                  <w:tcBorders>
                    <w:top w:val="single" w:color="000000" w:sz="8" w:space="0"/>
                    <w:left w:val="single" w:color="000000" w:sz="8" w:space="0"/>
                    <w:bottom w:val="single" w:color="000000" w:sz="8" w:space="0"/>
                    <w:right w:val="single" w:color="000000" w:sz="8" w:space="0"/>
                  </w:tcBorders>
                  <w:vAlign w:val="top"/>
                </w:tcPr>
                <w:p w14:paraId="580E4E94">
                  <w:pPr>
                    <w:pStyle w:val="2"/>
                    <w:keepNext w:val="0"/>
                    <w:keepLines/>
                    <w:pageBreakBefore w:val="0"/>
                    <w:widowControl w:val="0"/>
                    <w:kinsoku/>
                    <w:wordWrap w:val="0"/>
                    <w:overflowPunct/>
                    <w:topLinePunct w:val="0"/>
                    <w:bidi w:val="0"/>
                    <w:snapToGrid/>
                    <w:spacing w:line="240" w:lineRule="auto"/>
                    <w:ind w:firstLine="420" w:firstLineChars="200"/>
                    <w:textAlignment w:val="auto"/>
                    <w:rPr>
                      <w:rFonts w:hint="eastAsia" w:ascii="宋体" w:hAnsi="宋体" w:eastAsia="宋体" w:cs="宋体"/>
                      <w:b w:val="0"/>
                      <w:bCs w:val="0"/>
                      <w:sz w:val="21"/>
                      <w:szCs w:val="21"/>
                      <w:highlight w:val="none"/>
                    </w:rPr>
                  </w:pPr>
                  <w:r>
                    <w:rPr>
                      <w:rFonts w:hint="eastAsia" w:ascii="宋体" w:hAnsi="宋体" w:eastAsia="宋体" w:cs="宋体"/>
                      <w:b w:val="0"/>
                      <w:bCs w:val="0"/>
                      <w:sz w:val="21"/>
                      <w:szCs w:val="21"/>
                      <w:highlight w:val="none"/>
                    </w:rPr>
                    <w:t>投标人存在《深圳市财政局政府采购供应商信用信息管理办法》（深财规〔2023〕3号）列明的一般行政处罚信息、一般违法失信记录信息的，本项不得分，不存在上述情形的本项得100分。</w:t>
                  </w:r>
                </w:p>
                <w:p w14:paraId="7BF6BFCF">
                  <w:pPr>
                    <w:pStyle w:val="2"/>
                    <w:keepNext w:val="0"/>
                    <w:pageBreakBefore w:val="0"/>
                    <w:kinsoku/>
                    <w:wordWrap w:val="0"/>
                    <w:overflowPunct/>
                    <w:topLinePunct w:val="0"/>
                    <w:bidi w:val="0"/>
                    <w:snapToGrid/>
                    <w:spacing w:line="240" w:lineRule="auto"/>
                    <w:ind w:firstLine="420" w:firstLineChars="200"/>
                    <w:rPr>
                      <w:rFonts w:hint="eastAsia" w:ascii="宋体" w:hAnsi="宋体" w:eastAsia="宋体" w:cs="宋体"/>
                      <w:sz w:val="21"/>
                      <w:szCs w:val="21"/>
                      <w:highlight w:val="none"/>
                    </w:rPr>
                  </w:pPr>
                  <w:r>
                    <w:rPr>
                      <w:rFonts w:hint="eastAsia" w:ascii="宋体" w:hAnsi="宋体" w:eastAsia="宋体" w:cs="宋体"/>
                      <w:b w:val="0"/>
                      <w:bCs w:val="0"/>
                      <w:sz w:val="21"/>
                      <w:szCs w:val="21"/>
                      <w:highlight w:val="none"/>
                    </w:rPr>
                    <w:t>投标人无需提供任何证明材料，评标过程中由工作人员向评审委员会提供</w:t>
                  </w:r>
                  <w:r>
                    <w:rPr>
                      <w:rFonts w:hint="eastAsia" w:ascii="宋体" w:hAnsi="宋体" w:eastAsia="宋体" w:cs="宋体"/>
                      <w:b w:val="0"/>
                      <w:bCs w:val="0"/>
                      <w:sz w:val="21"/>
                      <w:szCs w:val="21"/>
                      <w:highlight w:val="none"/>
                      <w:lang w:val="en-US" w:eastAsia="zh-CN"/>
                    </w:rPr>
                    <w:t>有关</w:t>
                  </w:r>
                  <w:r>
                    <w:rPr>
                      <w:rFonts w:hint="eastAsia" w:ascii="宋体" w:hAnsi="宋体" w:eastAsia="宋体" w:cs="宋体"/>
                      <w:b w:val="0"/>
                      <w:bCs w:val="0"/>
                      <w:sz w:val="21"/>
                      <w:szCs w:val="21"/>
                      <w:highlight w:val="none"/>
                    </w:rPr>
                    <w:t>供应商诚信查询结果。</w:t>
                  </w:r>
                  <w:r>
                    <w:rPr>
                      <w:rFonts w:hint="eastAsia" w:ascii="宋体" w:hAnsi="宋体" w:eastAsia="宋体" w:cs="宋体"/>
                      <w:b w:val="0"/>
                      <w:bCs w:val="0"/>
                      <w:sz w:val="21"/>
                      <w:szCs w:val="21"/>
                      <w:highlight w:val="none"/>
                      <w:lang w:val="en-US" w:eastAsia="zh-CN"/>
                    </w:rPr>
                    <w:t>查询渠道：通过“信用中国”（www.creditchina.gov.cn，下载信用信息报告）、“中国政府采购网”（www.ccgp.gov.cn），以及“深圳市政府采购监管网”（http://zfcg.sz.gov.cn）查询供应商信用信息，信用信息以开标当日的查询结果为准。</w:t>
                  </w:r>
                </w:p>
              </w:tc>
            </w:tr>
          </w:tbl>
          <w:p w14:paraId="0FC50C15">
            <w:pPr>
              <w:pStyle w:val="43"/>
              <w:spacing w:beforeAutospacing="0" w:afterAutospacing="0" w:line="240" w:lineRule="auto"/>
              <w:ind w:left="0" w:firstLine="420" w:firstLineChars="200"/>
              <w:rPr>
                <w:rFonts w:hint="eastAsia" w:ascii="宋体" w:hAnsi="宋体" w:eastAsia="宋体" w:cs="宋体"/>
                <w:kern w:val="2"/>
                <w:sz w:val="21"/>
                <w:szCs w:val="21"/>
                <w:lang w:val="en-US" w:eastAsia="zh-CN" w:bidi="ar-SA"/>
              </w:rPr>
            </w:pPr>
          </w:p>
        </w:tc>
      </w:tr>
    </w:tbl>
    <w:p w14:paraId="36E0AAA2">
      <w:pPr>
        <w:rPr>
          <w:vanish/>
        </w:rPr>
      </w:pPr>
    </w:p>
    <w:p w14:paraId="03D74D70">
      <w:pPr>
        <w:pStyle w:val="43"/>
        <w:keepLines/>
        <w:widowControl/>
        <w:outlineLvl w:val="1"/>
        <w:rPr>
          <w:rFonts w:hint="eastAsia" w:ascii="黑体" w:hAnsi="黑体" w:eastAsia="黑体"/>
          <w:sz w:val="40"/>
          <w:szCs w:val="40"/>
        </w:rPr>
      </w:pPr>
    </w:p>
    <w:p w14:paraId="228AE38F">
      <w:pPr>
        <w:pStyle w:val="43"/>
        <w:keepLines/>
        <w:widowControl/>
        <w:outlineLvl w:val="1"/>
        <w:rPr>
          <w:rFonts w:hint="eastAsia" w:ascii="黑体" w:hAnsi="黑体" w:eastAsia="黑体"/>
          <w:sz w:val="40"/>
          <w:szCs w:val="40"/>
        </w:rPr>
      </w:pPr>
    </w:p>
    <w:p w14:paraId="6CFDB7F7">
      <w:pPr>
        <w:pStyle w:val="43"/>
        <w:keepLines/>
        <w:widowControl/>
        <w:outlineLvl w:val="1"/>
        <w:rPr>
          <w:rFonts w:hint="eastAsia" w:ascii="黑体" w:hAnsi="黑体" w:eastAsia="黑体"/>
          <w:sz w:val="40"/>
          <w:szCs w:val="40"/>
        </w:rPr>
      </w:pPr>
    </w:p>
    <w:p w14:paraId="5D257744">
      <w:pPr>
        <w:pStyle w:val="43"/>
        <w:keepLines/>
        <w:widowControl/>
        <w:outlineLvl w:val="1"/>
        <w:rPr>
          <w:rFonts w:hint="eastAsia" w:ascii="黑体" w:hAnsi="黑体" w:eastAsia="黑体"/>
          <w:sz w:val="40"/>
          <w:szCs w:val="40"/>
        </w:rPr>
      </w:pPr>
    </w:p>
    <w:p w14:paraId="0090CFFD">
      <w:pPr>
        <w:pStyle w:val="43"/>
        <w:keepLines/>
        <w:widowControl/>
        <w:outlineLvl w:val="1"/>
        <w:rPr>
          <w:rFonts w:hint="eastAsia" w:ascii="黑体" w:hAnsi="黑体" w:eastAsia="黑体"/>
          <w:sz w:val="40"/>
          <w:szCs w:val="40"/>
        </w:rPr>
      </w:pPr>
    </w:p>
    <w:p w14:paraId="42A5B956">
      <w:pPr>
        <w:jc w:val="center"/>
        <w:rPr>
          <w:rFonts w:hint="eastAsia"/>
          <w:b/>
          <w:sz w:val="120"/>
          <w:szCs w:val="120"/>
        </w:rPr>
      </w:pPr>
    </w:p>
    <w:p w14:paraId="10E09BFF">
      <w:pPr>
        <w:jc w:val="center"/>
        <w:rPr>
          <w:rFonts w:hint="eastAsia"/>
          <w:b/>
          <w:sz w:val="120"/>
          <w:szCs w:val="120"/>
        </w:rPr>
      </w:pPr>
    </w:p>
    <w:p w14:paraId="1092026A">
      <w:pPr>
        <w:jc w:val="center"/>
        <w:rPr>
          <w:b/>
          <w:sz w:val="120"/>
          <w:szCs w:val="120"/>
        </w:rPr>
      </w:pPr>
      <w:r>
        <w:rPr>
          <w:rFonts w:hint="eastAsia"/>
          <w:b/>
          <w:sz w:val="120"/>
          <w:szCs w:val="120"/>
        </w:rPr>
        <w:t>政府采购</w:t>
      </w:r>
    </w:p>
    <w:p w14:paraId="7652E8EF">
      <w:pPr>
        <w:jc w:val="center"/>
        <w:rPr>
          <w:b/>
          <w:sz w:val="120"/>
          <w:szCs w:val="120"/>
        </w:rPr>
      </w:pPr>
      <w:r>
        <w:rPr>
          <w:rFonts w:hint="eastAsia"/>
          <w:b/>
          <w:sz w:val="120"/>
          <w:szCs w:val="120"/>
        </w:rPr>
        <w:t>招标文件</w:t>
      </w:r>
    </w:p>
    <w:p w14:paraId="034A145D">
      <w:pPr>
        <w:jc w:val="center"/>
        <w:rPr>
          <w:b/>
          <w:sz w:val="52"/>
          <w:szCs w:val="52"/>
        </w:rPr>
      </w:pPr>
      <w:r>
        <w:rPr>
          <w:rFonts w:hint="eastAsia"/>
          <w:b/>
          <w:sz w:val="52"/>
          <w:szCs w:val="52"/>
        </w:rPr>
        <w:t>（服务类）</w:t>
      </w:r>
    </w:p>
    <w:p w14:paraId="6EB46BF0">
      <w:pPr>
        <w:jc w:val="center"/>
        <w:rPr>
          <w:b/>
          <w:sz w:val="44"/>
          <w:szCs w:val="44"/>
        </w:rPr>
      </w:pPr>
    </w:p>
    <w:p w14:paraId="12FACCE5">
      <w:pPr>
        <w:jc w:val="center"/>
        <w:rPr>
          <w:b/>
          <w:sz w:val="44"/>
          <w:szCs w:val="44"/>
        </w:rPr>
      </w:pPr>
    </w:p>
    <w:p w14:paraId="5E6AC37F">
      <w:pPr>
        <w:jc w:val="center"/>
        <w:rPr>
          <w:b/>
          <w:sz w:val="44"/>
          <w:szCs w:val="44"/>
        </w:rPr>
      </w:pPr>
    </w:p>
    <w:p w14:paraId="181D6BB4">
      <w:pPr>
        <w:jc w:val="center"/>
        <w:rPr>
          <w:b/>
          <w:sz w:val="44"/>
          <w:szCs w:val="44"/>
        </w:rPr>
      </w:pPr>
    </w:p>
    <w:p w14:paraId="3DB77682">
      <w:pPr>
        <w:jc w:val="center"/>
        <w:rPr>
          <w:b/>
          <w:sz w:val="44"/>
          <w:szCs w:val="44"/>
        </w:rPr>
      </w:pPr>
    </w:p>
    <w:p w14:paraId="1A5AFA2E">
      <w:pPr>
        <w:jc w:val="center"/>
        <w:rPr>
          <w:b/>
          <w:sz w:val="44"/>
          <w:szCs w:val="44"/>
        </w:rPr>
      </w:pPr>
    </w:p>
    <w:p w14:paraId="6A0B9EFD">
      <w:pPr>
        <w:jc w:val="center"/>
        <w:rPr>
          <w:b/>
          <w:sz w:val="44"/>
          <w:szCs w:val="44"/>
        </w:rPr>
      </w:pPr>
    </w:p>
    <w:p w14:paraId="564B9F92">
      <w:pPr>
        <w:jc w:val="center"/>
        <w:rPr>
          <w:b/>
          <w:sz w:val="44"/>
          <w:szCs w:val="44"/>
        </w:rPr>
      </w:pPr>
    </w:p>
    <w:p w14:paraId="539B4040">
      <w:pPr>
        <w:jc w:val="center"/>
        <w:rPr>
          <w:b/>
          <w:sz w:val="44"/>
          <w:szCs w:val="44"/>
        </w:rPr>
      </w:pPr>
      <w:bookmarkStart w:id="9" w:name="_Hlk71465316"/>
      <w:r>
        <w:rPr>
          <w:rFonts w:hint="eastAsia"/>
          <w:b/>
          <w:sz w:val="44"/>
          <w:szCs w:val="44"/>
        </w:rPr>
        <w:t>深圳公共资源交易中心</w:t>
      </w:r>
    </w:p>
    <w:p w14:paraId="5B460310">
      <w:pPr>
        <w:jc w:val="center"/>
        <w:rPr>
          <w:rFonts w:hint="eastAsia"/>
          <w:b/>
          <w:sz w:val="28"/>
          <w:szCs w:val="28"/>
        </w:rPr>
      </w:pPr>
      <w:r>
        <w:rPr>
          <w:rFonts w:hint="eastAsia"/>
          <w:b/>
          <w:sz w:val="28"/>
          <w:szCs w:val="28"/>
        </w:rPr>
        <w:t>（</w:t>
      </w:r>
      <w:r>
        <w:rPr>
          <w:b/>
          <w:sz w:val="28"/>
          <w:szCs w:val="28"/>
        </w:rPr>
        <w:t>20</w:t>
      </w:r>
      <w:r>
        <w:rPr>
          <w:rFonts w:hint="eastAsia"/>
          <w:b/>
          <w:sz w:val="28"/>
          <w:szCs w:val="28"/>
        </w:rPr>
        <w:t>2</w:t>
      </w:r>
      <w:r>
        <w:rPr>
          <w:rFonts w:hint="eastAsia"/>
          <w:b/>
          <w:sz w:val="28"/>
          <w:szCs w:val="28"/>
          <w:lang w:val="en-US" w:eastAsia="zh-CN"/>
        </w:rPr>
        <w:t>4</w:t>
      </w:r>
      <w:r>
        <w:rPr>
          <w:rFonts w:hint="eastAsia"/>
          <w:b/>
          <w:sz w:val="28"/>
          <w:szCs w:val="28"/>
        </w:rPr>
        <w:t>）</w:t>
      </w:r>
      <w:bookmarkEnd w:id="9"/>
    </w:p>
    <w:p w14:paraId="7C8D10AB">
      <w:pPr>
        <w:rPr>
          <w:rFonts w:ascii="宋体" w:hAnsi="宋体"/>
          <w:sz w:val="24"/>
        </w:rPr>
      </w:pPr>
    </w:p>
    <w:p w14:paraId="51360438">
      <w:pPr>
        <w:rPr>
          <w:rFonts w:ascii="Verdana" w:hAnsi="Verdana" w:eastAsia="仿宋_GB2312"/>
          <w:kern w:val="0"/>
          <w:sz w:val="24"/>
          <w:szCs w:val="20"/>
        </w:rPr>
        <w:sectPr>
          <w:pgSz w:w="11906" w:h="16838"/>
          <w:pgMar w:top="720" w:right="1417" w:bottom="720" w:left="1417" w:header="851" w:footer="992" w:gutter="0"/>
          <w:cols w:space="720" w:num="1"/>
          <w:docGrid w:type="lines" w:linePitch="312" w:charSpace="0"/>
        </w:sectPr>
      </w:pPr>
    </w:p>
    <w:p w14:paraId="7E1E644E">
      <w:pPr>
        <w:jc w:val="center"/>
        <w:rPr>
          <w:rFonts w:ascii="宋体" w:hAnsi="宋体"/>
          <w:color w:val="FF0000"/>
          <w:szCs w:val="21"/>
        </w:rPr>
      </w:pPr>
      <w:r>
        <w:rPr>
          <w:rFonts w:hint="eastAsia" w:ascii="宋体" w:hAnsi="宋体" w:eastAsia="黑体"/>
          <w:b/>
          <w:bCs/>
          <w:color w:val="FF0000"/>
          <w:kern w:val="44"/>
          <w:sz w:val="28"/>
          <w:szCs w:val="44"/>
        </w:rPr>
        <w:t>警示条款</w:t>
      </w:r>
    </w:p>
    <w:p w14:paraId="323A4056">
      <w:pPr>
        <w:ind w:firstLine="360" w:firstLineChars="200"/>
        <w:rPr>
          <w:rFonts w:ascii="宋体" w:hAnsi="宋体"/>
          <w:color w:val="FF0000"/>
          <w:sz w:val="18"/>
          <w:szCs w:val="18"/>
        </w:rPr>
      </w:pPr>
    </w:p>
    <w:p w14:paraId="72BF90E0">
      <w:pPr>
        <w:ind w:firstLine="420" w:firstLineChars="200"/>
        <w:rPr>
          <w:rFonts w:hint="eastAsia" w:ascii="宋体" w:hAnsi="宋体" w:eastAsia="宋体" w:cs="宋体"/>
          <w:color w:val="FF0000"/>
          <w:sz w:val="21"/>
          <w:szCs w:val="21"/>
        </w:rPr>
      </w:pPr>
      <w:r>
        <w:rPr>
          <w:rFonts w:hint="eastAsia" w:ascii="宋体" w:hAnsi="宋体" w:eastAsia="宋体" w:cs="宋体"/>
          <w:color w:val="FF0000"/>
          <w:sz w:val="21"/>
          <w:szCs w:val="21"/>
        </w:rPr>
        <w:t>一、</w:t>
      </w:r>
      <w:r>
        <w:rPr>
          <w:rFonts w:hint="eastAsia" w:ascii="宋体" w:hAnsi="宋体" w:eastAsia="宋体" w:cs="宋体"/>
          <w:b/>
          <w:bCs/>
          <w:color w:val="FF0000"/>
          <w:sz w:val="21"/>
          <w:szCs w:val="21"/>
        </w:rPr>
        <w:t>《深圳经济特区政府采购条例》第五十七条</w:t>
      </w:r>
      <w:r>
        <w:rPr>
          <w:rFonts w:hint="eastAsia" w:ascii="宋体" w:hAnsi="宋体" w:eastAsia="宋体" w:cs="宋体"/>
          <w:color w:val="FF0000"/>
          <w:sz w:val="21"/>
          <w:szCs w:val="21"/>
        </w:rPr>
        <w:t xml:space="preserve">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14:paraId="79890B27">
      <w:pPr>
        <w:ind w:firstLine="420" w:firstLineChars="200"/>
        <w:rPr>
          <w:rFonts w:hint="eastAsia" w:ascii="宋体" w:hAnsi="宋体" w:eastAsia="宋体" w:cs="宋体"/>
          <w:color w:val="FF0000"/>
          <w:sz w:val="21"/>
          <w:szCs w:val="21"/>
        </w:rPr>
      </w:pPr>
      <w:r>
        <w:rPr>
          <w:rFonts w:hint="eastAsia" w:ascii="宋体" w:hAnsi="宋体" w:eastAsia="宋体" w:cs="宋体"/>
          <w:color w:val="FF0000"/>
          <w:sz w:val="21"/>
          <w:szCs w:val="21"/>
        </w:rPr>
        <w:t>（一）在采购活动中应当回避而未回避的；</w:t>
      </w:r>
    </w:p>
    <w:p w14:paraId="63AE869C">
      <w:pPr>
        <w:ind w:firstLine="420" w:firstLineChars="200"/>
        <w:rPr>
          <w:rFonts w:hint="eastAsia" w:ascii="宋体" w:hAnsi="宋体" w:eastAsia="宋体" w:cs="宋体"/>
          <w:color w:val="FF0000"/>
          <w:sz w:val="21"/>
          <w:szCs w:val="21"/>
        </w:rPr>
      </w:pPr>
      <w:r>
        <w:rPr>
          <w:rFonts w:hint="eastAsia" w:ascii="宋体" w:hAnsi="宋体" w:eastAsia="宋体" w:cs="宋体"/>
          <w:color w:val="FF0000"/>
          <w:sz w:val="21"/>
          <w:szCs w:val="21"/>
        </w:rPr>
        <w:t>（二）未按本条例规定签订、履行采购合同，造成严重后果的；</w:t>
      </w:r>
    </w:p>
    <w:p w14:paraId="1E67A297">
      <w:pPr>
        <w:ind w:firstLine="420" w:firstLineChars="200"/>
        <w:rPr>
          <w:rFonts w:hint="eastAsia" w:ascii="宋体" w:hAnsi="宋体" w:eastAsia="宋体" w:cs="宋体"/>
          <w:color w:val="FF0000"/>
          <w:sz w:val="21"/>
          <w:szCs w:val="21"/>
        </w:rPr>
      </w:pPr>
      <w:r>
        <w:rPr>
          <w:rFonts w:hint="eastAsia" w:ascii="宋体" w:hAnsi="宋体" w:eastAsia="宋体" w:cs="宋体"/>
          <w:color w:val="FF0000"/>
          <w:sz w:val="21"/>
          <w:szCs w:val="21"/>
        </w:rPr>
        <w:t>（三）隐瞒真实情况，提供虚假资料的；</w:t>
      </w:r>
    </w:p>
    <w:p w14:paraId="0F648B7E">
      <w:pPr>
        <w:ind w:firstLine="420" w:firstLineChars="200"/>
        <w:rPr>
          <w:rFonts w:hint="eastAsia" w:ascii="宋体" w:hAnsi="宋体" w:eastAsia="宋体" w:cs="宋体"/>
          <w:color w:val="FF0000"/>
          <w:sz w:val="21"/>
          <w:szCs w:val="21"/>
        </w:rPr>
      </w:pPr>
      <w:r>
        <w:rPr>
          <w:rFonts w:hint="eastAsia" w:ascii="宋体" w:hAnsi="宋体" w:eastAsia="宋体" w:cs="宋体"/>
          <w:color w:val="FF0000"/>
          <w:sz w:val="21"/>
          <w:szCs w:val="21"/>
        </w:rPr>
        <w:t>（四）以非法手段排斥其他供应商参与竞争的；</w:t>
      </w:r>
    </w:p>
    <w:p w14:paraId="003F379F">
      <w:pPr>
        <w:ind w:firstLine="420" w:firstLineChars="200"/>
        <w:rPr>
          <w:rFonts w:hint="eastAsia" w:ascii="宋体" w:hAnsi="宋体" w:eastAsia="宋体" w:cs="宋体"/>
          <w:color w:val="FF0000"/>
          <w:sz w:val="21"/>
          <w:szCs w:val="21"/>
        </w:rPr>
      </w:pPr>
      <w:r>
        <w:rPr>
          <w:rFonts w:hint="eastAsia" w:ascii="宋体" w:hAnsi="宋体" w:eastAsia="宋体" w:cs="宋体"/>
          <w:color w:val="FF0000"/>
          <w:sz w:val="21"/>
          <w:szCs w:val="21"/>
        </w:rPr>
        <w:t>（五）与其他采购参加人串通投标的；</w:t>
      </w:r>
    </w:p>
    <w:p w14:paraId="618FD522">
      <w:pPr>
        <w:ind w:firstLine="420" w:firstLineChars="200"/>
        <w:rPr>
          <w:rFonts w:hint="eastAsia" w:ascii="宋体" w:hAnsi="宋体" w:eastAsia="宋体" w:cs="宋体"/>
          <w:color w:val="FF0000"/>
          <w:sz w:val="21"/>
          <w:szCs w:val="21"/>
        </w:rPr>
      </w:pPr>
      <w:r>
        <w:rPr>
          <w:rFonts w:hint="eastAsia" w:ascii="宋体" w:hAnsi="宋体" w:eastAsia="宋体" w:cs="宋体"/>
          <w:color w:val="FF0000"/>
          <w:sz w:val="21"/>
          <w:szCs w:val="21"/>
        </w:rPr>
        <w:t>（六）恶意投诉的；</w:t>
      </w:r>
    </w:p>
    <w:p w14:paraId="44E78F7E">
      <w:pPr>
        <w:ind w:firstLine="420" w:firstLineChars="200"/>
        <w:rPr>
          <w:rFonts w:hint="eastAsia" w:ascii="宋体" w:hAnsi="宋体" w:eastAsia="宋体" w:cs="宋体"/>
          <w:color w:val="FF0000"/>
          <w:sz w:val="21"/>
          <w:szCs w:val="21"/>
        </w:rPr>
      </w:pPr>
      <w:r>
        <w:rPr>
          <w:rFonts w:hint="eastAsia" w:ascii="宋体" w:hAnsi="宋体" w:eastAsia="宋体" w:cs="宋体"/>
          <w:color w:val="FF0000"/>
          <w:sz w:val="21"/>
          <w:szCs w:val="21"/>
        </w:rPr>
        <w:t>（七）向采购项目相关人行贿或者提供其他不当利益的；</w:t>
      </w:r>
    </w:p>
    <w:p w14:paraId="32A79014">
      <w:pPr>
        <w:ind w:firstLine="420" w:firstLineChars="200"/>
        <w:rPr>
          <w:rFonts w:hint="eastAsia" w:ascii="宋体" w:hAnsi="宋体" w:eastAsia="宋体" w:cs="宋体"/>
          <w:color w:val="FF0000"/>
          <w:sz w:val="21"/>
          <w:szCs w:val="21"/>
        </w:rPr>
      </w:pPr>
      <w:r>
        <w:rPr>
          <w:rFonts w:hint="eastAsia" w:ascii="宋体" w:hAnsi="宋体" w:eastAsia="宋体" w:cs="宋体"/>
          <w:color w:val="FF0000"/>
          <w:sz w:val="21"/>
          <w:szCs w:val="21"/>
        </w:rPr>
        <w:t>（八）阻碍、抗拒主管部门监督检查的；</w:t>
      </w:r>
    </w:p>
    <w:p w14:paraId="525109D6">
      <w:pPr>
        <w:ind w:firstLine="420" w:firstLineChars="200"/>
        <w:rPr>
          <w:rFonts w:hint="eastAsia" w:ascii="宋体" w:hAnsi="宋体" w:eastAsia="宋体" w:cs="宋体"/>
          <w:color w:val="FF0000"/>
          <w:sz w:val="21"/>
          <w:szCs w:val="21"/>
        </w:rPr>
      </w:pPr>
      <w:r>
        <w:rPr>
          <w:rFonts w:hint="eastAsia" w:ascii="宋体" w:hAnsi="宋体" w:eastAsia="宋体" w:cs="宋体"/>
          <w:color w:val="FF0000"/>
          <w:sz w:val="21"/>
          <w:szCs w:val="21"/>
        </w:rPr>
        <w:t>（九）其他违反本条例规定的行为。</w:t>
      </w:r>
    </w:p>
    <w:p w14:paraId="326C8E2D">
      <w:pPr>
        <w:ind w:firstLine="420" w:firstLineChars="200"/>
        <w:rPr>
          <w:rFonts w:hint="eastAsia" w:ascii="宋体" w:hAnsi="宋体" w:eastAsia="宋体" w:cs="宋体"/>
          <w:color w:val="FF0000"/>
          <w:sz w:val="21"/>
          <w:szCs w:val="21"/>
        </w:rPr>
      </w:pPr>
      <w:r>
        <w:rPr>
          <w:rFonts w:hint="eastAsia" w:ascii="宋体" w:hAnsi="宋体" w:eastAsia="宋体" w:cs="宋体"/>
          <w:b/>
          <w:bCs/>
          <w:color w:val="FF0000"/>
          <w:sz w:val="21"/>
          <w:szCs w:val="21"/>
        </w:rPr>
        <w:t>二、《深圳经济特区政府采购条例实施细则》第七十五条 </w:t>
      </w:r>
      <w:r>
        <w:rPr>
          <w:rFonts w:hint="eastAsia" w:ascii="宋体" w:hAnsi="宋体" w:eastAsia="宋体" w:cs="宋体"/>
          <w:color w:val="FF0000"/>
          <w:sz w:val="21"/>
          <w:szCs w:val="21"/>
          <w:highlight w:val="yellow"/>
        </w:rPr>
        <w:t>供应商有下列情形的，属于采购条例所称的串通投标行为</w:t>
      </w:r>
      <w:r>
        <w:rPr>
          <w:rFonts w:hint="eastAsia" w:ascii="宋体" w:hAnsi="宋体" w:eastAsia="宋体" w:cs="宋体"/>
          <w:color w:val="FF0000"/>
          <w:sz w:val="21"/>
          <w:szCs w:val="21"/>
        </w:rPr>
        <w:t>，按照采购条例第五十七条有关规定处理：（一）投标供应商之间相互约定给予未中标的供应商利益补偿；（二）不同投标供应商的法定代表人、主要经营负责人、项目投标授权代表人、项目负责人、主要技术人员为同一人、属同一单位或者在同一单位缴纳社会保险；（三）不同投标供应商的投标文件由同一单位或者同一人编制，或者由同一人分阶段参与编制的；（四）不同投标供应商的投标文件或部分投标文件相互混装；（五）不同投标供应商的投标文件内容存在非正常一致；（六）由同一单位工作人员为两家以上（含两家）供应商进行同一项投标活动的；（七）主管部门依照法律、法规认定的其他情形。</w:t>
      </w:r>
    </w:p>
    <w:p w14:paraId="6C12FC1B">
      <w:pPr>
        <w:ind w:firstLine="420" w:firstLineChars="200"/>
        <w:rPr>
          <w:rFonts w:hint="eastAsia" w:ascii="宋体" w:hAnsi="宋体" w:eastAsia="宋体" w:cs="宋体"/>
          <w:color w:val="FF0000"/>
          <w:sz w:val="21"/>
          <w:szCs w:val="21"/>
        </w:rPr>
      </w:pPr>
      <w:r>
        <w:rPr>
          <w:rFonts w:hint="eastAsia" w:ascii="宋体" w:hAnsi="宋体" w:eastAsia="宋体" w:cs="宋体"/>
          <w:b/>
          <w:bCs/>
          <w:color w:val="FF0000"/>
          <w:sz w:val="21"/>
          <w:szCs w:val="21"/>
        </w:rPr>
        <w:t>三、《深圳经济特区政府采购条例实施细则》第七十七条 </w:t>
      </w:r>
      <w:r>
        <w:rPr>
          <w:rFonts w:hint="eastAsia" w:ascii="宋体" w:hAnsi="宋体" w:eastAsia="宋体" w:cs="宋体"/>
          <w:color w:val="FF0000"/>
          <w:sz w:val="21"/>
          <w:szCs w:val="21"/>
        </w:rPr>
        <w:t>供应商有下列情形之一的，属于隐瞒真实情况，提供虚假资料，按照采购条例第五十七的有关规定处理：（一）通过转让或者租借等方式从其他单位获取资格或者资质证书投标的；（二）由其他单位或者其他单位负责人在投标供应商编制的投标文件上加盖印章或者签字的；（三）项目负责人或者主要技术人员不是本单位人员的；（四）投标保证金不是从投标供应商基本账户转出的；（五）其他隐瞒真实情况、提供虚假资料的行为。</w:t>
      </w:r>
    </w:p>
    <w:p w14:paraId="2561A68B">
      <w:pPr>
        <w:ind w:firstLine="420" w:firstLineChars="200"/>
        <w:rPr>
          <w:rFonts w:hint="eastAsia" w:ascii="宋体" w:hAnsi="宋体" w:eastAsia="宋体" w:cs="宋体"/>
          <w:color w:val="FF0000"/>
          <w:sz w:val="21"/>
          <w:szCs w:val="21"/>
        </w:rPr>
      </w:pPr>
      <w:r>
        <w:rPr>
          <w:rFonts w:hint="eastAsia" w:ascii="宋体" w:hAnsi="宋体" w:eastAsia="宋体" w:cs="宋体"/>
          <w:color w:val="FF0000"/>
          <w:sz w:val="21"/>
          <w:szCs w:val="21"/>
        </w:rPr>
        <w:t>投标供应商不能提供项目负责人或者主要技术人员的劳动合同、社会保险等劳动关系证明材料的，视为存在前款第（三）项规定的情形。</w:t>
      </w:r>
    </w:p>
    <w:p w14:paraId="7A8CD3CC">
      <w:pPr>
        <w:ind w:firstLine="420" w:firstLineChars="200"/>
        <w:rPr>
          <w:rFonts w:hint="eastAsia" w:ascii="宋体" w:hAnsi="宋体" w:eastAsia="宋体" w:cs="宋体"/>
          <w:b/>
          <w:color w:val="FF0000"/>
          <w:sz w:val="21"/>
          <w:szCs w:val="21"/>
        </w:rPr>
      </w:pPr>
      <w:r>
        <w:rPr>
          <w:rFonts w:hint="eastAsia" w:ascii="宋体" w:hAnsi="宋体" w:eastAsia="宋体" w:cs="宋体"/>
          <w:b/>
          <w:color w:val="FF0000"/>
          <w:sz w:val="21"/>
          <w:szCs w:val="21"/>
        </w:rPr>
        <w:t xml:space="preserve"> 四、请投标供应商阅读《政府采购违法行为风险知悉确认书》（内容详见“投标文件附件（信息不公开部分）”中节点“投标人认为需要加以说明的其他内容（格式自定）”），并经各投标供应商负责人或投标授权代表签字并加盖单位公章后，扫描上传至投标文件一并提交。注：该风险知悉确认书用于对供应商违法行为的警示，不作为供应商资格性审查及符合性审查条件。</w:t>
      </w:r>
    </w:p>
    <w:p w14:paraId="0D5787EC">
      <w:pPr>
        <w:ind w:firstLine="420" w:firstLineChars="200"/>
        <w:rPr>
          <w:rFonts w:hint="eastAsia" w:ascii="宋体" w:hAnsi="宋体" w:eastAsia="宋体" w:cs="宋体"/>
          <w:bCs/>
          <w:color w:val="FF0000"/>
          <w:sz w:val="21"/>
          <w:szCs w:val="21"/>
        </w:rPr>
      </w:pPr>
      <w:r>
        <w:rPr>
          <w:rFonts w:hint="eastAsia" w:ascii="宋体" w:hAnsi="宋体" w:eastAsia="宋体" w:cs="宋体"/>
          <w:bCs/>
          <w:color w:val="FF0000"/>
          <w:sz w:val="21"/>
          <w:szCs w:val="21"/>
        </w:rPr>
        <w:t>五、供应商在使用深圳政府采购智慧平台的投标文件制作工具创建投标文件时，该工具将自动在投标文件中记录文件创建标识码，同时提取投标文件制作电脑的网卡MAC地址、硬盘序列号、CPU 序列号、主板序列号和工具标识号，经加密生成文件制作机器码并在投标文件中记录。文件制作机器码一致表明不同供应商使用了同一设备编制投标文件，文件创建标识码一致表明不同供应商的投标文件为同一份文件，IP 地址一致表明上传投标文件时使用了相同的网络。</w:t>
      </w:r>
    </w:p>
    <w:p w14:paraId="57245DAA">
      <w:pPr>
        <w:ind w:firstLine="420" w:firstLineChars="200"/>
        <w:rPr>
          <w:rFonts w:hint="eastAsia" w:ascii="宋体" w:hAnsi="宋体" w:eastAsia="宋体" w:cs="宋体"/>
          <w:bCs/>
          <w:color w:val="FF0000"/>
          <w:sz w:val="21"/>
          <w:szCs w:val="21"/>
        </w:rPr>
      </w:pPr>
      <w:r>
        <w:rPr>
          <w:rFonts w:hint="eastAsia" w:ascii="宋体" w:hAnsi="宋体" w:eastAsia="宋体" w:cs="宋体"/>
          <w:bCs/>
          <w:color w:val="FF0000"/>
          <w:sz w:val="21"/>
          <w:szCs w:val="21"/>
        </w:rPr>
        <w:t>为避免出现不同供应商投标文件的文件制作机器码、文件创建标识码、IP 地址一致的异常情况，建议各供应商编制、上传投标文件时不要使用公共电脑设备或公共网络。</w:t>
      </w:r>
    </w:p>
    <w:p w14:paraId="4F43A376">
      <w:pPr>
        <w:ind w:firstLine="420" w:firstLineChars="200"/>
        <w:rPr>
          <w:rFonts w:hint="eastAsia" w:ascii="宋体" w:hAnsi="宋体" w:eastAsia="宋体" w:cs="宋体"/>
          <w:bCs/>
          <w:color w:val="FF0000"/>
          <w:sz w:val="21"/>
          <w:szCs w:val="21"/>
        </w:rPr>
      </w:pPr>
      <w:r>
        <w:rPr>
          <w:rFonts w:hint="eastAsia" w:ascii="宋体" w:hAnsi="宋体" w:eastAsia="宋体" w:cs="宋体"/>
          <w:bCs/>
          <w:color w:val="FF0000"/>
          <w:sz w:val="21"/>
          <w:szCs w:val="21"/>
        </w:rPr>
        <w:t>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的行政处罚，请各供应商独立编制、上传投标文件，妥善保管和使用电子秘钥。</w:t>
      </w:r>
    </w:p>
    <w:p w14:paraId="65510D01">
      <w:pPr>
        <w:pStyle w:val="5"/>
        <w:jc w:val="both"/>
        <w:rPr>
          <w:rFonts w:hint="eastAsia" w:ascii="宋体" w:hAnsi="宋体" w:eastAsia="宋体"/>
          <w:b/>
          <w:bCs/>
          <w:color w:val="auto"/>
        </w:rPr>
      </w:pPr>
      <w:r>
        <w:br w:type="page"/>
      </w:r>
      <w:r>
        <w:rPr>
          <w:rFonts w:hint="eastAsia" w:ascii="宋体" w:hAnsi="宋体" w:eastAsia="宋体"/>
          <w:b/>
          <w:bCs/>
          <w:color w:val="auto"/>
        </w:rPr>
        <w:t>目   录</w:t>
      </w:r>
    </w:p>
    <w:p w14:paraId="0A266ED6">
      <w:pPr>
        <w:rPr>
          <w:rFonts w:hint="eastAsia" w:ascii="宋体" w:hAnsi="宋体" w:eastAsia="宋体"/>
          <w:b/>
          <w:bCs/>
          <w:sz w:val="21"/>
          <w:szCs w:val="21"/>
        </w:rPr>
      </w:pPr>
      <w:r>
        <w:rPr>
          <w:rFonts w:hint="eastAsia" w:ascii="宋体" w:hAnsi="宋体" w:eastAsia="宋体"/>
          <w:b/>
          <w:bCs/>
          <w:sz w:val="21"/>
          <w:szCs w:val="21"/>
        </w:rPr>
        <w:t>第一册  专用条款</w:t>
      </w:r>
    </w:p>
    <w:p w14:paraId="2EA74384">
      <w:pPr>
        <w:ind w:firstLine="960" w:firstLineChars="400"/>
        <w:rPr>
          <w:sz w:val="24"/>
        </w:rPr>
      </w:pPr>
      <w:r>
        <w:rPr>
          <w:rFonts w:hint="eastAsia"/>
          <w:sz w:val="24"/>
        </w:rPr>
        <w:t>关键信息</w:t>
      </w:r>
    </w:p>
    <w:p w14:paraId="1254766C">
      <w:pPr>
        <w:ind w:left="630" w:leftChars="300" w:firstLine="630" w:firstLineChars="300"/>
        <w:rPr>
          <w:rFonts w:ascii="宋体" w:hAnsi="宋体"/>
          <w:szCs w:val="21"/>
        </w:rPr>
      </w:pPr>
      <w:r>
        <w:rPr>
          <w:rFonts w:hint="eastAsia" w:ascii="宋体" w:hAnsi="宋体"/>
          <w:szCs w:val="21"/>
        </w:rPr>
        <w:t>第一章  招标公告</w:t>
      </w:r>
    </w:p>
    <w:p w14:paraId="16B45F18">
      <w:pPr>
        <w:ind w:left="630" w:leftChars="300" w:firstLine="630" w:firstLineChars="300"/>
        <w:rPr>
          <w:rFonts w:ascii="宋体" w:hAnsi="宋体"/>
          <w:szCs w:val="21"/>
        </w:rPr>
      </w:pPr>
      <w:r>
        <w:rPr>
          <w:rFonts w:hint="eastAsia" w:ascii="宋体" w:hAnsi="宋体"/>
          <w:szCs w:val="21"/>
        </w:rPr>
        <w:t xml:space="preserve">第二章  </w:t>
      </w:r>
      <w:bookmarkStart w:id="10" w:name="_Hlk71994379"/>
      <w:r>
        <w:rPr>
          <w:rFonts w:hint="eastAsia" w:ascii="宋体" w:hAnsi="宋体"/>
          <w:szCs w:val="21"/>
        </w:rPr>
        <w:t>对通用条款的补充内容及其他关键信息</w:t>
      </w:r>
      <w:bookmarkEnd w:id="10"/>
    </w:p>
    <w:p w14:paraId="4F6766F5">
      <w:pPr>
        <w:ind w:left="630" w:leftChars="300" w:firstLine="630" w:firstLineChars="300"/>
        <w:rPr>
          <w:rFonts w:ascii="宋体" w:hAnsi="宋体"/>
          <w:szCs w:val="21"/>
        </w:rPr>
      </w:pPr>
      <w:r>
        <w:rPr>
          <w:rFonts w:hint="eastAsia" w:ascii="宋体" w:hAnsi="宋体"/>
          <w:szCs w:val="21"/>
        </w:rPr>
        <w:t xml:space="preserve">第三章 </w:t>
      </w:r>
      <w:r>
        <w:rPr>
          <w:rFonts w:ascii="宋体" w:hAnsi="宋体"/>
          <w:szCs w:val="21"/>
        </w:rPr>
        <w:t xml:space="preserve"> </w:t>
      </w:r>
      <w:r>
        <w:rPr>
          <w:rFonts w:hint="eastAsia" w:ascii="宋体" w:hAnsi="宋体"/>
          <w:szCs w:val="21"/>
        </w:rPr>
        <w:t>用户需求书</w:t>
      </w:r>
    </w:p>
    <w:p w14:paraId="71B7F52D">
      <w:pPr>
        <w:ind w:left="630" w:leftChars="300" w:firstLine="630" w:firstLineChars="300"/>
        <w:rPr>
          <w:rFonts w:ascii="宋体" w:hAnsi="宋体"/>
          <w:szCs w:val="21"/>
        </w:rPr>
      </w:pPr>
      <w:r>
        <w:rPr>
          <w:rFonts w:hint="eastAsia" w:ascii="宋体" w:hAnsi="宋体"/>
          <w:szCs w:val="21"/>
        </w:rPr>
        <w:t xml:space="preserve">第四章 </w:t>
      </w:r>
      <w:r>
        <w:rPr>
          <w:rFonts w:ascii="宋体" w:hAnsi="宋体"/>
          <w:szCs w:val="21"/>
        </w:rPr>
        <w:t xml:space="preserve"> </w:t>
      </w:r>
      <w:r>
        <w:rPr>
          <w:rFonts w:hint="eastAsia" w:ascii="宋体" w:hAnsi="宋体"/>
          <w:szCs w:val="21"/>
        </w:rPr>
        <w:t>投标文件组成要求及格式</w:t>
      </w:r>
    </w:p>
    <w:p w14:paraId="090AAFC0">
      <w:pPr>
        <w:ind w:left="630" w:leftChars="300" w:firstLine="630" w:firstLineChars="300"/>
        <w:rPr>
          <w:rFonts w:ascii="宋体" w:hAnsi="宋体"/>
          <w:szCs w:val="21"/>
        </w:rPr>
      </w:pPr>
      <w:r>
        <w:rPr>
          <w:rFonts w:hint="eastAsia" w:ascii="宋体" w:hAnsi="宋体"/>
          <w:szCs w:val="21"/>
        </w:rPr>
        <w:t>第五章  合同条款及格式</w:t>
      </w:r>
    </w:p>
    <w:p w14:paraId="20D45D80">
      <w:pPr>
        <w:rPr>
          <w:b/>
          <w:sz w:val="24"/>
        </w:rPr>
      </w:pPr>
    </w:p>
    <w:p w14:paraId="140D8383">
      <w:pPr>
        <w:rPr>
          <w:rFonts w:hint="eastAsia" w:ascii="宋体" w:hAnsi="宋体" w:eastAsia="宋体"/>
          <w:b/>
          <w:bCs/>
          <w:sz w:val="21"/>
          <w:szCs w:val="21"/>
        </w:rPr>
      </w:pPr>
      <w:r>
        <w:rPr>
          <w:rFonts w:hint="eastAsia" w:ascii="宋体" w:hAnsi="宋体" w:eastAsia="宋体"/>
          <w:b/>
          <w:bCs/>
          <w:sz w:val="21"/>
          <w:szCs w:val="21"/>
        </w:rPr>
        <w:t>第二册  通用条款</w:t>
      </w:r>
    </w:p>
    <w:p w14:paraId="33218452">
      <w:pPr>
        <w:ind w:left="630" w:leftChars="300" w:firstLine="411" w:firstLineChars="196"/>
        <w:rPr>
          <w:rFonts w:ascii="宋体" w:hAnsi="宋体"/>
          <w:szCs w:val="21"/>
        </w:rPr>
      </w:pPr>
      <w:r>
        <w:rPr>
          <w:rFonts w:hint="eastAsia" w:ascii="宋体" w:hAnsi="宋体"/>
          <w:szCs w:val="21"/>
        </w:rPr>
        <w:t>第一章  总则</w:t>
      </w:r>
    </w:p>
    <w:p w14:paraId="4E1250D1">
      <w:pPr>
        <w:ind w:left="630" w:leftChars="300" w:firstLine="411" w:firstLineChars="196"/>
        <w:rPr>
          <w:rFonts w:ascii="宋体" w:hAnsi="宋体"/>
          <w:szCs w:val="21"/>
        </w:rPr>
      </w:pPr>
      <w:r>
        <w:rPr>
          <w:rFonts w:hint="eastAsia" w:ascii="宋体" w:hAnsi="宋体"/>
          <w:szCs w:val="21"/>
        </w:rPr>
        <w:t>第二章  招标文件</w:t>
      </w:r>
    </w:p>
    <w:p w14:paraId="0C34D0B0">
      <w:pPr>
        <w:ind w:left="630" w:leftChars="300" w:firstLine="411" w:firstLineChars="196"/>
        <w:rPr>
          <w:rFonts w:ascii="宋体" w:hAnsi="宋体"/>
          <w:szCs w:val="21"/>
        </w:rPr>
      </w:pPr>
      <w:r>
        <w:rPr>
          <w:rFonts w:hint="eastAsia" w:ascii="宋体" w:hAnsi="宋体"/>
          <w:szCs w:val="21"/>
        </w:rPr>
        <w:t>第三章  投标文件的编制</w:t>
      </w:r>
    </w:p>
    <w:p w14:paraId="1C8D4111">
      <w:pPr>
        <w:ind w:left="630" w:leftChars="300" w:firstLine="411" w:firstLineChars="196"/>
        <w:rPr>
          <w:rFonts w:ascii="宋体" w:hAnsi="宋体"/>
          <w:szCs w:val="21"/>
        </w:rPr>
      </w:pPr>
      <w:r>
        <w:rPr>
          <w:rFonts w:hint="eastAsia" w:ascii="宋体" w:hAnsi="宋体"/>
          <w:szCs w:val="21"/>
        </w:rPr>
        <w:t>第四章  投标文件的递交</w:t>
      </w:r>
    </w:p>
    <w:p w14:paraId="0E7F33F5">
      <w:pPr>
        <w:ind w:left="630" w:leftChars="300" w:firstLine="411" w:firstLineChars="196"/>
        <w:rPr>
          <w:rFonts w:ascii="宋体" w:hAnsi="宋体"/>
          <w:szCs w:val="21"/>
        </w:rPr>
      </w:pPr>
      <w:r>
        <w:rPr>
          <w:rFonts w:hint="eastAsia" w:ascii="宋体" w:hAnsi="宋体"/>
          <w:szCs w:val="21"/>
        </w:rPr>
        <w:t>第五章  开标</w:t>
      </w:r>
    </w:p>
    <w:p w14:paraId="7919D6EE">
      <w:pPr>
        <w:ind w:left="630" w:leftChars="300" w:firstLine="411" w:firstLineChars="196"/>
        <w:rPr>
          <w:rFonts w:ascii="宋体" w:hAnsi="宋体"/>
          <w:szCs w:val="21"/>
        </w:rPr>
      </w:pPr>
      <w:r>
        <w:rPr>
          <w:rFonts w:hint="eastAsia" w:ascii="宋体" w:hAnsi="宋体"/>
          <w:szCs w:val="21"/>
        </w:rPr>
        <w:t>第六章  评审要求</w:t>
      </w:r>
    </w:p>
    <w:p w14:paraId="1458D731">
      <w:pPr>
        <w:ind w:left="630" w:leftChars="300" w:firstLine="411" w:firstLineChars="196"/>
        <w:rPr>
          <w:rFonts w:ascii="宋体" w:hAnsi="宋体"/>
          <w:szCs w:val="21"/>
        </w:rPr>
      </w:pPr>
      <w:r>
        <w:rPr>
          <w:rFonts w:hint="eastAsia" w:ascii="宋体" w:hAnsi="宋体"/>
          <w:szCs w:val="21"/>
        </w:rPr>
        <w:t>第七章  评审程序及评审方法</w:t>
      </w:r>
    </w:p>
    <w:p w14:paraId="55BBD6BE">
      <w:pPr>
        <w:ind w:left="630" w:leftChars="300" w:firstLine="411" w:firstLineChars="196"/>
        <w:rPr>
          <w:rFonts w:ascii="宋体" w:hAnsi="宋体"/>
          <w:szCs w:val="21"/>
        </w:rPr>
      </w:pPr>
      <w:r>
        <w:rPr>
          <w:rFonts w:hint="eastAsia" w:ascii="宋体" w:hAnsi="宋体"/>
          <w:szCs w:val="21"/>
        </w:rPr>
        <w:t>第八章  定标及公示</w:t>
      </w:r>
    </w:p>
    <w:p w14:paraId="78A6D22F">
      <w:pPr>
        <w:ind w:left="630" w:leftChars="300" w:firstLine="411" w:firstLineChars="196"/>
        <w:rPr>
          <w:rFonts w:ascii="宋体" w:hAnsi="宋体"/>
          <w:szCs w:val="21"/>
        </w:rPr>
      </w:pPr>
      <w:r>
        <w:rPr>
          <w:rFonts w:hint="eastAsia" w:ascii="宋体" w:hAnsi="宋体"/>
          <w:szCs w:val="21"/>
        </w:rPr>
        <w:t>第九章  公开招标失败的后续处理</w:t>
      </w:r>
    </w:p>
    <w:p w14:paraId="134F5916">
      <w:pPr>
        <w:ind w:left="630" w:leftChars="300" w:firstLine="411" w:firstLineChars="196"/>
        <w:rPr>
          <w:rFonts w:hint="eastAsia" w:ascii="宋体" w:hAnsi="宋体"/>
          <w:szCs w:val="21"/>
        </w:rPr>
      </w:pPr>
      <w:r>
        <w:rPr>
          <w:rFonts w:hint="eastAsia" w:ascii="宋体" w:hAnsi="宋体"/>
          <w:szCs w:val="21"/>
        </w:rPr>
        <w:t>第十章  合同的授予与备案</w:t>
      </w:r>
    </w:p>
    <w:p w14:paraId="08E60137">
      <w:pPr>
        <w:ind w:left="630" w:leftChars="300" w:firstLine="411" w:firstLineChars="196"/>
        <w:rPr>
          <w:b/>
          <w:sz w:val="24"/>
        </w:rPr>
      </w:pPr>
      <w:r>
        <w:rPr>
          <w:rFonts w:hint="eastAsia" w:ascii="宋体" w:hAnsi="宋体"/>
          <w:szCs w:val="21"/>
        </w:rPr>
        <w:t>第十一章  质疑处理</w:t>
      </w:r>
    </w:p>
    <w:p w14:paraId="1F6BA65C">
      <w:pPr>
        <w:ind w:firstLine="120" w:firstLineChars="50"/>
        <w:rPr>
          <w:sz w:val="24"/>
        </w:rPr>
      </w:pPr>
    </w:p>
    <w:p w14:paraId="3D9CE6E4">
      <w:pPr>
        <w:ind w:firstLine="240" w:firstLineChars="100"/>
        <w:rPr>
          <w:sz w:val="24"/>
        </w:rPr>
      </w:pPr>
    </w:p>
    <w:p w14:paraId="012BC491">
      <w:pPr>
        <w:rPr>
          <w:color w:val="000000"/>
          <w:sz w:val="24"/>
        </w:rPr>
      </w:pPr>
    </w:p>
    <w:p w14:paraId="4F7795CC">
      <w:pPr>
        <w:rPr>
          <w:color w:val="000000"/>
          <w:sz w:val="24"/>
        </w:rPr>
      </w:pPr>
      <w:bookmarkStart w:id="11" w:name="bt投标人须知"/>
      <w:bookmarkEnd w:id="11"/>
      <w:bookmarkStart w:id="12" w:name="bt说明"/>
      <w:bookmarkEnd w:id="12"/>
    </w:p>
    <w:p w14:paraId="7C244282">
      <w:pPr>
        <w:rPr>
          <w:rFonts w:ascii="Verdana" w:hAnsi="Verdana" w:eastAsia="仿宋_GB2312"/>
          <w:kern w:val="0"/>
          <w:sz w:val="24"/>
          <w:szCs w:val="20"/>
        </w:rPr>
        <w:sectPr>
          <w:pgSz w:w="11906" w:h="16838"/>
          <w:pgMar w:top="720" w:right="1417" w:bottom="720" w:left="1417" w:header="851" w:footer="992" w:gutter="0"/>
          <w:cols w:space="720" w:num="1"/>
          <w:docGrid w:type="lines" w:linePitch="312" w:charSpace="0"/>
        </w:sectPr>
      </w:pPr>
    </w:p>
    <w:p w14:paraId="7EA362C4">
      <w:pPr>
        <w:pStyle w:val="4"/>
      </w:pPr>
      <w:r>
        <w:rPr>
          <w:rFonts w:hint="eastAsia"/>
        </w:rPr>
        <w:t>第一册  专用条款</w:t>
      </w:r>
    </w:p>
    <w:p w14:paraId="28504623">
      <w:pPr>
        <w:pStyle w:val="5"/>
        <w:spacing w:before="0" w:after="0"/>
        <w:textAlignment w:val="baseline"/>
        <w:rPr>
          <w:rFonts w:hint="eastAsia" w:ascii="黑体" w:hAnsi="黑体" w:eastAsia="黑体" w:cs="黑体"/>
          <w:b w:val="0"/>
          <w:bCs w:val="0"/>
          <w:sz w:val="28"/>
          <w:szCs w:val="28"/>
        </w:rPr>
      </w:pPr>
      <w:r>
        <w:rPr>
          <w:rFonts w:hint="eastAsia" w:ascii="黑体" w:hAnsi="黑体" w:eastAsia="黑体" w:cs="黑体"/>
          <w:b w:val="0"/>
          <w:bCs w:val="0"/>
          <w:sz w:val="28"/>
          <w:szCs w:val="28"/>
          <w:lang w:val="en-US" w:eastAsia="zh-CN"/>
        </w:rPr>
        <w:t>第一章</w:t>
      </w:r>
      <w:r>
        <w:rPr>
          <w:rFonts w:hint="eastAsia" w:ascii="黑体" w:hAnsi="黑体" w:eastAsia="黑体" w:cs="黑体"/>
          <w:b w:val="0"/>
          <w:bCs w:val="0"/>
          <w:sz w:val="28"/>
          <w:szCs w:val="28"/>
        </w:rPr>
        <w:t xml:space="preserve"> 招标公告</w:t>
      </w:r>
    </w:p>
    <w:p w14:paraId="67D3BAD6">
      <w:pPr>
        <w:keepNext w:val="0"/>
        <w:keepLines w:val="0"/>
        <w:pageBreakBefore w:val="0"/>
        <w:widowControl w:val="0"/>
        <w:kinsoku/>
        <w:overflowPunct/>
        <w:topLinePunct w:val="0"/>
        <w:autoSpaceDE/>
        <w:autoSpaceDN/>
        <w:bidi w:val="0"/>
        <w:adjustRightInd/>
        <w:snapToGrid/>
        <w:spacing w:beforeAutospacing="0" w:afterAutospacing="0" w:line="288" w:lineRule="auto"/>
        <w:textAlignment w:val="auto"/>
        <w:rPr>
          <w:rFonts w:hint="eastAsia" w:ascii="宋体" w:hAnsi="宋体" w:eastAsia="宋体" w:cs="宋体"/>
          <w:b/>
          <w:bCs/>
          <w:kern w:val="0"/>
          <w:szCs w:val="21"/>
        </w:rPr>
      </w:pPr>
      <w:r>
        <w:rPr>
          <w:rFonts w:hint="eastAsia" w:ascii="宋体" w:hAnsi="宋体" w:eastAsia="宋体" w:cs="宋体"/>
          <w:b/>
          <w:bCs/>
          <w:kern w:val="0"/>
          <w:szCs w:val="21"/>
        </w:rPr>
        <w:t>申请人的资格要求：</w:t>
      </w:r>
    </w:p>
    <w:p w14:paraId="46D9C865">
      <w:pPr>
        <w:spacing w:line="340" w:lineRule="exact"/>
        <w:ind w:firstLine="420" w:firstLineChars="200"/>
        <w:rPr>
          <w:rFonts w:hint="eastAsia" w:ascii="宋体" w:hAnsi="宋体" w:eastAsia="宋体" w:cs="宋体"/>
          <w:kern w:val="0"/>
          <w:szCs w:val="21"/>
          <w:highlight w:val="none"/>
        </w:rPr>
      </w:pPr>
      <w:r>
        <w:rPr>
          <w:rFonts w:hint="eastAsia" w:ascii="宋体" w:hAnsi="宋体" w:eastAsia="宋体" w:cs="宋体"/>
          <w:kern w:val="0"/>
          <w:szCs w:val="21"/>
          <w:highlight w:val="none"/>
        </w:rPr>
        <w:t>1.具有独立承担民事责任的能力（提供营业执照或事业单位法人证书等证明资料</w:t>
      </w:r>
      <w:r>
        <w:rPr>
          <w:rFonts w:hint="eastAsia" w:ascii="宋体" w:hAnsi="宋体" w:eastAsia="宋体" w:cs="宋体"/>
          <w:kern w:val="0"/>
          <w:szCs w:val="21"/>
          <w:highlight w:val="none"/>
          <w:lang w:eastAsia="zh-CN"/>
        </w:rPr>
        <w:t>；</w:t>
      </w:r>
      <w:r>
        <w:rPr>
          <w:rFonts w:hint="eastAsia" w:ascii="宋体" w:hAnsi="宋体" w:eastAsia="宋体" w:cs="宋体"/>
          <w:kern w:val="0"/>
          <w:szCs w:val="21"/>
          <w:highlight w:val="none"/>
        </w:rPr>
        <w:t>分公司参与投标的，须提供分公司营业执照、其所属集团(或总公司)等具有独立法人资格的组织的营业执照及出具的载明愿为其参与本项目投标的行为以及履约等行为承担民事责任的加盖总公司公章的授权函，原件备查）；不接受同一集团（或总公司）授权两家或以上分公司同时参与本项目投标，也不接受集团（或总公司）与分公司同时参与本项目投标，如出现上述情形，该两家或以上供应商的投标文件均按无效投标处理；</w:t>
      </w:r>
    </w:p>
    <w:p w14:paraId="794E1816">
      <w:pPr>
        <w:spacing w:line="340" w:lineRule="exact"/>
        <w:ind w:firstLine="420" w:firstLineChars="200"/>
        <w:rPr>
          <w:rFonts w:hint="eastAsia" w:ascii="宋体" w:hAnsi="宋体" w:eastAsia="宋体" w:cs="宋体"/>
          <w:kern w:val="0"/>
          <w:szCs w:val="21"/>
          <w:highlight w:val="none"/>
        </w:rPr>
      </w:pPr>
      <w:r>
        <w:rPr>
          <w:rFonts w:hint="eastAsia" w:ascii="宋体" w:hAnsi="宋体" w:eastAsia="宋体" w:cs="宋体"/>
          <w:kern w:val="0"/>
          <w:szCs w:val="21"/>
          <w:highlight w:val="none"/>
        </w:rPr>
        <w:t>2.本项目不接受联合体投标，不接受投标人选用进口产品参与投标；</w:t>
      </w:r>
    </w:p>
    <w:p w14:paraId="456DAA56">
      <w:pPr>
        <w:spacing w:line="340" w:lineRule="exact"/>
        <w:ind w:firstLine="420" w:firstLineChars="200"/>
        <w:rPr>
          <w:rFonts w:hint="eastAsia" w:ascii="宋体" w:hAnsi="宋体" w:eastAsia="宋体" w:cs="宋体"/>
          <w:kern w:val="0"/>
          <w:szCs w:val="21"/>
          <w:highlight w:val="none"/>
        </w:rPr>
      </w:pPr>
      <w:r>
        <w:rPr>
          <w:rFonts w:hint="eastAsia" w:ascii="宋体" w:hAnsi="宋体" w:eastAsia="宋体" w:cs="宋体"/>
          <w:kern w:val="0"/>
          <w:szCs w:val="21"/>
          <w:highlight w:val="none"/>
        </w:rPr>
        <w:t>3.参与本项目政府采购活动时不存在被有关部门禁止参与政府采购活动且在有效期内的情况（由供应商在《政府采购投标及履约承诺函》中作出声明）；</w:t>
      </w:r>
    </w:p>
    <w:p w14:paraId="066E9B49">
      <w:pPr>
        <w:spacing w:line="340" w:lineRule="exact"/>
        <w:ind w:firstLine="420" w:firstLineChars="200"/>
        <w:rPr>
          <w:rFonts w:hint="eastAsia" w:ascii="宋体" w:hAnsi="宋体" w:eastAsia="宋体" w:cs="宋体"/>
          <w:kern w:val="0"/>
          <w:szCs w:val="21"/>
          <w:highlight w:val="none"/>
        </w:rPr>
      </w:pPr>
      <w:r>
        <w:rPr>
          <w:rFonts w:hint="eastAsia" w:ascii="宋体" w:hAnsi="宋体" w:eastAsia="宋体" w:cs="宋体"/>
          <w:kern w:val="0"/>
          <w:szCs w:val="21"/>
          <w:highlight w:val="none"/>
        </w:rPr>
        <w:t>4.具备《中华人民共和国政府采购法》第二十二条第一款的条件（由供应商在《政府采购投标及履约承诺函》中作出声明）；</w:t>
      </w:r>
    </w:p>
    <w:p w14:paraId="2E3688F9">
      <w:pPr>
        <w:spacing w:line="340" w:lineRule="exact"/>
        <w:ind w:firstLine="420" w:firstLineChars="200"/>
        <w:rPr>
          <w:rFonts w:hint="eastAsia" w:ascii="宋体" w:hAnsi="宋体" w:eastAsia="宋体" w:cs="宋体"/>
          <w:kern w:val="0"/>
          <w:szCs w:val="21"/>
          <w:highlight w:val="none"/>
        </w:rPr>
      </w:pPr>
      <w:r>
        <w:rPr>
          <w:rFonts w:hint="eastAsia" w:ascii="宋体" w:hAnsi="宋体" w:eastAsia="宋体" w:cs="宋体"/>
          <w:kern w:val="0"/>
          <w:szCs w:val="21"/>
          <w:highlight w:val="none"/>
        </w:rPr>
        <w:t>5.未被列入失信被执行人、重大税收违法案件当事人名单、政府采购严重违法失信行为记录名单（由供应商在《政府采购投标及履约承诺函》中作出声明）；</w:t>
      </w:r>
    </w:p>
    <w:p w14:paraId="0CF433F5">
      <w:pPr>
        <w:spacing w:line="340" w:lineRule="exact"/>
        <w:ind w:firstLine="420" w:firstLineChars="200"/>
        <w:rPr>
          <w:rFonts w:hint="eastAsia" w:ascii="宋体" w:hAnsi="宋体" w:eastAsia="宋体" w:cs="宋体"/>
          <w:color w:val="FF0000"/>
          <w:kern w:val="0"/>
          <w:szCs w:val="21"/>
          <w:highlight w:val="none"/>
        </w:rPr>
      </w:pPr>
      <w:r>
        <w:rPr>
          <w:rFonts w:hint="eastAsia" w:ascii="宋体" w:hAnsi="宋体" w:eastAsia="宋体" w:cs="宋体"/>
          <w:color w:val="FF0000"/>
          <w:kern w:val="0"/>
          <w:szCs w:val="21"/>
          <w:highlight w:val="none"/>
        </w:rPr>
        <w:t>6.不存在《深圳市财政局政府采购供应商信用信息管理办法》（深财规〔2023〕3号）列明的严重违法失信行为（由供应商在《政府采购投标及履约承诺函》中作出声明）；</w:t>
      </w:r>
    </w:p>
    <w:p w14:paraId="43F6DC3D">
      <w:pPr>
        <w:spacing w:line="300" w:lineRule="exact"/>
        <w:ind w:firstLine="420" w:firstLineChars="200"/>
        <w:rPr>
          <w:rFonts w:hint="eastAsia" w:ascii="宋体" w:hAnsi="宋体" w:eastAsia="宋体" w:cs="宋体"/>
          <w:color w:val="FF0000"/>
          <w:kern w:val="0"/>
          <w:szCs w:val="21"/>
          <w:lang w:eastAsia="zh-CN"/>
        </w:rPr>
      </w:pPr>
      <w:r>
        <w:rPr>
          <w:rFonts w:hint="eastAsia" w:ascii="宋体" w:hAnsi="宋体" w:eastAsia="宋体" w:cs="宋体"/>
          <w:kern w:val="0"/>
          <w:szCs w:val="21"/>
          <w:highlight w:val="none"/>
        </w:rPr>
        <w:t>7.单位负责人为同一人或者存在直接控股、管理关系的不同供应商，不得参加同一合同项下的政府采购活动；为采购项目提供整体设计、规范编制或者项目管理、监理、检测等服务的供应商，不得再参加该采购项目的其他采购活动（由供应商在《政府采购投标及履约承诺函》中作出声明）</w:t>
      </w:r>
      <w:r>
        <w:rPr>
          <w:rFonts w:hint="eastAsia" w:ascii="宋体" w:hAnsi="宋体" w:eastAsia="宋体" w:cs="宋体"/>
          <w:kern w:val="0"/>
          <w:szCs w:val="21"/>
          <w:lang w:eastAsia="zh-CN"/>
        </w:rPr>
        <w:t>。</w:t>
      </w:r>
    </w:p>
    <w:p w14:paraId="426FC932">
      <w:pPr>
        <w:pStyle w:val="199"/>
        <w:ind w:left="0" w:leftChars="0" w:firstLine="0" w:firstLineChars="0"/>
        <w:rPr>
          <w:rFonts w:hint="eastAsia" w:ascii="宋体" w:hAnsi="宋体" w:cs="宋体"/>
          <w:color w:val="FF0000"/>
          <w:kern w:val="0"/>
          <w:szCs w:val="21"/>
        </w:rPr>
      </w:pPr>
    </w:p>
    <w:p w14:paraId="656F67CF">
      <w:pPr>
        <w:keepNext w:val="0"/>
        <w:keepLines w:val="0"/>
        <w:pageBreakBefore w:val="0"/>
        <w:widowControl/>
        <w:numPr>
          <w:ilvl w:val="0"/>
          <w:numId w:val="0"/>
        </w:numPr>
        <w:kinsoku/>
        <w:wordWrap/>
        <w:overflowPunct/>
        <w:topLinePunct w:val="0"/>
        <w:autoSpaceDE/>
        <w:autoSpaceDN/>
        <w:bidi w:val="0"/>
        <w:adjustRightInd/>
        <w:snapToGrid/>
        <w:spacing w:line="300" w:lineRule="exact"/>
        <w:ind w:firstLine="420" w:firstLineChars="200"/>
        <w:jc w:val="both"/>
        <w:textAlignment w:val="auto"/>
        <w:rPr>
          <w:rFonts w:hint="eastAsia" w:ascii="宋体" w:hAnsi="宋体" w:eastAsia="宋体"/>
          <w:sz w:val="21"/>
          <w:szCs w:val="21"/>
        </w:rPr>
      </w:pPr>
      <w:r>
        <w:rPr>
          <w:rFonts w:hint="eastAsia" w:ascii="宋体" w:hAnsi="宋体"/>
          <w:sz w:val="21"/>
          <w:szCs w:val="21"/>
        </w:rPr>
        <w:t>注：（1）“信用中国”（www.creditchina.gov.cn，查询“信用服务”栏的“重大税收违法失信主体”“失信被执行人”或者下载信用信息报告），“中国政府采购网”（www.ccgp.gov.cn）中的“政府采购严重违法失信行为记录名单”，以及“深圳市政府采购监管网”（http://zfcg.sz.gov.cn）为供应商信用信息的查询渠道，相关信息以开标当日的查询结果为准；</w:t>
      </w:r>
      <w:r>
        <w:rPr>
          <w:rFonts w:hint="eastAsia" w:ascii="宋体" w:hAnsi="宋体"/>
          <w:sz w:val="21"/>
          <w:szCs w:val="21"/>
          <w:lang w:eastAsia="zh-CN"/>
        </w:rPr>
        <w:t>（</w:t>
      </w:r>
      <w:r>
        <w:rPr>
          <w:rFonts w:hint="eastAsia" w:ascii="宋体" w:hAnsi="宋体"/>
          <w:sz w:val="21"/>
          <w:szCs w:val="21"/>
          <w:lang w:val="en-US" w:eastAsia="zh-CN"/>
        </w:rPr>
        <w:t>2</w:t>
      </w:r>
      <w:r>
        <w:rPr>
          <w:rFonts w:hint="eastAsia" w:ascii="宋体" w:hAnsi="宋体"/>
          <w:sz w:val="21"/>
          <w:szCs w:val="21"/>
          <w:lang w:eastAsia="zh-CN"/>
        </w:rPr>
        <w:t>）</w:t>
      </w:r>
      <w:r>
        <w:rPr>
          <w:rFonts w:hint="eastAsia" w:ascii="宋体" w:hAnsi="宋体"/>
          <w:sz w:val="21"/>
          <w:szCs w:val="21"/>
        </w:rPr>
        <w:t>供应商投标（上传投标文件）必须先行办理注册手续，具体请按照本公告“六、其他补充事宜”相关内容指引办理</w:t>
      </w:r>
      <w:r>
        <w:rPr>
          <w:rFonts w:hint="eastAsia" w:ascii="宋体" w:hAnsi="宋体" w:eastAsia="宋体"/>
          <w:sz w:val="21"/>
          <w:szCs w:val="21"/>
        </w:rPr>
        <w:t>。</w:t>
      </w:r>
    </w:p>
    <w:p w14:paraId="054B65BD">
      <w:pPr>
        <w:keepNext w:val="0"/>
        <w:keepLines w:val="0"/>
        <w:pageBreakBefore w:val="0"/>
        <w:widowControl/>
        <w:numPr>
          <w:ilvl w:val="0"/>
          <w:numId w:val="0"/>
        </w:numPr>
        <w:kinsoku/>
        <w:wordWrap/>
        <w:overflowPunct/>
        <w:topLinePunct w:val="0"/>
        <w:autoSpaceDE/>
        <w:autoSpaceDN/>
        <w:bidi w:val="0"/>
        <w:adjustRightInd/>
        <w:snapToGrid/>
        <w:spacing w:line="300" w:lineRule="exact"/>
        <w:jc w:val="both"/>
        <w:textAlignment w:val="auto"/>
        <w:rPr>
          <w:rFonts w:hint="eastAsia"/>
          <w:b w:val="0"/>
          <w:bCs w:val="0"/>
          <w:sz w:val="22"/>
          <w:szCs w:val="18"/>
          <w:highlight w:val="none"/>
        </w:rPr>
      </w:pPr>
    </w:p>
    <w:p w14:paraId="16367C01">
      <w:pPr>
        <w:keepNext w:val="0"/>
        <w:keepLines w:val="0"/>
        <w:pageBreakBefore w:val="0"/>
        <w:widowControl/>
        <w:numPr>
          <w:ilvl w:val="0"/>
          <w:numId w:val="0"/>
        </w:numPr>
        <w:kinsoku/>
        <w:wordWrap/>
        <w:overflowPunct/>
        <w:topLinePunct w:val="0"/>
        <w:autoSpaceDE/>
        <w:autoSpaceDN/>
        <w:bidi w:val="0"/>
        <w:adjustRightInd/>
        <w:snapToGrid/>
        <w:spacing w:line="300" w:lineRule="exact"/>
        <w:jc w:val="center"/>
        <w:textAlignment w:val="auto"/>
      </w:pPr>
      <w:r>
        <w:rPr>
          <w:rFonts w:hint="eastAsia" w:ascii="黑体" w:hAnsi="黑体" w:eastAsia="黑体" w:cs="黑体"/>
          <w:b w:val="0"/>
          <w:bCs w:val="0"/>
          <w:sz w:val="24"/>
          <w:szCs w:val="20"/>
          <w:highlight w:val="none"/>
        </w:rPr>
        <w:t>完整公告内容详见：深圳公共资源交易网（https://www.szggzy.com）</w:t>
      </w:r>
    </w:p>
    <w:bookmarkEnd w:id="0"/>
    <w:bookmarkEnd w:id="1"/>
    <w:bookmarkEnd w:id="2"/>
    <w:bookmarkEnd w:id="3"/>
    <w:bookmarkEnd w:id="4"/>
    <w:bookmarkEnd w:id="5"/>
    <w:bookmarkEnd w:id="6"/>
    <w:bookmarkEnd w:id="7"/>
    <w:bookmarkEnd w:id="8"/>
    <w:p w14:paraId="1D6D6020">
      <w:pPr>
        <w:bidi w:val="0"/>
        <w:rPr>
          <w:rFonts w:hint="eastAsia"/>
        </w:rPr>
      </w:pPr>
    </w:p>
    <w:p w14:paraId="7E511871">
      <w:pPr>
        <w:bidi w:val="0"/>
        <w:rPr>
          <w:rFonts w:hint="eastAsia"/>
        </w:rPr>
      </w:pPr>
    </w:p>
    <w:p w14:paraId="5FD08C9C">
      <w:pPr>
        <w:bidi w:val="0"/>
        <w:rPr>
          <w:rFonts w:hint="eastAsia"/>
        </w:rPr>
      </w:pPr>
    </w:p>
    <w:p w14:paraId="5051B3BB">
      <w:pPr>
        <w:bidi w:val="0"/>
        <w:rPr>
          <w:rFonts w:hint="eastAsia"/>
        </w:rPr>
      </w:pPr>
    </w:p>
    <w:p w14:paraId="5DE986DD">
      <w:pPr>
        <w:pStyle w:val="2"/>
        <w:rPr>
          <w:rFonts w:hint="eastAsia"/>
        </w:rPr>
      </w:pPr>
    </w:p>
    <w:p w14:paraId="79100561">
      <w:pPr>
        <w:pStyle w:val="3"/>
        <w:rPr>
          <w:rFonts w:hint="eastAsia"/>
        </w:rPr>
      </w:pPr>
    </w:p>
    <w:p w14:paraId="45DDEDDD">
      <w:pPr>
        <w:pStyle w:val="3"/>
        <w:rPr>
          <w:rFonts w:hint="eastAsia"/>
        </w:rPr>
      </w:pPr>
    </w:p>
    <w:p w14:paraId="398B5DB8">
      <w:pPr>
        <w:pStyle w:val="5"/>
        <w:spacing w:before="0" w:after="0"/>
        <w:textAlignment w:val="baseline"/>
        <w:rPr>
          <w:rFonts w:hint="eastAsia" w:ascii="黑体" w:hAnsi="黑体" w:eastAsia="黑体" w:cs="黑体"/>
          <w:b w:val="0"/>
          <w:bCs w:val="0"/>
          <w:sz w:val="28"/>
          <w:szCs w:val="28"/>
          <w:lang w:val="en-US" w:eastAsia="zh-CN"/>
        </w:rPr>
      </w:pPr>
    </w:p>
    <w:p w14:paraId="38A7EBDC">
      <w:pPr>
        <w:pStyle w:val="5"/>
        <w:spacing w:before="0" w:after="0"/>
        <w:textAlignment w:val="baseline"/>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第二章 对通用条款的补充内容及其他关键信息</w:t>
      </w:r>
    </w:p>
    <w:p w14:paraId="0F0AF2BE">
      <w:pPr>
        <w:pStyle w:val="6"/>
        <w:jc w:val="center"/>
        <w:rPr>
          <w:rFonts w:ascii="黑体" w:eastAsia="黑体"/>
        </w:rPr>
      </w:pPr>
      <w:r>
        <w:rPr>
          <w:rFonts w:hint="eastAsia" w:ascii="黑体" w:eastAsia="黑体"/>
          <w:b w:val="0"/>
          <w:bCs w:val="0"/>
        </w:rPr>
        <w:t>一、对通用条款的补充内容</w:t>
      </w:r>
    </w:p>
    <w:tbl>
      <w:tblPr>
        <w:tblStyle w:val="48"/>
        <w:tblW w:w="8916" w:type="dxa"/>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990"/>
        <w:gridCol w:w="2338"/>
        <w:gridCol w:w="5588"/>
      </w:tblGrid>
      <w:tr w14:paraId="2271F8E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PrEx>
        <w:trPr>
          <w:cantSplit/>
          <w:trHeight w:val="20" w:hRule="atLeast"/>
          <w:jc w:val="center"/>
        </w:trPr>
        <w:tc>
          <w:tcPr>
            <w:tcW w:w="990" w:type="dxa"/>
            <w:vAlign w:val="center"/>
          </w:tcPr>
          <w:p w14:paraId="108C11FD">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sz w:val="21"/>
                <w:szCs w:val="21"/>
              </w:rPr>
            </w:pPr>
            <w:r>
              <w:rPr>
                <w:rFonts w:hint="eastAsia" w:ascii="宋体" w:hAnsi="宋体" w:eastAsia="宋体" w:cs="宋体"/>
                <w:b/>
                <w:bCs/>
                <w:sz w:val="21"/>
                <w:szCs w:val="21"/>
              </w:rPr>
              <w:t>通用条款序号</w:t>
            </w:r>
          </w:p>
        </w:tc>
        <w:tc>
          <w:tcPr>
            <w:tcW w:w="2338" w:type="dxa"/>
            <w:vAlign w:val="center"/>
          </w:tcPr>
          <w:p w14:paraId="5E76C31B">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sz w:val="21"/>
                <w:szCs w:val="21"/>
              </w:rPr>
            </w:pPr>
            <w:r>
              <w:rPr>
                <w:rFonts w:hint="eastAsia" w:ascii="宋体" w:hAnsi="宋体" w:eastAsia="宋体" w:cs="宋体"/>
                <w:b/>
                <w:bCs/>
                <w:sz w:val="21"/>
                <w:szCs w:val="21"/>
              </w:rPr>
              <w:t>涉及事项</w:t>
            </w:r>
          </w:p>
        </w:tc>
        <w:tc>
          <w:tcPr>
            <w:tcW w:w="5588" w:type="dxa"/>
            <w:vAlign w:val="center"/>
          </w:tcPr>
          <w:p w14:paraId="46371595">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sz w:val="21"/>
                <w:szCs w:val="21"/>
              </w:rPr>
            </w:pPr>
            <w:r>
              <w:rPr>
                <w:rFonts w:hint="eastAsia" w:ascii="宋体" w:hAnsi="宋体" w:eastAsia="宋体" w:cs="宋体"/>
                <w:b/>
                <w:bCs/>
                <w:sz w:val="21"/>
                <w:szCs w:val="21"/>
              </w:rPr>
              <w:t>具体补充内容</w:t>
            </w:r>
          </w:p>
        </w:tc>
      </w:tr>
      <w:tr w14:paraId="17EB3CF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PrEx>
        <w:trPr>
          <w:cantSplit/>
          <w:trHeight w:val="952" w:hRule="atLeast"/>
          <w:jc w:val="center"/>
        </w:trPr>
        <w:tc>
          <w:tcPr>
            <w:tcW w:w="990" w:type="dxa"/>
            <w:vAlign w:val="center"/>
          </w:tcPr>
          <w:p w14:paraId="39F3E0FE">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1"/>
                <w:szCs w:val="21"/>
              </w:rPr>
            </w:pPr>
            <w:r>
              <w:rPr>
                <w:rFonts w:hint="eastAsia" w:ascii="宋体" w:hAnsi="宋体" w:eastAsia="宋体" w:cs="宋体"/>
                <w:sz w:val="21"/>
                <w:szCs w:val="21"/>
              </w:rPr>
              <w:t>3.1</w:t>
            </w:r>
          </w:p>
        </w:tc>
        <w:tc>
          <w:tcPr>
            <w:tcW w:w="2338" w:type="dxa"/>
            <w:vAlign w:val="center"/>
          </w:tcPr>
          <w:p w14:paraId="65BD09C9">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1"/>
                <w:szCs w:val="21"/>
              </w:rPr>
            </w:pPr>
            <w:r>
              <w:rPr>
                <w:rFonts w:hint="eastAsia" w:ascii="宋体" w:hAnsi="宋体" w:eastAsia="宋体" w:cs="宋体"/>
                <w:sz w:val="21"/>
                <w:szCs w:val="21"/>
              </w:rPr>
              <w:t>采购人</w:t>
            </w:r>
          </w:p>
        </w:tc>
        <w:tc>
          <w:tcPr>
            <w:tcW w:w="5588" w:type="dxa"/>
            <w:vAlign w:val="center"/>
          </w:tcPr>
          <w:p w14:paraId="133C6CE4">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宋体" w:hAnsi="宋体" w:eastAsia="宋体" w:cs="宋体"/>
                <w:color w:val="0000FF"/>
                <w:sz w:val="21"/>
                <w:szCs w:val="21"/>
              </w:rPr>
            </w:pPr>
            <w:r>
              <w:rPr>
                <w:rFonts w:hint="eastAsia" w:ascii="宋体" w:hAnsi="宋体" w:eastAsia="宋体" w:cs="宋体"/>
                <w:color w:val="0000FF"/>
                <w:sz w:val="21"/>
                <w:szCs w:val="21"/>
              </w:rPr>
              <w:t>名称：深圳市光明区新湖街道办事处</w:t>
            </w:r>
          </w:p>
          <w:p w14:paraId="389BFBA9">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宋体" w:hAnsi="宋体" w:eastAsia="宋体" w:cs="宋体"/>
                <w:color w:val="0000FF"/>
                <w:sz w:val="21"/>
                <w:szCs w:val="21"/>
              </w:rPr>
            </w:pPr>
            <w:r>
              <w:rPr>
                <w:rFonts w:hint="eastAsia" w:ascii="宋体" w:hAnsi="宋体" w:eastAsia="宋体" w:cs="宋体"/>
                <w:color w:val="0000FF"/>
                <w:sz w:val="21"/>
                <w:szCs w:val="21"/>
              </w:rPr>
              <w:t>地址：深圳市光明区新湖街道圳园路268号</w:t>
            </w:r>
          </w:p>
          <w:p w14:paraId="520FCB1E">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宋体" w:hAnsi="宋体" w:eastAsia="宋体" w:cs="宋体"/>
                <w:color w:val="0000FF"/>
                <w:sz w:val="21"/>
                <w:szCs w:val="21"/>
                <w:lang w:val="en-US" w:eastAsia="zh-CN"/>
              </w:rPr>
            </w:pPr>
            <w:r>
              <w:rPr>
                <w:rFonts w:hint="eastAsia" w:ascii="宋体" w:hAnsi="宋体" w:eastAsia="宋体" w:cs="宋体"/>
                <w:color w:val="0000FF"/>
                <w:sz w:val="21"/>
                <w:szCs w:val="21"/>
              </w:rPr>
              <w:t>联系方式：</w:t>
            </w:r>
          </w:p>
        </w:tc>
      </w:tr>
      <w:tr w14:paraId="118FAC8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PrEx>
        <w:trPr>
          <w:cantSplit/>
          <w:trHeight w:val="782" w:hRule="atLeast"/>
          <w:jc w:val="center"/>
        </w:trPr>
        <w:tc>
          <w:tcPr>
            <w:tcW w:w="990" w:type="dxa"/>
            <w:vAlign w:val="center"/>
          </w:tcPr>
          <w:p w14:paraId="1AE24FA3">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1"/>
                <w:szCs w:val="21"/>
              </w:rPr>
            </w:pPr>
            <w:r>
              <w:rPr>
                <w:rFonts w:hint="eastAsia" w:ascii="宋体" w:hAnsi="宋体" w:eastAsia="宋体" w:cs="宋体"/>
                <w:sz w:val="21"/>
                <w:szCs w:val="21"/>
              </w:rPr>
              <w:t>3.2</w:t>
            </w:r>
          </w:p>
        </w:tc>
        <w:tc>
          <w:tcPr>
            <w:tcW w:w="2338" w:type="dxa"/>
            <w:vAlign w:val="center"/>
          </w:tcPr>
          <w:p w14:paraId="5E0BCE35">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1"/>
                <w:szCs w:val="21"/>
              </w:rPr>
            </w:pPr>
            <w:r>
              <w:rPr>
                <w:rFonts w:hint="eastAsia" w:ascii="宋体" w:hAnsi="宋体" w:eastAsia="宋体" w:cs="宋体"/>
                <w:sz w:val="21"/>
                <w:szCs w:val="21"/>
              </w:rPr>
              <w:t>政府集中采购机构</w:t>
            </w:r>
          </w:p>
        </w:tc>
        <w:tc>
          <w:tcPr>
            <w:tcW w:w="5588" w:type="dxa"/>
            <w:vAlign w:val="center"/>
          </w:tcPr>
          <w:p w14:paraId="5C7CB75B">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1"/>
                <w:szCs w:val="21"/>
              </w:rPr>
            </w:pPr>
            <w:r>
              <w:rPr>
                <w:rFonts w:hint="eastAsia" w:ascii="宋体" w:hAnsi="宋体" w:eastAsia="宋体" w:cs="宋体"/>
                <w:sz w:val="21"/>
                <w:szCs w:val="21"/>
              </w:rPr>
              <w:t>深圳公共资源交易中心</w:t>
            </w:r>
          </w:p>
          <w:p w14:paraId="73E08AF1">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1"/>
                <w:szCs w:val="21"/>
              </w:rPr>
            </w:pPr>
            <w:r>
              <w:rPr>
                <w:rFonts w:hint="eastAsia" w:ascii="宋体" w:hAnsi="宋体" w:eastAsia="宋体" w:cs="宋体"/>
                <w:sz w:val="21"/>
                <w:szCs w:val="21"/>
              </w:rPr>
              <w:t>（深圳交易集团有限公司光明分公司）</w:t>
            </w:r>
          </w:p>
          <w:p w14:paraId="5744BF65">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宋体" w:hAnsi="宋体" w:eastAsia="宋体" w:cs="宋体"/>
              </w:rPr>
            </w:pPr>
            <w:r>
              <w:rPr>
                <w:rFonts w:hint="eastAsia" w:ascii="宋体" w:hAnsi="宋体" w:eastAsia="宋体" w:cs="宋体"/>
                <w:color w:val="0000FF"/>
                <w:sz w:val="21"/>
                <w:szCs w:val="21"/>
              </w:rPr>
              <w:t>系统</w:t>
            </w:r>
            <w:r>
              <w:rPr>
                <w:rFonts w:hint="eastAsia" w:ascii="宋体" w:hAnsi="宋体" w:eastAsia="宋体" w:cs="宋体"/>
                <w:color w:val="0000FF"/>
                <w:sz w:val="21"/>
                <w:szCs w:val="21"/>
                <w:lang w:val="en-US" w:eastAsia="zh-CN"/>
              </w:rPr>
              <w:t>操作</w:t>
            </w:r>
            <w:r>
              <w:rPr>
                <w:rFonts w:hint="eastAsia" w:ascii="宋体" w:hAnsi="宋体" w:eastAsia="宋体" w:cs="宋体"/>
                <w:color w:val="0000FF"/>
                <w:sz w:val="21"/>
                <w:szCs w:val="21"/>
              </w:rPr>
              <w:t>技术支持</w:t>
            </w:r>
            <w:r>
              <w:rPr>
                <w:rFonts w:hint="eastAsia" w:ascii="宋体" w:hAnsi="宋体" w:eastAsia="宋体" w:cs="宋体"/>
                <w:color w:val="0000FF"/>
                <w:sz w:val="21"/>
                <w:szCs w:val="21"/>
                <w:lang w:val="en-US" w:eastAsia="zh-CN"/>
              </w:rPr>
              <w:t>热线</w:t>
            </w:r>
            <w:r>
              <w:rPr>
                <w:rFonts w:hint="eastAsia" w:ascii="宋体" w:hAnsi="宋体" w:eastAsia="宋体" w:cs="宋体"/>
                <w:color w:val="0000FF"/>
                <w:sz w:val="21"/>
                <w:szCs w:val="21"/>
              </w:rPr>
              <w:t>：0755</w:t>
            </w:r>
            <w:r>
              <w:rPr>
                <w:rFonts w:hint="eastAsia" w:ascii="宋体" w:hAnsi="宋体" w:eastAsia="宋体" w:cs="宋体"/>
                <w:color w:val="0000FF"/>
                <w:sz w:val="21"/>
                <w:szCs w:val="21"/>
                <w:lang w:val="en-US" w:eastAsia="zh-CN"/>
              </w:rPr>
              <w:t>-</w:t>
            </w:r>
            <w:r>
              <w:rPr>
                <w:rFonts w:hint="eastAsia" w:ascii="宋体" w:hAnsi="宋体" w:eastAsia="宋体" w:cs="宋体"/>
                <w:color w:val="0000FF"/>
                <w:sz w:val="21"/>
                <w:szCs w:val="21"/>
              </w:rPr>
              <w:t>3656 8999 转1</w:t>
            </w:r>
          </w:p>
        </w:tc>
      </w:tr>
      <w:tr w14:paraId="3856665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PrEx>
        <w:trPr>
          <w:cantSplit/>
          <w:trHeight w:val="392" w:hRule="atLeast"/>
          <w:jc w:val="center"/>
        </w:trPr>
        <w:tc>
          <w:tcPr>
            <w:tcW w:w="990" w:type="dxa"/>
            <w:vAlign w:val="center"/>
          </w:tcPr>
          <w:p w14:paraId="7546A965">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1"/>
                <w:szCs w:val="21"/>
              </w:rPr>
            </w:pPr>
            <w:r>
              <w:rPr>
                <w:rFonts w:hint="eastAsia" w:ascii="宋体" w:hAnsi="宋体" w:eastAsia="宋体" w:cs="宋体"/>
                <w:sz w:val="21"/>
                <w:szCs w:val="21"/>
              </w:rPr>
              <w:t>5.3</w:t>
            </w:r>
          </w:p>
        </w:tc>
        <w:tc>
          <w:tcPr>
            <w:tcW w:w="2338" w:type="dxa"/>
            <w:vAlign w:val="center"/>
          </w:tcPr>
          <w:p w14:paraId="6521D989">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sz w:val="21"/>
                <w:szCs w:val="21"/>
              </w:rPr>
            </w:pPr>
            <w:r>
              <w:rPr>
                <w:rFonts w:hint="eastAsia" w:ascii="宋体" w:hAnsi="宋体" w:eastAsia="宋体" w:cs="宋体"/>
                <w:b/>
                <w:bCs/>
                <w:sz w:val="21"/>
                <w:szCs w:val="21"/>
              </w:rPr>
              <w:t>联合体投标</w:t>
            </w:r>
          </w:p>
        </w:tc>
        <w:tc>
          <w:tcPr>
            <w:tcW w:w="5588" w:type="dxa"/>
            <w:vAlign w:val="center"/>
          </w:tcPr>
          <w:p w14:paraId="5C1211EE">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不接受</w:t>
            </w:r>
          </w:p>
        </w:tc>
      </w:tr>
      <w:tr w14:paraId="5E67251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PrEx>
        <w:trPr>
          <w:cantSplit/>
          <w:trHeight w:val="20" w:hRule="atLeast"/>
          <w:jc w:val="center"/>
        </w:trPr>
        <w:tc>
          <w:tcPr>
            <w:tcW w:w="990" w:type="dxa"/>
            <w:vAlign w:val="center"/>
          </w:tcPr>
          <w:p w14:paraId="4B34FAE1">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1"/>
                <w:szCs w:val="21"/>
              </w:rPr>
            </w:pPr>
            <w:r>
              <w:rPr>
                <w:rFonts w:hint="eastAsia" w:ascii="宋体" w:hAnsi="宋体" w:eastAsia="宋体" w:cs="宋体"/>
                <w:sz w:val="21"/>
                <w:szCs w:val="21"/>
              </w:rPr>
              <w:t>9</w:t>
            </w:r>
          </w:p>
        </w:tc>
        <w:tc>
          <w:tcPr>
            <w:tcW w:w="2338" w:type="dxa"/>
            <w:vAlign w:val="center"/>
          </w:tcPr>
          <w:p w14:paraId="47366FA2">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1"/>
                <w:szCs w:val="21"/>
              </w:rPr>
            </w:pPr>
            <w:r>
              <w:rPr>
                <w:rFonts w:hint="eastAsia" w:ascii="宋体" w:hAnsi="宋体" w:eastAsia="宋体" w:cs="宋体"/>
                <w:sz w:val="21"/>
                <w:szCs w:val="21"/>
              </w:rPr>
              <w:t>踏勘现场</w:t>
            </w:r>
          </w:p>
        </w:tc>
        <w:tc>
          <w:tcPr>
            <w:tcW w:w="5588" w:type="dxa"/>
            <w:vAlign w:val="center"/>
          </w:tcPr>
          <w:p w14:paraId="23B62459">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1"/>
                <w:szCs w:val="21"/>
              </w:rPr>
            </w:pPr>
            <w:r>
              <w:rPr>
                <w:rFonts w:hint="eastAsia" w:ascii="宋体" w:hAnsi="宋体" w:eastAsia="宋体" w:cs="宋体"/>
                <w:sz w:val="21"/>
                <w:szCs w:val="21"/>
              </w:rPr>
              <w:t>不组织</w:t>
            </w:r>
          </w:p>
        </w:tc>
      </w:tr>
      <w:tr w14:paraId="69DD59F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PrEx>
        <w:trPr>
          <w:cantSplit/>
          <w:trHeight w:val="20" w:hRule="atLeast"/>
          <w:jc w:val="center"/>
        </w:trPr>
        <w:tc>
          <w:tcPr>
            <w:tcW w:w="990" w:type="dxa"/>
            <w:vAlign w:val="center"/>
          </w:tcPr>
          <w:p w14:paraId="43867F23">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1"/>
                <w:szCs w:val="21"/>
              </w:rPr>
            </w:pPr>
            <w:r>
              <w:rPr>
                <w:rFonts w:hint="eastAsia" w:ascii="宋体" w:hAnsi="宋体" w:eastAsia="宋体" w:cs="宋体"/>
                <w:sz w:val="21"/>
                <w:szCs w:val="21"/>
              </w:rPr>
              <w:t>10</w:t>
            </w:r>
          </w:p>
        </w:tc>
        <w:tc>
          <w:tcPr>
            <w:tcW w:w="2338" w:type="dxa"/>
            <w:vAlign w:val="center"/>
          </w:tcPr>
          <w:p w14:paraId="479992C2">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1"/>
                <w:szCs w:val="21"/>
              </w:rPr>
            </w:pPr>
            <w:r>
              <w:rPr>
                <w:rFonts w:hint="eastAsia" w:ascii="宋体" w:hAnsi="宋体" w:eastAsia="宋体" w:cs="宋体"/>
                <w:sz w:val="21"/>
                <w:szCs w:val="21"/>
              </w:rPr>
              <w:t>标前会议</w:t>
            </w:r>
          </w:p>
        </w:tc>
        <w:tc>
          <w:tcPr>
            <w:tcW w:w="5588" w:type="dxa"/>
            <w:vAlign w:val="center"/>
          </w:tcPr>
          <w:p w14:paraId="71A2A93D">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1"/>
                <w:szCs w:val="21"/>
              </w:rPr>
            </w:pPr>
            <w:r>
              <w:rPr>
                <w:rFonts w:hint="eastAsia" w:ascii="宋体" w:hAnsi="宋体" w:eastAsia="宋体" w:cs="宋体"/>
                <w:sz w:val="21"/>
                <w:szCs w:val="21"/>
              </w:rPr>
              <w:t>不组织</w:t>
            </w:r>
          </w:p>
        </w:tc>
      </w:tr>
      <w:tr w14:paraId="4DE684E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PrEx>
        <w:trPr>
          <w:cantSplit/>
          <w:trHeight w:val="619" w:hRule="atLeast"/>
          <w:jc w:val="center"/>
        </w:trPr>
        <w:tc>
          <w:tcPr>
            <w:tcW w:w="990" w:type="dxa"/>
            <w:vAlign w:val="center"/>
          </w:tcPr>
          <w:p w14:paraId="0D4EAD80">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1"/>
                <w:szCs w:val="21"/>
              </w:rPr>
            </w:pPr>
            <w:r>
              <w:rPr>
                <w:rFonts w:hint="eastAsia" w:ascii="宋体" w:hAnsi="宋体" w:eastAsia="宋体" w:cs="宋体"/>
                <w:sz w:val="21"/>
                <w:szCs w:val="21"/>
              </w:rPr>
              <w:t>12/13</w:t>
            </w:r>
          </w:p>
        </w:tc>
        <w:tc>
          <w:tcPr>
            <w:tcW w:w="2338" w:type="dxa"/>
            <w:vAlign w:val="center"/>
          </w:tcPr>
          <w:p w14:paraId="746D9E44">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1"/>
                <w:szCs w:val="21"/>
              </w:rPr>
            </w:pPr>
            <w:r>
              <w:rPr>
                <w:rFonts w:hint="eastAsia" w:ascii="宋体" w:hAnsi="宋体" w:eastAsia="宋体" w:cs="宋体"/>
                <w:sz w:val="21"/>
                <w:szCs w:val="21"/>
              </w:rPr>
              <w:t>招标文件的澄清和修改</w:t>
            </w:r>
          </w:p>
        </w:tc>
        <w:tc>
          <w:tcPr>
            <w:tcW w:w="5588" w:type="dxa"/>
            <w:vAlign w:val="center"/>
          </w:tcPr>
          <w:p w14:paraId="00E8D1B0">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1"/>
                <w:szCs w:val="21"/>
              </w:rPr>
            </w:pPr>
            <w:r>
              <w:rPr>
                <w:rFonts w:hint="eastAsia" w:ascii="宋体" w:hAnsi="宋体" w:eastAsia="宋体" w:cs="宋体"/>
                <w:sz w:val="21"/>
                <w:szCs w:val="21"/>
              </w:rPr>
              <w:t>不晚于投标截止日三日前，投标人有义务在招标期间在政府集中采购机构网站浏览与本项目有关的澄清和修改信息</w:t>
            </w:r>
          </w:p>
        </w:tc>
      </w:tr>
      <w:tr w14:paraId="4C55269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PrEx>
        <w:trPr>
          <w:cantSplit/>
          <w:trHeight w:val="20" w:hRule="atLeast"/>
          <w:jc w:val="center"/>
        </w:trPr>
        <w:tc>
          <w:tcPr>
            <w:tcW w:w="990" w:type="dxa"/>
            <w:vAlign w:val="center"/>
          </w:tcPr>
          <w:p w14:paraId="6FF24117">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1"/>
                <w:szCs w:val="21"/>
              </w:rPr>
            </w:pPr>
            <w:r>
              <w:rPr>
                <w:rFonts w:hint="eastAsia" w:ascii="宋体" w:hAnsi="宋体" w:eastAsia="宋体" w:cs="宋体"/>
                <w:sz w:val="21"/>
                <w:szCs w:val="21"/>
              </w:rPr>
              <w:t>20</w:t>
            </w:r>
          </w:p>
        </w:tc>
        <w:tc>
          <w:tcPr>
            <w:tcW w:w="2338" w:type="dxa"/>
            <w:vAlign w:val="center"/>
          </w:tcPr>
          <w:p w14:paraId="322AB204">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1"/>
                <w:szCs w:val="21"/>
              </w:rPr>
            </w:pPr>
            <w:r>
              <w:rPr>
                <w:rFonts w:hint="eastAsia" w:ascii="宋体" w:hAnsi="宋体" w:eastAsia="宋体" w:cs="宋体"/>
                <w:sz w:val="21"/>
                <w:szCs w:val="21"/>
              </w:rPr>
              <w:t>投标有效期</w:t>
            </w:r>
          </w:p>
        </w:tc>
        <w:tc>
          <w:tcPr>
            <w:tcW w:w="5588" w:type="dxa"/>
            <w:vAlign w:val="center"/>
          </w:tcPr>
          <w:p w14:paraId="07CA6B9C">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1"/>
                <w:szCs w:val="21"/>
              </w:rPr>
            </w:pPr>
            <w:r>
              <w:rPr>
                <w:rFonts w:hint="eastAsia" w:ascii="宋体" w:hAnsi="宋体" w:eastAsia="宋体" w:cs="宋体"/>
                <w:sz w:val="21"/>
                <w:szCs w:val="21"/>
              </w:rPr>
              <w:t>120个日历日（从投标截止之日算起）</w:t>
            </w:r>
          </w:p>
        </w:tc>
      </w:tr>
      <w:tr w14:paraId="1EC9E99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PrEx>
        <w:trPr>
          <w:cantSplit/>
          <w:trHeight w:val="20" w:hRule="atLeast"/>
          <w:jc w:val="center"/>
        </w:trPr>
        <w:tc>
          <w:tcPr>
            <w:tcW w:w="990" w:type="dxa"/>
            <w:vAlign w:val="center"/>
          </w:tcPr>
          <w:p w14:paraId="43377504">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1"/>
                <w:szCs w:val="21"/>
              </w:rPr>
            </w:pPr>
            <w:r>
              <w:rPr>
                <w:rFonts w:hint="eastAsia" w:ascii="宋体" w:hAnsi="宋体" w:eastAsia="宋体" w:cs="宋体"/>
                <w:sz w:val="21"/>
                <w:szCs w:val="21"/>
              </w:rPr>
              <w:t>22</w:t>
            </w:r>
          </w:p>
        </w:tc>
        <w:tc>
          <w:tcPr>
            <w:tcW w:w="2338" w:type="dxa"/>
            <w:vAlign w:val="center"/>
          </w:tcPr>
          <w:p w14:paraId="5CB90B75">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1"/>
                <w:szCs w:val="21"/>
              </w:rPr>
            </w:pPr>
            <w:r>
              <w:rPr>
                <w:rFonts w:hint="eastAsia" w:ascii="宋体" w:hAnsi="宋体" w:eastAsia="宋体" w:cs="宋体"/>
                <w:sz w:val="21"/>
                <w:szCs w:val="21"/>
              </w:rPr>
              <w:t>投标人的替代方案</w:t>
            </w:r>
          </w:p>
        </w:tc>
        <w:tc>
          <w:tcPr>
            <w:tcW w:w="5588" w:type="dxa"/>
            <w:vAlign w:val="center"/>
          </w:tcPr>
          <w:p w14:paraId="7F1F36A9">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1"/>
                <w:szCs w:val="21"/>
              </w:rPr>
            </w:pPr>
            <w:r>
              <w:rPr>
                <w:rFonts w:hint="eastAsia" w:ascii="宋体" w:hAnsi="宋体" w:eastAsia="宋体" w:cs="宋体"/>
                <w:sz w:val="21"/>
                <w:szCs w:val="21"/>
              </w:rPr>
              <w:t>不接受</w:t>
            </w:r>
          </w:p>
        </w:tc>
      </w:tr>
      <w:tr w14:paraId="5A30B6A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PrEx>
        <w:trPr>
          <w:cantSplit/>
          <w:trHeight w:val="20" w:hRule="atLeast"/>
          <w:jc w:val="center"/>
        </w:trPr>
        <w:tc>
          <w:tcPr>
            <w:tcW w:w="990" w:type="dxa"/>
            <w:vAlign w:val="center"/>
          </w:tcPr>
          <w:p w14:paraId="0A337409">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1"/>
                <w:szCs w:val="21"/>
              </w:rPr>
            </w:pPr>
            <w:r>
              <w:rPr>
                <w:rFonts w:hint="eastAsia" w:ascii="宋体" w:hAnsi="宋体" w:eastAsia="宋体" w:cs="宋体"/>
                <w:sz w:val="21"/>
                <w:szCs w:val="21"/>
              </w:rPr>
              <w:t>25</w:t>
            </w:r>
          </w:p>
        </w:tc>
        <w:tc>
          <w:tcPr>
            <w:tcW w:w="2338" w:type="dxa"/>
            <w:vAlign w:val="center"/>
          </w:tcPr>
          <w:p w14:paraId="37F203EB">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1"/>
                <w:szCs w:val="21"/>
              </w:rPr>
            </w:pPr>
            <w:r>
              <w:rPr>
                <w:rFonts w:hint="eastAsia" w:ascii="宋体" w:hAnsi="宋体" w:eastAsia="宋体" w:cs="宋体"/>
                <w:sz w:val="21"/>
                <w:szCs w:val="21"/>
              </w:rPr>
              <w:t>投标文件的大小</w:t>
            </w:r>
          </w:p>
        </w:tc>
        <w:tc>
          <w:tcPr>
            <w:tcW w:w="5588" w:type="dxa"/>
            <w:vAlign w:val="center"/>
          </w:tcPr>
          <w:p w14:paraId="3C2B1109">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1"/>
                <w:szCs w:val="21"/>
              </w:rPr>
            </w:pPr>
            <w:r>
              <w:rPr>
                <w:rFonts w:hint="eastAsia" w:ascii="宋体" w:hAnsi="宋体" w:eastAsia="宋体" w:cs="宋体"/>
                <w:sz w:val="21"/>
                <w:szCs w:val="21"/>
              </w:rPr>
              <w:t>投标文件大小不得超过100MB</w:t>
            </w:r>
          </w:p>
        </w:tc>
      </w:tr>
      <w:tr w14:paraId="35A476B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PrEx>
        <w:trPr>
          <w:cantSplit/>
          <w:trHeight w:val="20" w:hRule="atLeast"/>
          <w:jc w:val="center"/>
        </w:trPr>
        <w:tc>
          <w:tcPr>
            <w:tcW w:w="990" w:type="dxa"/>
            <w:vAlign w:val="center"/>
          </w:tcPr>
          <w:p w14:paraId="0EAA8CA3">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1"/>
                <w:szCs w:val="21"/>
              </w:rPr>
            </w:pPr>
            <w:r>
              <w:rPr>
                <w:rFonts w:hint="eastAsia" w:ascii="宋体" w:hAnsi="宋体" w:eastAsia="宋体" w:cs="宋体"/>
                <w:sz w:val="21"/>
                <w:szCs w:val="21"/>
              </w:rPr>
              <w:t>26</w:t>
            </w:r>
          </w:p>
        </w:tc>
        <w:tc>
          <w:tcPr>
            <w:tcW w:w="2338" w:type="dxa"/>
            <w:vAlign w:val="center"/>
          </w:tcPr>
          <w:p w14:paraId="3E6D0C41">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z w:val="21"/>
                <w:szCs w:val="21"/>
              </w:rPr>
            </w:pPr>
            <w:bookmarkStart w:id="13" w:name="_Hlk71664860"/>
            <w:bookmarkEnd w:id="13"/>
            <w:r>
              <w:rPr>
                <w:rFonts w:hint="eastAsia" w:ascii="宋体" w:hAnsi="宋体" w:eastAsia="宋体" w:cs="宋体"/>
                <w:b w:val="0"/>
                <w:bCs w:val="0"/>
                <w:sz w:val="21"/>
                <w:szCs w:val="21"/>
              </w:rPr>
              <w:t>样品、现场演示、方案讲解</w:t>
            </w:r>
          </w:p>
        </w:tc>
        <w:tc>
          <w:tcPr>
            <w:tcW w:w="5588" w:type="dxa"/>
            <w:vAlign w:val="center"/>
          </w:tcPr>
          <w:p w14:paraId="147A89C0">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1"/>
                <w:szCs w:val="21"/>
                <w:lang w:eastAsia="zh-CN"/>
              </w:rPr>
            </w:pPr>
            <w:r>
              <w:rPr>
                <w:rFonts w:hint="eastAsia" w:ascii="宋体" w:hAnsi="宋体" w:eastAsia="宋体" w:cs="宋体"/>
                <w:b w:val="0"/>
                <w:bCs w:val="0"/>
                <w:sz w:val="21"/>
                <w:szCs w:val="21"/>
                <w:lang w:val="en-US" w:eastAsia="zh-CN"/>
              </w:rPr>
              <w:t>无</w:t>
            </w:r>
          </w:p>
        </w:tc>
      </w:tr>
      <w:tr w14:paraId="4DBC29F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PrEx>
        <w:trPr>
          <w:cantSplit/>
          <w:trHeight w:val="332" w:hRule="atLeast"/>
          <w:jc w:val="center"/>
        </w:trPr>
        <w:tc>
          <w:tcPr>
            <w:tcW w:w="990" w:type="dxa"/>
            <w:vAlign w:val="center"/>
          </w:tcPr>
          <w:p w14:paraId="3AC15DDB">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1"/>
                <w:szCs w:val="21"/>
              </w:rPr>
            </w:pPr>
            <w:r>
              <w:rPr>
                <w:rFonts w:hint="eastAsia" w:ascii="宋体" w:hAnsi="宋体" w:eastAsia="宋体" w:cs="宋体"/>
                <w:sz w:val="21"/>
                <w:szCs w:val="21"/>
              </w:rPr>
              <w:t>37</w:t>
            </w:r>
          </w:p>
        </w:tc>
        <w:tc>
          <w:tcPr>
            <w:tcW w:w="2338" w:type="dxa"/>
            <w:vAlign w:val="center"/>
          </w:tcPr>
          <w:p w14:paraId="6DC48832">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1"/>
                <w:szCs w:val="21"/>
              </w:rPr>
            </w:pPr>
            <w:r>
              <w:rPr>
                <w:rFonts w:hint="eastAsia" w:ascii="宋体" w:hAnsi="宋体" w:eastAsia="宋体" w:cs="宋体"/>
                <w:sz w:val="21"/>
                <w:szCs w:val="21"/>
              </w:rPr>
              <w:t>评审方法</w:t>
            </w:r>
          </w:p>
        </w:tc>
        <w:tc>
          <w:tcPr>
            <w:tcW w:w="5588" w:type="dxa"/>
            <w:vAlign w:val="center"/>
          </w:tcPr>
          <w:p w14:paraId="14E75D3D">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1"/>
                <w:szCs w:val="21"/>
              </w:rPr>
            </w:pPr>
            <w:r>
              <w:rPr>
                <w:rFonts w:hint="eastAsia" w:ascii="宋体" w:hAnsi="宋体" w:eastAsia="宋体" w:cs="宋体"/>
                <w:sz w:val="21"/>
                <w:szCs w:val="21"/>
              </w:rPr>
              <w:t>综合评分法</w:t>
            </w:r>
          </w:p>
        </w:tc>
      </w:tr>
      <w:tr w14:paraId="04567F9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PrEx>
        <w:trPr>
          <w:cantSplit/>
          <w:trHeight w:val="456" w:hRule="atLeast"/>
          <w:jc w:val="center"/>
        </w:trPr>
        <w:tc>
          <w:tcPr>
            <w:tcW w:w="990" w:type="dxa"/>
            <w:vAlign w:val="center"/>
          </w:tcPr>
          <w:p w14:paraId="321D7634">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1"/>
                <w:szCs w:val="21"/>
              </w:rPr>
            </w:pPr>
            <w:r>
              <w:rPr>
                <w:rFonts w:hint="eastAsia" w:ascii="宋体" w:hAnsi="宋体" w:eastAsia="宋体" w:cs="宋体"/>
                <w:sz w:val="21"/>
                <w:szCs w:val="21"/>
              </w:rPr>
              <w:t>38</w:t>
            </w:r>
          </w:p>
        </w:tc>
        <w:tc>
          <w:tcPr>
            <w:tcW w:w="2338" w:type="dxa"/>
            <w:vAlign w:val="center"/>
          </w:tcPr>
          <w:p w14:paraId="4211FB3B">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1"/>
                <w:szCs w:val="21"/>
              </w:rPr>
            </w:pPr>
            <w:r>
              <w:rPr>
                <w:rFonts w:hint="eastAsia" w:ascii="宋体" w:hAnsi="宋体" w:eastAsia="宋体" w:cs="宋体"/>
                <w:sz w:val="21"/>
                <w:szCs w:val="21"/>
              </w:rPr>
              <w:t>定标方法</w:t>
            </w:r>
          </w:p>
        </w:tc>
        <w:tc>
          <w:tcPr>
            <w:tcW w:w="5588" w:type="dxa"/>
            <w:vAlign w:val="center"/>
          </w:tcPr>
          <w:p w14:paraId="769E8F90">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非评定分离</w:t>
            </w:r>
            <w:r>
              <w:rPr>
                <w:rFonts w:hint="eastAsia" w:ascii="宋体" w:hAnsi="宋体" w:eastAsia="宋体" w:cs="宋体"/>
                <w:b w:val="0"/>
                <w:bCs w:val="0"/>
                <w:sz w:val="21"/>
                <w:szCs w:val="21"/>
                <w:lang w:val="en-US" w:eastAsia="zh-CN"/>
              </w:rPr>
              <w:t>：由采购人授权评审委员会确定中标供应商</w:t>
            </w:r>
          </w:p>
        </w:tc>
      </w:tr>
      <w:tr w14:paraId="386BA7C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PrEx>
        <w:trPr>
          <w:cantSplit/>
          <w:trHeight w:val="467" w:hRule="atLeast"/>
          <w:jc w:val="center"/>
        </w:trPr>
        <w:tc>
          <w:tcPr>
            <w:tcW w:w="990" w:type="dxa"/>
            <w:vAlign w:val="center"/>
          </w:tcPr>
          <w:p w14:paraId="59B7EF17">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1"/>
                <w:szCs w:val="21"/>
              </w:rPr>
            </w:pPr>
            <w:r>
              <w:rPr>
                <w:rFonts w:hint="eastAsia" w:ascii="宋体" w:hAnsi="宋体" w:eastAsia="宋体" w:cs="宋体"/>
                <w:sz w:val="21"/>
                <w:szCs w:val="21"/>
              </w:rPr>
              <w:t>46</w:t>
            </w:r>
          </w:p>
        </w:tc>
        <w:tc>
          <w:tcPr>
            <w:tcW w:w="2338" w:type="dxa"/>
            <w:vAlign w:val="center"/>
          </w:tcPr>
          <w:p w14:paraId="57741D2B">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履约担保</w:t>
            </w:r>
          </w:p>
        </w:tc>
        <w:tc>
          <w:tcPr>
            <w:tcW w:w="5588" w:type="dxa"/>
            <w:vAlign w:val="center"/>
          </w:tcPr>
          <w:p w14:paraId="0F8C817A">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不需要</w:t>
            </w:r>
          </w:p>
        </w:tc>
      </w:tr>
    </w:tbl>
    <w:p w14:paraId="5767770E">
      <w:pPr>
        <w:rPr>
          <w:b/>
          <w:sz w:val="21"/>
          <w:szCs w:val="21"/>
        </w:rPr>
      </w:pPr>
      <w:r>
        <w:rPr>
          <w:rFonts w:hint="eastAsia" w:ascii="宋体" w:hAnsi="宋体" w:eastAsia="宋体" w:cs="宋体"/>
          <w:sz w:val="21"/>
          <w:szCs w:val="21"/>
        </w:rPr>
        <w:t>备注：本表是通用条款相关条款的补充和明确，如与通用条款内容相冲突的，以本表为准。</w:t>
      </w:r>
    </w:p>
    <w:p w14:paraId="595D3A82">
      <w:pPr>
        <w:pStyle w:val="6"/>
        <w:jc w:val="center"/>
        <w:rPr>
          <w:rFonts w:hint="eastAsia" w:ascii="黑体" w:eastAsia="黑体"/>
          <w:b w:val="0"/>
          <w:bCs w:val="0"/>
        </w:rPr>
      </w:pPr>
    </w:p>
    <w:p w14:paraId="14368B62">
      <w:pPr>
        <w:pStyle w:val="6"/>
        <w:jc w:val="center"/>
        <w:rPr>
          <w:rFonts w:ascii="黑体" w:eastAsia="黑体"/>
        </w:rPr>
      </w:pPr>
      <w:r>
        <w:rPr>
          <w:rFonts w:hint="eastAsia" w:ascii="黑体" w:eastAsia="黑体"/>
          <w:b w:val="0"/>
          <w:bCs w:val="0"/>
        </w:rPr>
        <w:t>二、其他关键信息</w:t>
      </w:r>
    </w:p>
    <w:p w14:paraId="6B6B08B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b/>
          <w:bCs/>
          <w:sz w:val="21"/>
          <w:szCs w:val="21"/>
        </w:rPr>
      </w:pPr>
      <w:r>
        <w:rPr>
          <w:rFonts w:hint="eastAsia" w:ascii="宋体" w:hAnsi="宋体" w:eastAsia="宋体" w:cs="宋体"/>
          <w:b/>
          <w:bCs/>
          <w:sz w:val="21"/>
          <w:szCs w:val="21"/>
        </w:rPr>
        <w:t>（一）与“对通用条款的补充内容”章节相关的事项</w:t>
      </w:r>
    </w:p>
    <w:p w14:paraId="4B4FF89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1、评标定标信息</w:t>
      </w:r>
    </w:p>
    <w:p w14:paraId="6417B2E3">
      <w:pPr>
        <w:ind w:firstLine="420" w:firstLineChars="200"/>
        <w:jc w:val="center"/>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非</w:t>
      </w:r>
      <w:r>
        <w:rPr>
          <w:rFonts w:hint="eastAsia" w:ascii="宋体" w:hAnsi="宋体" w:eastAsia="宋体" w:cs="宋体"/>
          <w:b/>
          <w:bCs/>
          <w:sz w:val="21"/>
          <w:szCs w:val="21"/>
        </w:rPr>
        <w:t>评定分离项目</w:t>
      </w:r>
    </w:p>
    <w:tbl>
      <w:tblPr>
        <w:tblStyle w:val="49"/>
        <w:tblW w:w="807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912"/>
        <w:gridCol w:w="4163"/>
      </w:tblGrid>
      <w:tr w14:paraId="23A8F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912" w:type="dxa"/>
          </w:tcPr>
          <w:p w14:paraId="697B735C">
            <w:pPr>
              <w:widowControl w:val="0"/>
              <w:jc w:val="center"/>
              <w:rPr>
                <w:rFonts w:hint="eastAsia" w:ascii="宋体" w:hAnsi="宋体" w:eastAsia="宋体" w:cs="宋体"/>
                <w:sz w:val="21"/>
                <w:szCs w:val="21"/>
              </w:rPr>
            </w:pPr>
            <w:r>
              <w:rPr>
                <w:rFonts w:hint="eastAsia" w:ascii="宋体" w:hAnsi="宋体" w:eastAsia="宋体" w:cs="宋体"/>
                <w:sz w:val="21"/>
                <w:szCs w:val="21"/>
              </w:rPr>
              <w:t>评审方法</w:t>
            </w:r>
          </w:p>
        </w:tc>
        <w:tc>
          <w:tcPr>
            <w:tcW w:w="4163" w:type="dxa"/>
          </w:tcPr>
          <w:p w14:paraId="525404AE">
            <w:pPr>
              <w:widowControl w:val="0"/>
              <w:jc w:val="center"/>
              <w:rPr>
                <w:rFonts w:hint="eastAsia" w:ascii="宋体" w:hAnsi="宋体" w:eastAsia="宋体" w:cs="宋体"/>
                <w:sz w:val="21"/>
                <w:szCs w:val="21"/>
              </w:rPr>
            </w:pPr>
            <w:r>
              <w:rPr>
                <w:rFonts w:hint="eastAsia" w:ascii="宋体" w:hAnsi="宋体" w:eastAsia="宋体" w:cs="宋体"/>
                <w:sz w:val="21"/>
                <w:szCs w:val="21"/>
              </w:rPr>
              <w:t>综合评分法</w:t>
            </w:r>
          </w:p>
        </w:tc>
      </w:tr>
      <w:tr w14:paraId="4FE8D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912" w:type="dxa"/>
          </w:tcPr>
          <w:p w14:paraId="68FDAB44">
            <w:pPr>
              <w:widowControl w:val="0"/>
              <w:jc w:val="center"/>
              <w:rPr>
                <w:rFonts w:hint="eastAsia" w:ascii="宋体" w:hAnsi="宋体" w:eastAsia="宋体" w:cs="宋体"/>
                <w:sz w:val="21"/>
                <w:szCs w:val="21"/>
              </w:rPr>
            </w:pPr>
            <w:r>
              <w:rPr>
                <w:rFonts w:hint="eastAsia" w:ascii="宋体" w:hAnsi="宋体" w:eastAsia="宋体" w:cs="宋体"/>
                <w:sz w:val="21"/>
                <w:szCs w:val="21"/>
              </w:rPr>
              <w:t>推荐候选中标供应商家数</w:t>
            </w:r>
          </w:p>
        </w:tc>
        <w:tc>
          <w:tcPr>
            <w:tcW w:w="4163" w:type="dxa"/>
          </w:tcPr>
          <w:p w14:paraId="0DBE6816">
            <w:pPr>
              <w:widowControl w:val="0"/>
              <w:jc w:val="center"/>
              <w:rPr>
                <w:rFonts w:hint="eastAsia" w:ascii="宋体" w:hAnsi="宋体" w:eastAsia="宋体" w:cs="宋体"/>
                <w:sz w:val="21"/>
                <w:szCs w:val="21"/>
              </w:rPr>
            </w:pPr>
            <w:r>
              <w:rPr>
                <w:rFonts w:hint="eastAsia" w:ascii="宋体" w:hAnsi="宋体" w:eastAsia="宋体" w:cs="宋体"/>
                <w:sz w:val="21"/>
                <w:szCs w:val="21"/>
              </w:rPr>
              <w:t>3</w:t>
            </w:r>
          </w:p>
        </w:tc>
      </w:tr>
      <w:tr w14:paraId="1254A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912" w:type="dxa"/>
          </w:tcPr>
          <w:p w14:paraId="1A49A185">
            <w:pPr>
              <w:widowControl w:val="0"/>
              <w:jc w:val="center"/>
              <w:rPr>
                <w:rFonts w:hint="eastAsia" w:ascii="宋体" w:hAnsi="宋体" w:eastAsia="宋体" w:cs="宋体"/>
                <w:sz w:val="21"/>
                <w:szCs w:val="21"/>
              </w:rPr>
            </w:pPr>
            <w:r>
              <w:rPr>
                <w:rFonts w:hint="eastAsia" w:ascii="宋体" w:hAnsi="宋体" w:eastAsia="宋体" w:cs="宋体"/>
                <w:sz w:val="21"/>
                <w:szCs w:val="21"/>
              </w:rPr>
              <w:t>中标供应商家数</w:t>
            </w:r>
          </w:p>
        </w:tc>
        <w:tc>
          <w:tcPr>
            <w:tcW w:w="4163" w:type="dxa"/>
          </w:tcPr>
          <w:p w14:paraId="174AC377">
            <w:pPr>
              <w:widowControl w:val="0"/>
              <w:jc w:val="center"/>
              <w:rPr>
                <w:rFonts w:hint="eastAsia" w:ascii="宋体" w:hAnsi="宋体" w:eastAsia="宋体" w:cs="宋体"/>
                <w:sz w:val="21"/>
                <w:szCs w:val="21"/>
              </w:rPr>
            </w:pPr>
            <w:r>
              <w:rPr>
                <w:rFonts w:hint="eastAsia" w:ascii="宋体" w:hAnsi="宋体" w:eastAsia="宋体" w:cs="宋体"/>
                <w:sz w:val="21"/>
                <w:szCs w:val="21"/>
              </w:rPr>
              <w:t>1</w:t>
            </w:r>
          </w:p>
        </w:tc>
      </w:tr>
    </w:tbl>
    <w:p w14:paraId="7432436D">
      <w:pPr>
        <w:ind w:firstLine="420" w:firstLineChars="200"/>
        <w:rPr>
          <w:rFonts w:hint="eastAsia" w:ascii="宋体" w:hAnsi="宋体" w:eastAsia="宋体" w:cs="宋体"/>
          <w:b/>
          <w:sz w:val="21"/>
          <w:szCs w:val="21"/>
        </w:rPr>
      </w:pPr>
    </w:p>
    <w:p w14:paraId="48F9F4C0">
      <w:pPr>
        <w:ind w:firstLine="420" w:firstLineChars="200"/>
        <w:rPr>
          <w:rFonts w:hint="eastAsia" w:ascii="宋体" w:hAnsi="宋体" w:eastAsia="宋体" w:cs="宋体"/>
          <w:b/>
          <w:sz w:val="21"/>
          <w:szCs w:val="21"/>
        </w:rPr>
      </w:pPr>
    </w:p>
    <w:p w14:paraId="35268D55">
      <w:pPr>
        <w:ind w:firstLine="420" w:firstLineChars="200"/>
        <w:rPr>
          <w:rFonts w:hint="eastAsia" w:ascii="宋体" w:hAnsi="宋体" w:eastAsia="宋体" w:cs="宋体"/>
          <w:b/>
          <w:sz w:val="21"/>
          <w:szCs w:val="21"/>
        </w:rPr>
      </w:pPr>
    </w:p>
    <w:p w14:paraId="5A8EA8DA">
      <w:pPr>
        <w:ind w:firstLine="420" w:firstLineChars="200"/>
        <w:rPr>
          <w:rFonts w:hint="eastAsia" w:ascii="宋体" w:hAnsi="宋体" w:eastAsia="宋体" w:cs="宋体"/>
          <w:b/>
          <w:sz w:val="21"/>
          <w:szCs w:val="21"/>
        </w:rPr>
      </w:pPr>
    </w:p>
    <w:p w14:paraId="4470F33C">
      <w:pPr>
        <w:ind w:firstLine="420" w:firstLineChars="200"/>
        <w:rPr>
          <w:rFonts w:hint="eastAsia" w:ascii="宋体" w:hAnsi="宋体" w:eastAsia="宋体" w:cs="宋体"/>
          <w:b/>
          <w:sz w:val="21"/>
          <w:szCs w:val="21"/>
        </w:rPr>
      </w:pPr>
      <w:r>
        <w:rPr>
          <w:rFonts w:hint="eastAsia" w:ascii="宋体" w:hAnsi="宋体" w:eastAsia="宋体" w:cs="宋体"/>
          <w:b/>
          <w:sz w:val="21"/>
          <w:szCs w:val="21"/>
        </w:rPr>
        <w:t>（二）其他事项</w:t>
      </w:r>
    </w:p>
    <w:p w14:paraId="257108BB">
      <w:pPr>
        <w:keepNext w:val="0"/>
        <w:keepLines w:val="0"/>
        <w:pageBreakBefore w:val="0"/>
        <w:widowControl w:val="0"/>
        <w:kinsoku/>
        <w:wordWrap w:val="0"/>
        <w:overflowPunct/>
        <w:topLinePunct w:val="0"/>
        <w:autoSpaceDE/>
        <w:autoSpaceDN/>
        <w:bidi w:val="0"/>
        <w:adjustRightInd/>
        <w:snapToGrid/>
        <w:spacing w:line="320" w:lineRule="exact"/>
        <w:ind w:firstLine="420" w:firstLineChars="200"/>
        <w:textAlignment w:val="auto"/>
        <w:rPr>
          <w:rFonts w:hint="eastAsia" w:ascii="宋体" w:hAnsi="宋体" w:eastAsia="宋体" w:cs="宋体"/>
          <w:sz w:val="21"/>
          <w:szCs w:val="21"/>
        </w:rPr>
      </w:pPr>
      <w:r>
        <w:rPr>
          <w:rFonts w:hint="eastAsia" w:ascii="宋体" w:hAnsi="宋体" w:eastAsia="宋体" w:cs="宋体"/>
          <w:b/>
          <w:bCs/>
          <w:sz w:val="21"/>
          <w:szCs w:val="21"/>
        </w:rPr>
        <w:t>1、关于享受优惠政策的主体及价格扣除比例</w:t>
      </w:r>
    </w:p>
    <w:p w14:paraId="51005B65">
      <w:pPr>
        <w:keepNext w:val="0"/>
        <w:keepLines w:val="0"/>
        <w:pageBreakBefore w:val="0"/>
        <w:widowControl w:val="0"/>
        <w:kinsoku/>
        <w:wordWrap w:val="0"/>
        <w:overflowPunct/>
        <w:topLinePunct w:val="0"/>
        <w:autoSpaceDE/>
        <w:autoSpaceDN/>
        <w:bidi w:val="0"/>
        <w:adjustRightInd/>
        <w:snapToGrid/>
        <w:spacing w:line="320" w:lineRule="exact"/>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（1）非专门面向中小企业采购的项目，应执行价格扣除比例</w:t>
      </w:r>
      <w:r>
        <w:rPr>
          <w:rFonts w:hint="eastAsia" w:ascii="宋体" w:hAnsi="宋体" w:eastAsia="宋体" w:cs="宋体"/>
          <w:b/>
          <w:bCs/>
          <w:sz w:val="21"/>
          <w:szCs w:val="21"/>
          <w:lang w:eastAsia="zh-CN"/>
        </w:rPr>
        <w:t>（</w:t>
      </w:r>
      <w:r>
        <w:rPr>
          <w:rFonts w:hint="eastAsia" w:ascii="宋体" w:hAnsi="宋体" w:eastAsia="宋体" w:cs="宋体"/>
          <w:b/>
          <w:bCs/>
          <w:sz w:val="21"/>
          <w:szCs w:val="21"/>
        </w:rPr>
        <w:t>政策调整后价格仅作为评审依据，不作为中标价格</w:t>
      </w:r>
      <w:r>
        <w:rPr>
          <w:rFonts w:hint="eastAsia" w:ascii="宋体" w:hAnsi="宋体" w:eastAsia="宋体" w:cs="宋体"/>
          <w:b/>
          <w:bCs/>
          <w:sz w:val="21"/>
          <w:szCs w:val="21"/>
          <w:lang w:eastAsia="zh-CN"/>
        </w:rPr>
        <w:t>）</w:t>
      </w:r>
      <w:r>
        <w:rPr>
          <w:rFonts w:hint="eastAsia" w:ascii="宋体" w:hAnsi="宋体" w:eastAsia="宋体" w:cs="宋体"/>
          <w:sz w:val="21"/>
          <w:szCs w:val="21"/>
        </w:rPr>
        <w:t>：供应商提供的服务全部由优惠主体承接，则对其投标</w:t>
      </w:r>
      <w:r>
        <w:rPr>
          <w:rFonts w:hint="eastAsia" w:ascii="宋体" w:hAnsi="宋体" w:eastAsia="宋体" w:cs="宋体"/>
          <w:sz w:val="21"/>
          <w:szCs w:val="21"/>
          <w:lang w:val="en-US" w:eastAsia="zh-CN"/>
        </w:rPr>
        <w:t>报价</w:t>
      </w:r>
      <w:r>
        <w:rPr>
          <w:rFonts w:hint="eastAsia" w:ascii="宋体" w:hAnsi="宋体" w:eastAsia="宋体" w:cs="宋体"/>
          <w:sz w:val="21"/>
          <w:szCs w:val="21"/>
        </w:rPr>
        <w:t>给予</w:t>
      </w:r>
      <w:r>
        <w:rPr>
          <w:rFonts w:hint="eastAsia" w:ascii="宋体" w:hAnsi="宋体" w:eastAsia="宋体" w:cs="宋体"/>
          <w:color w:val="FF0000"/>
          <w:sz w:val="21"/>
          <w:szCs w:val="21"/>
          <w:u w:val="single"/>
        </w:rPr>
        <w:t xml:space="preserve"> 10%</w:t>
      </w:r>
      <w:r>
        <w:rPr>
          <w:rFonts w:hint="eastAsia" w:ascii="宋体" w:hAnsi="宋体" w:eastAsia="宋体" w:cs="宋体"/>
          <w:color w:val="FF0000"/>
          <w:sz w:val="21"/>
          <w:szCs w:val="21"/>
          <w:u w:val="single"/>
          <w:lang w:val="en-US" w:eastAsia="zh-CN"/>
        </w:rPr>
        <w:t xml:space="preserve"> </w:t>
      </w:r>
      <w:r>
        <w:rPr>
          <w:rFonts w:hint="eastAsia" w:ascii="宋体" w:hAnsi="宋体" w:eastAsia="宋体" w:cs="宋体"/>
          <w:sz w:val="21"/>
          <w:szCs w:val="21"/>
        </w:rPr>
        <w:t>的扣除，用扣除后的价格参与评审。满足多项优惠政策的企业，不重复享受多项价格扣除政策。</w:t>
      </w:r>
    </w:p>
    <w:p w14:paraId="38541D5D">
      <w:pPr>
        <w:keepNext w:val="0"/>
        <w:keepLines w:val="0"/>
        <w:pageBreakBefore w:val="0"/>
        <w:widowControl w:val="0"/>
        <w:kinsoku/>
        <w:wordWrap w:val="0"/>
        <w:overflowPunct/>
        <w:topLinePunct w:val="0"/>
        <w:autoSpaceDE/>
        <w:autoSpaceDN/>
        <w:bidi w:val="0"/>
        <w:adjustRightInd/>
        <w:snapToGrid/>
        <w:spacing w:line="320" w:lineRule="exact"/>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备注：（a）优惠主体包括小型企业、微型企业、监狱企业、残疾人福利性单位；中小企业是指在中华人民共和国境内依法设立，依据国务院批准的中小企业划分标准确定的中型企业、小型企业、微型企业，</w:t>
      </w:r>
      <w:r>
        <w:rPr>
          <w:rFonts w:hint="eastAsia" w:ascii="宋体" w:hAnsi="宋体" w:eastAsia="宋体" w:cs="宋体"/>
          <w:sz w:val="21"/>
          <w:szCs w:val="21"/>
          <w:highlight w:val="yellow"/>
        </w:rPr>
        <w:t>但与大企业的负责人为同一人，或者与大企业存在直接控股、管理关系的除外；</w:t>
      </w:r>
      <w:r>
        <w:rPr>
          <w:rFonts w:hint="eastAsia" w:ascii="宋体" w:hAnsi="宋体" w:eastAsia="宋体" w:cs="宋体"/>
          <w:sz w:val="21"/>
          <w:szCs w:val="21"/>
        </w:rPr>
        <w:t>符合中小企业划分标准的个体工商户，在政府采购活动中视同中小企业；(b)优惠主体承接是指提供服务的人员为中小企业依照《中华人民共和国劳动合同法》订立劳动合同的从业人员。</w:t>
      </w:r>
      <w:r>
        <w:rPr>
          <w:rFonts w:hint="eastAsia" w:ascii="宋体" w:hAnsi="宋体" w:eastAsia="宋体" w:cs="宋体"/>
          <w:b/>
          <w:bCs/>
          <w:color w:val="FF0000"/>
          <w:sz w:val="21"/>
          <w:szCs w:val="21"/>
          <w:highlight w:val="yellow"/>
        </w:rPr>
        <w:t>（c）事业单位、社会组织等非企业主体不享受中小企业扶持政策</w:t>
      </w:r>
      <w:r>
        <w:rPr>
          <w:rFonts w:hint="eastAsia" w:ascii="宋体" w:hAnsi="宋体" w:eastAsia="宋体" w:cs="宋体"/>
          <w:b/>
          <w:bCs/>
          <w:color w:val="auto"/>
          <w:sz w:val="21"/>
          <w:szCs w:val="21"/>
          <w:highlight w:val="yellow"/>
        </w:rPr>
        <w:t>，</w:t>
      </w:r>
      <w:r>
        <w:rPr>
          <w:rFonts w:hint="eastAsia" w:ascii="宋体" w:hAnsi="宋体" w:eastAsia="宋体" w:cs="宋体"/>
          <w:color w:val="auto"/>
          <w:sz w:val="21"/>
          <w:szCs w:val="21"/>
          <w:highlight w:val="yellow"/>
        </w:rPr>
        <w:t>但事业单位、社会组织等非企业主体提供全部由中小企业制造的货物参加货物采购项目的除外。</w:t>
      </w:r>
    </w:p>
    <w:p w14:paraId="051D79DF">
      <w:pPr>
        <w:keepNext w:val="0"/>
        <w:keepLines w:val="0"/>
        <w:pageBreakBefore w:val="0"/>
        <w:widowControl/>
        <w:suppressLineNumbers w:val="0"/>
        <w:kinsoku/>
        <w:overflowPunct/>
        <w:topLinePunct w:val="0"/>
        <w:autoSpaceDE/>
        <w:autoSpaceDN/>
        <w:bidi w:val="0"/>
        <w:adjustRightInd/>
        <w:snapToGrid/>
        <w:spacing w:line="320" w:lineRule="exact"/>
        <w:ind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w:t>
      </w:r>
      <w:r>
        <w:rPr>
          <w:rFonts w:hint="eastAsia" w:ascii="宋体" w:hAnsi="宋体" w:eastAsia="宋体" w:cs="宋体"/>
          <w:sz w:val="21"/>
          <w:szCs w:val="21"/>
          <w:lang w:val="en-US" w:eastAsia="zh-CN"/>
        </w:rPr>
        <w:t>2</w:t>
      </w:r>
      <w:r>
        <w:rPr>
          <w:rFonts w:hint="eastAsia" w:ascii="宋体" w:hAnsi="宋体" w:eastAsia="宋体" w:cs="宋体"/>
          <w:sz w:val="21"/>
          <w:szCs w:val="21"/>
        </w:rPr>
        <w:t>）中小企业参加政府采购活动，应当按照国务院批准的《中小企业划型标准规定》（工信部联企 业〔2011〕300号）、《金融业企业划型标准规定》（银发〔2015〕309号）和《财政部 工业和信息化部关于印发〈政府采购促进中小企业发展管理办法〉的通知》（财库〔2020〕46 号）的规定，出具《中小企业声明函》，</w:t>
      </w:r>
      <w:r>
        <w:rPr>
          <w:rFonts w:hint="eastAsia" w:ascii="宋体" w:hAnsi="宋体" w:eastAsia="宋体" w:cs="宋体"/>
          <w:b/>
          <w:bCs/>
          <w:color w:val="FF0000"/>
          <w:sz w:val="21"/>
          <w:szCs w:val="21"/>
        </w:rPr>
        <w:t>《中小企业声明函》中相关企业所属行业应当与采购标的所属行业相一致。</w:t>
      </w:r>
      <w:r>
        <w:rPr>
          <w:rFonts w:hint="eastAsia" w:ascii="宋体" w:hAnsi="宋体" w:eastAsia="宋体" w:cs="宋体"/>
          <w:sz w:val="21"/>
          <w:szCs w:val="21"/>
        </w:rPr>
        <w:t>本项目采购标的（服务需求）对应的中小企业划分标准所属行业为</w:t>
      </w:r>
      <w:r>
        <w:rPr>
          <w:rFonts w:hint="eastAsia" w:ascii="宋体" w:hAnsi="宋体" w:eastAsia="宋体" w:cs="宋体"/>
          <w:b/>
          <w:bCs/>
          <w:color w:val="FF0000"/>
          <w:kern w:val="0"/>
          <w:sz w:val="21"/>
          <w:szCs w:val="21"/>
          <w:lang w:val="en-US" w:eastAsia="zh-CN" w:bidi="ar"/>
        </w:rPr>
        <w:t>【其他未列明行业】</w:t>
      </w:r>
      <w:r>
        <w:rPr>
          <w:rFonts w:hint="eastAsia" w:ascii="宋体" w:hAnsi="宋体" w:eastAsia="宋体" w:cs="宋体"/>
          <w:sz w:val="21"/>
          <w:szCs w:val="21"/>
        </w:rPr>
        <w:t>。</w:t>
      </w:r>
    </w:p>
    <w:p w14:paraId="61639C0D">
      <w:pPr>
        <w:keepNext w:val="0"/>
        <w:keepLines w:val="0"/>
        <w:pageBreakBefore w:val="0"/>
        <w:widowControl w:val="0"/>
        <w:kinsoku/>
        <w:wordWrap w:val="0"/>
        <w:overflowPunct/>
        <w:topLinePunct w:val="0"/>
        <w:autoSpaceDE/>
        <w:autoSpaceDN/>
        <w:bidi w:val="0"/>
        <w:adjustRightInd/>
        <w:snapToGrid/>
        <w:spacing w:line="320" w:lineRule="exact"/>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w:t>
      </w:r>
      <w:r>
        <w:rPr>
          <w:rFonts w:hint="eastAsia" w:ascii="宋体" w:hAnsi="宋体" w:eastAsia="宋体" w:cs="宋体"/>
          <w:sz w:val="21"/>
          <w:szCs w:val="21"/>
          <w:lang w:val="en-US" w:eastAsia="zh-CN"/>
        </w:rPr>
        <w:t>3</w:t>
      </w:r>
      <w:r>
        <w:rPr>
          <w:rFonts w:hint="eastAsia" w:ascii="宋体" w:hAnsi="宋体" w:eastAsia="宋体" w:cs="宋体"/>
          <w:sz w:val="21"/>
          <w:szCs w:val="21"/>
        </w:rPr>
        <w:t>）小型企业、微型企业、残疾人福利性单位作为优惠主体的认定资料为《中小企业声明函》、《残疾人福利性单位声明函》；监狱企业作为优惠主体的认定资料为省级以上监狱管理局、戒毒管理局出具的监狱企业证明文件。声明函样式见本招标文件第一册专用条款第三章“投标文件格式、附件”中“三、投标人情况及资格证明文件”章节提供的格式）。</w:t>
      </w:r>
    </w:p>
    <w:p w14:paraId="34789D3C">
      <w:pPr>
        <w:keepNext w:val="0"/>
        <w:keepLines w:val="0"/>
        <w:pageBreakBefore w:val="0"/>
        <w:widowControl w:val="0"/>
        <w:kinsoku/>
        <w:wordWrap w:val="0"/>
        <w:overflowPunct/>
        <w:topLinePunct w:val="0"/>
        <w:autoSpaceDE/>
        <w:autoSpaceDN/>
        <w:bidi w:val="0"/>
        <w:adjustRightInd/>
        <w:snapToGrid/>
        <w:spacing w:line="320" w:lineRule="exact"/>
        <w:ind w:firstLine="420" w:firstLineChars="200"/>
        <w:textAlignment w:val="auto"/>
        <w:rPr>
          <w:b/>
          <w:sz w:val="28"/>
          <w:szCs w:val="28"/>
        </w:rPr>
      </w:pPr>
      <w:r>
        <w:rPr>
          <w:rFonts w:hint="eastAsia" w:ascii="宋体" w:hAnsi="宋体" w:eastAsia="宋体" w:cs="宋体"/>
          <w:sz w:val="21"/>
          <w:szCs w:val="21"/>
        </w:rPr>
        <w:t>（</w:t>
      </w:r>
      <w:r>
        <w:rPr>
          <w:rFonts w:hint="eastAsia" w:ascii="宋体" w:hAnsi="宋体" w:eastAsia="宋体" w:cs="宋体"/>
          <w:sz w:val="21"/>
          <w:szCs w:val="21"/>
          <w:lang w:val="en-US" w:eastAsia="zh-CN"/>
        </w:rPr>
        <w:t>4</w:t>
      </w:r>
      <w:r>
        <w:rPr>
          <w:rFonts w:hint="eastAsia" w:ascii="宋体" w:hAnsi="宋体" w:eastAsia="宋体" w:cs="宋体"/>
          <w:sz w:val="21"/>
          <w:szCs w:val="21"/>
        </w:rPr>
        <w:t>）享受价格扣除获得政府采购合同的，小微企业不得将合同分包给大中型企业。</w:t>
      </w:r>
    </w:p>
    <w:p w14:paraId="6DCE0173">
      <w:pPr>
        <w:keepNext w:val="0"/>
        <w:keepLines w:val="0"/>
        <w:pageBreakBefore w:val="0"/>
        <w:widowControl w:val="0"/>
        <w:kinsoku/>
        <w:wordWrap/>
        <w:overflowPunct/>
        <w:topLinePunct w:val="0"/>
        <w:autoSpaceDE/>
        <w:autoSpaceDN/>
        <w:bidi w:val="0"/>
        <w:adjustRightInd/>
        <w:snapToGrid/>
        <w:spacing w:line="320" w:lineRule="exact"/>
        <w:ind w:firstLine="420" w:firstLineChars="200"/>
        <w:jc w:val="both"/>
        <w:textAlignment w:val="auto"/>
        <w:rPr>
          <w:rFonts w:hint="eastAsia" w:ascii="宋体" w:hAnsi="宋体" w:eastAsia="宋体" w:cs="宋体"/>
          <w:b w:val="0"/>
          <w:bCs/>
          <w:sz w:val="21"/>
          <w:szCs w:val="21"/>
          <w:highlight w:val="none"/>
        </w:rPr>
      </w:pPr>
      <w:r>
        <w:rPr>
          <w:rFonts w:hint="eastAsia" w:ascii="宋体" w:hAnsi="宋体" w:eastAsia="宋体" w:cs="宋体"/>
          <w:b/>
          <w:sz w:val="21"/>
          <w:szCs w:val="21"/>
          <w:highlight w:val="none"/>
        </w:rPr>
        <w:t>2、本项目为代理服务项目，将向采购人收取代理服务费。</w:t>
      </w:r>
      <w:r>
        <w:rPr>
          <w:rFonts w:hint="eastAsia" w:ascii="宋体" w:hAnsi="宋体" w:eastAsia="宋体" w:cs="宋体"/>
          <w:b w:val="0"/>
          <w:bCs/>
          <w:sz w:val="21"/>
          <w:szCs w:val="21"/>
          <w:highlight w:val="none"/>
        </w:rPr>
        <w:t>代理服务费标准参照下列标准收取</w:t>
      </w:r>
      <w:r>
        <w:rPr>
          <w:rFonts w:hint="eastAsia" w:ascii="宋体" w:hAnsi="宋体" w:cs="宋体"/>
          <w:b w:val="0"/>
          <w:bCs/>
          <w:sz w:val="21"/>
          <w:szCs w:val="21"/>
          <w:highlight w:val="none"/>
          <w:lang w:eastAsia="zh-CN"/>
        </w:rPr>
        <w:t>，</w:t>
      </w:r>
      <w:r>
        <w:rPr>
          <w:rFonts w:hint="eastAsia" w:ascii="宋体" w:hAnsi="宋体" w:eastAsia="宋体" w:cs="宋体"/>
          <w:b/>
          <w:bCs w:val="0"/>
          <w:color w:val="auto"/>
          <w:sz w:val="21"/>
          <w:szCs w:val="21"/>
          <w:highlight w:val="none"/>
        </w:rPr>
        <w:t>本项目类型为服务采购</w:t>
      </w:r>
      <w:r>
        <w:rPr>
          <w:rFonts w:hint="eastAsia" w:ascii="宋体" w:hAnsi="宋体" w:eastAsia="宋体" w:cs="宋体"/>
          <w:b w:val="0"/>
          <w:bCs/>
          <w:sz w:val="21"/>
          <w:szCs w:val="21"/>
          <w:highlight w:val="none"/>
        </w:rPr>
        <w:t>：</w:t>
      </w:r>
    </w:p>
    <w:p w14:paraId="4CF15599">
      <w:pPr>
        <w:keepNext w:val="0"/>
        <w:keepLines w:val="0"/>
        <w:pageBreakBefore w:val="0"/>
        <w:widowControl w:val="0"/>
        <w:kinsoku/>
        <w:wordWrap/>
        <w:overflowPunct/>
        <w:topLinePunct w:val="0"/>
        <w:autoSpaceDE/>
        <w:autoSpaceDN/>
        <w:bidi w:val="0"/>
        <w:adjustRightInd/>
        <w:snapToGrid/>
        <w:spacing w:line="320" w:lineRule="exact"/>
        <w:ind w:firstLine="420" w:firstLineChars="200"/>
        <w:jc w:val="both"/>
        <w:textAlignment w:val="auto"/>
        <w:rPr>
          <w:rFonts w:hint="eastAsia" w:ascii="宋体" w:hAnsi="宋体" w:eastAsia="宋体" w:cs="宋体"/>
          <w:b w:val="0"/>
          <w:bCs/>
          <w:sz w:val="21"/>
          <w:szCs w:val="21"/>
          <w:highlight w:val="none"/>
        </w:rPr>
      </w:pPr>
      <w:r>
        <w:rPr>
          <w:rFonts w:hint="eastAsia" w:ascii="宋体" w:hAnsi="宋体" w:eastAsia="宋体" w:cs="宋体"/>
          <w:b w:val="0"/>
          <w:bCs/>
          <w:sz w:val="21"/>
          <w:szCs w:val="21"/>
          <w:highlight w:val="none"/>
        </w:rPr>
        <w:t>（一）代理服务费以《成交/中标通知书》确定的成交金额作为计算基数，按差额定率累进法计算。</w:t>
      </w:r>
    </w:p>
    <w:p w14:paraId="07A69243">
      <w:pPr>
        <w:keepNext w:val="0"/>
        <w:keepLines w:val="0"/>
        <w:pageBreakBefore w:val="0"/>
        <w:widowControl w:val="0"/>
        <w:kinsoku/>
        <w:wordWrap/>
        <w:overflowPunct/>
        <w:topLinePunct w:val="0"/>
        <w:autoSpaceDE/>
        <w:autoSpaceDN/>
        <w:bidi w:val="0"/>
        <w:adjustRightInd/>
        <w:snapToGrid/>
        <w:spacing w:line="320" w:lineRule="exact"/>
        <w:ind w:firstLine="420" w:firstLineChars="200"/>
        <w:jc w:val="both"/>
        <w:textAlignment w:val="auto"/>
        <w:rPr>
          <w:rFonts w:hint="eastAsia" w:ascii="宋体" w:hAnsi="宋体" w:eastAsia="宋体" w:cs="宋体"/>
          <w:b/>
          <w:kern w:val="2"/>
          <w:sz w:val="21"/>
          <w:szCs w:val="21"/>
          <w:highlight w:val="yellow"/>
        </w:rPr>
      </w:pPr>
      <w:r>
        <w:rPr>
          <w:rFonts w:hint="eastAsia" w:ascii="宋体" w:hAnsi="宋体" w:eastAsia="宋体" w:cs="宋体"/>
          <w:b w:val="0"/>
          <w:bCs/>
          <w:sz w:val="21"/>
          <w:szCs w:val="21"/>
          <w:highlight w:val="none"/>
        </w:rPr>
        <w:t>（二）中标金额的各部分费率如下表：</w:t>
      </w:r>
    </w:p>
    <w:tbl>
      <w:tblPr>
        <w:tblStyle w:val="48"/>
        <w:tblW w:w="4047" w:type="pct"/>
        <w:jc w:val="center"/>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Layout w:type="autofit"/>
        <w:tblCellMar>
          <w:top w:w="0" w:type="dxa"/>
          <w:left w:w="108" w:type="dxa"/>
          <w:bottom w:w="0" w:type="dxa"/>
          <w:right w:w="108" w:type="dxa"/>
        </w:tblCellMar>
      </w:tblPr>
      <w:tblGrid>
        <w:gridCol w:w="3754"/>
        <w:gridCol w:w="1674"/>
        <w:gridCol w:w="1695"/>
        <w:gridCol w:w="1523"/>
      </w:tblGrid>
      <w:tr w14:paraId="4363D80A">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1001" w:hRule="atLeast"/>
          <w:jc w:val="center"/>
        </w:trPr>
        <w:tc>
          <w:tcPr>
            <w:tcW w:w="2171" w:type="pct"/>
            <w:tcBorders>
              <w:tl2br w:val="nil"/>
              <w:tr2bl w:val="nil"/>
            </w:tcBorders>
            <w:noWrap w:val="0"/>
            <w:vAlign w:val="center"/>
            <mc:AlternateContent>
              <mc:Choice Requires="wpsCustomData">
                <wpsCustomData:diagonals>
                  <wpsCustomData:diagonal from="10000" to="30000">
                    <wpsCustomData:border w:val="single" w:color="auto" w:sz="4" w:space="0"/>
                  </wpsCustomData:diagonal>
                </wpsCustomData:diagonals>
              </mc:Choice>
            </mc:AlternateContent>
          </w:tcPr>
          <w:p w14:paraId="7A130785">
            <w:pPr>
              <w:pStyle w:val="2"/>
              <w:rPr>
                <w:rFonts w:hint="eastAsia" w:ascii="宋体" w:hAnsi="宋体" w:eastAsia="宋体" w:cs="宋体"/>
                <w:b/>
                <w:bCs/>
                <w:sz w:val="21"/>
                <w:szCs w:val="21"/>
              </w:rPr>
            </w:pPr>
          </w:p>
          <w:p w14:paraId="53B9CCC4">
            <w:pPr>
              <w:pStyle w:val="3"/>
              <w:rPr>
                <w:rFonts w:hint="eastAsia" w:ascii="宋体" w:hAnsi="宋体" w:eastAsia="宋体" w:cs="宋体"/>
                <w:b/>
                <w:bCs/>
                <w:kern w:val="0"/>
                <w:sz w:val="21"/>
                <w:szCs w:val="21"/>
              </w:rPr>
            </w:pPr>
            <w:r>
              <w:rPr>
                <w:rFonts w:hint="eastAsia" w:ascii="宋体" w:hAnsi="宋体" w:eastAsia="宋体" w:cs="宋体"/>
                <w:b/>
                <w:bCs/>
                <w:sz w:val="21"/>
                <w:szCs w:val="21"/>
                <w:lang w:val="en-US" w:eastAsia="zh-CN"/>
              </w:rPr>
              <w:t>中标</w:t>
            </w:r>
            <w:r>
              <w:rPr>
                <w:rFonts w:hint="eastAsia" w:ascii="宋体" w:hAnsi="宋体" w:eastAsia="宋体" w:cs="宋体"/>
                <w:b/>
                <w:bCs/>
                <w:sz w:val="21"/>
                <w:szCs w:val="21"/>
              </w:rPr>
              <w:t>金额</w:t>
            </w:r>
          </w:p>
          <w:p w14:paraId="7966C52A">
            <w:pPr>
              <w:pStyle w:val="3"/>
              <mc:AlternateContent>
                <mc:Choice Requires="wpsCustomData">
                  <wpsCustomData:diagonalParaType/>
                </mc:Choice>
              </mc:AlternateContent>
              <w:rPr>
                <w:rFonts w:hint="eastAsia" w:ascii="宋体" w:hAnsi="宋体" w:eastAsia="宋体" w:cs="宋体"/>
                <w:b/>
                <w:bCs/>
                <w:kern w:val="0"/>
                <w:sz w:val="21"/>
                <w:szCs w:val="21"/>
              </w:rPr>
            </w:pPr>
          </w:p>
          <w:p w14:paraId="0E6D8813">
            <w:pPr>
              <w:keepNext w:val="0"/>
              <w:keepLines w:val="0"/>
              <w:pageBreakBefore w:val="0"/>
              <w:widowControl/>
              <w:kinsoku/>
              <w:wordWrap/>
              <w:overflowPunct/>
              <w:topLinePunct w:val="0"/>
              <w:autoSpaceDE/>
              <w:autoSpaceDN/>
              <w:bidi w:val="0"/>
              <w:adjustRightInd/>
              <w:snapToGrid w:val="0"/>
              <w:spacing w:line="360" w:lineRule="exact"/>
              <w:ind w:firstLine="1051" w:firstLineChars="500"/>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rPr>
              <w:t>类别</w:t>
            </w:r>
          </w:p>
        </w:tc>
        <w:tc>
          <w:tcPr>
            <w:tcW w:w="968" w:type="pct"/>
            <w:tcBorders>
              <w:tl2br w:val="nil"/>
              <w:tr2bl w:val="nil"/>
            </w:tcBorders>
            <w:noWrap w:val="0"/>
            <w:vAlign w:val="center"/>
          </w:tcPr>
          <w:p w14:paraId="14918DA3">
            <w:pPr>
              <w:keepNext w:val="0"/>
              <w:keepLines w:val="0"/>
              <w:pageBreakBefore w:val="0"/>
              <w:widowControl/>
              <w:kinsoku/>
              <w:wordWrap/>
              <w:overflowPunct/>
              <w:topLinePunct w:val="0"/>
              <w:autoSpaceDE/>
              <w:autoSpaceDN/>
              <w:bidi w:val="0"/>
              <w:adjustRightInd/>
              <w:snapToGrid w:val="0"/>
              <w:spacing w:line="360" w:lineRule="exact"/>
              <w:jc w:val="center"/>
              <w:textAlignment w:val="auto"/>
              <w:rPr>
                <w:rFonts w:hint="eastAsia" w:ascii="宋体" w:hAnsi="宋体" w:eastAsia="宋体" w:cs="宋体"/>
                <w:b/>
                <w:bCs w:val="0"/>
                <w:kern w:val="0"/>
                <w:sz w:val="21"/>
                <w:szCs w:val="21"/>
              </w:rPr>
            </w:pPr>
            <w:r>
              <w:rPr>
                <w:rFonts w:hint="eastAsia" w:ascii="宋体" w:hAnsi="宋体" w:eastAsia="宋体" w:cs="宋体"/>
                <w:b/>
                <w:bCs w:val="0"/>
                <w:kern w:val="0"/>
                <w:sz w:val="21"/>
                <w:szCs w:val="21"/>
                <w:lang w:val="en-US" w:eastAsia="zh-CN"/>
              </w:rPr>
              <w:t>货物</w:t>
            </w:r>
            <w:r>
              <w:rPr>
                <w:rFonts w:hint="eastAsia" w:ascii="宋体" w:hAnsi="宋体" w:eastAsia="宋体" w:cs="宋体"/>
                <w:b/>
                <w:bCs w:val="0"/>
                <w:kern w:val="0"/>
                <w:sz w:val="21"/>
                <w:szCs w:val="21"/>
              </w:rPr>
              <w:t>采购</w:t>
            </w:r>
          </w:p>
        </w:tc>
        <w:tc>
          <w:tcPr>
            <w:tcW w:w="980" w:type="pct"/>
            <w:tcBorders>
              <w:tl2br w:val="nil"/>
              <w:tr2bl w:val="nil"/>
            </w:tcBorders>
            <w:noWrap w:val="0"/>
            <w:vAlign w:val="center"/>
          </w:tcPr>
          <w:p w14:paraId="6BF60008">
            <w:pPr>
              <w:keepNext w:val="0"/>
              <w:keepLines w:val="0"/>
              <w:pageBreakBefore w:val="0"/>
              <w:widowControl/>
              <w:kinsoku/>
              <w:wordWrap/>
              <w:overflowPunct/>
              <w:topLinePunct w:val="0"/>
              <w:autoSpaceDE/>
              <w:autoSpaceDN/>
              <w:bidi w:val="0"/>
              <w:adjustRightInd/>
              <w:snapToGrid w:val="0"/>
              <w:spacing w:line="360" w:lineRule="exact"/>
              <w:jc w:val="center"/>
              <w:textAlignment w:val="auto"/>
              <w:rPr>
                <w:rFonts w:hint="eastAsia" w:ascii="宋体" w:hAnsi="宋体" w:eastAsia="宋体" w:cs="宋体"/>
                <w:b/>
                <w:bCs w:val="0"/>
                <w:kern w:val="0"/>
                <w:sz w:val="21"/>
                <w:szCs w:val="21"/>
              </w:rPr>
            </w:pPr>
            <w:r>
              <w:rPr>
                <w:rFonts w:hint="eastAsia" w:ascii="宋体" w:hAnsi="宋体" w:eastAsia="宋体" w:cs="宋体"/>
                <w:b/>
                <w:bCs w:val="0"/>
                <w:kern w:val="0"/>
                <w:sz w:val="21"/>
                <w:szCs w:val="21"/>
              </w:rPr>
              <w:t>服务采购</w:t>
            </w:r>
          </w:p>
        </w:tc>
        <w:tc>
          <w:tcPr>
            <w:tcW w:w="879" w:type="pct"/>
            <w:tcBorders>
              <w:tl2br w:val="nil"/>
              <w:tr2bl w:val="nil"/>
            </w:tcBorders>
            <w:noWrap w:val="0"/>
            <w:vAlign w:val="center"/>
          </w:tcPr>
          <w:p w14:paraId="6B0DAAAF">
            <w:pPr>
              <w:keepNext w:val="0"/>
              <w:keepLines w:val="0"/>
              <w:pageBreakBefore w:val="0"/>
              <w:widowControl/>
              <w:kinsoku/>
              <w:wordWrap/>
              <w:overflowPunct/>
              <w:topLinePunct w:val="0"/>
              <w:autoSpaceDE/>
              <w:autoSpaceDN/>
              <w:bidi w:val="0"/>
              <w:adjustRightInd/>
              <w:snapToGrid w:val="0"/>
              <w:spacing w:line="360" w:lineRule="exact"/>
              <w:jc w:val="center"/>
              <w:textAlignment w:val="auto"/>
              <w:rPr>
                <w:rFonts w:hint="eastAsia" w:ascii="宋体" w:hAnsi="宋体" w:eastAsia="宋体" w:cs="宋体"/>
                <w:b/>
                <w:bCs w:val="0"/>
                <w:kern w:val="0"/>
                <w:sz w:val="21"/>
                <w:szCs w:val="21"/>
              </w:rPr>
            </w:pPr>
            <w:r>
              <w:rPr>
                <w:rFonts w:hint="eastAsia" w:ascii="宋体" w:hAnsi="宋体" w:eastAsia="宋体" w:cs="宋体"/>
                <w:b/>
                <w:bCs w:val="0"/>
                <w:kern w:val="0"/>
                <w:sz w:val="21"/>
                <w:szCs w:val="21"/>
              </w:rPr>
              <w:t>工程采购</w:t>
            </w:r>
          </w:p>
        </w:tc>
      </w:tr>
      <w:tr w14:paraId="392166E4">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402" w:hRule="atLeast"/>
          <w:jc w:val="center"/>
        </w:trPr>
        <w:tc>
          <w:tcPr>
            <w:tcW w:w="2171" w:type="pct"/>
            <w:tcBorders>
              <w:tl2br w:val="nil"/>
              <w:tr2bl w:val="nil"/>
            </w:tcBorders>
            <w:noWrap w:val="0"/>
            <w:vAlign w:val="center"/>
          </w:tcPr>
          <w:p w14:paraId="70AD497E">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宋体" w:hAnsi="宋体" w:eastAsia="宋体" w:cs="宋体"/>
                <w:bCs/>
                <w:kern w:val="0"/>
                <w:sz w:val="21"/>
                <w:szCs w:val="21"/>
              </w:rPr>
            </w:pPr>
            <w:r>
              <w:rPr>
                <w:rFonts w:hint="eastAsia" w:ascii="宋体" w:hAnsi="宋体" w:eastAsia="宋体" w:cs="宋体"/>
                <w:sz w:val="21"/>
                <w:szCs w:val="21"/>
              </w:rPr>
              <w:t>100万元以下</w:t>
            </w:r>
          </w:p>
        </w:tc>
        <w:tc>
          <w:tcPr>
            <w:tcW w:w="968" w:type="pct"/>
            <w:tcBorders>
              <w:tl2br w:val="nil"/>
              <w:tr2bl w:val="nil"/>
            </w:tcBorders>
            <w:noWrap w:val="0"/>
            <w:vAlign w:val="center"/>
          </w:tcPr>
          <w:p w14:paraId="536AB224">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宋体" w:hAnsi="宋体" w:eastAsia="宋体" w:cs="宋体"/>
                <w:bCs/>
                <w:kern w:val="0"/>
                <w:sz w:val="21"/>
                <w:szCs w:val="21"/>
              </w:rPr>
            </w:pPr>
            <w:r>
              <w:rPr>
                <w:rFonts w:hint="eastAsia" w:ascii="宋体" w:hAnsi="宋体" w:eastAsia="宋体" w:cs="宋体"/>
                <w:sz w:val="21"/>
                <w:szCs w:val="21"/>
              </w:rPr>
              <w:t>1.5%</w:t>
            </w:r>
          </w:p>
        </w:tc>
        <w:tc>
          <w:tcPr>
            <w:tcW w:w="980" w:type="pct"/>
            <w:tcBorders>
              <w:tl2br w:val="nil"/>
              <w:tr2bl w:val="nil"/>
            </w:tcBorders>
            <w:noWrap w:val="0"/>
            <w:vAlign w:val="center"/>
          </w:tcPr>
          <w:p w14:paraId="0A8EFE78">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宋体" w:hAnsi="宋体" w:eastAsia="宋体" w:cs="宋体"/>
                <w:bCs/>
                <w:kern w:val="0"/>
                <w:sz w:val="21"/>
                <w:szCs w:val="21"/>
              </w:rPr>
            </w:pPr>
            <w:r>
              <w:rPr>
                <w:rFonts w:hint="eastAsia" w:ascii="宋体" w:hAnsi="宋体" w:eastAsia="宋体" w:cs="宋体"/>
                <w:sz w:val="21"/>
                <w:szCs w:val="21"/>
              </w:rPr>
              <w:t>1.5%</w:t>
            </w:r>
          </w:p>
        </w:tc>
        <w:tc>
          <w:tcPr>
            <w:tcW w:w="879" w:type="pct"/>
            <w:tcBorders>
              <w:tl2br w:val="nil"/>
              <w:tr2bl w:val="nil"/>
            </w:tcBorders>
            <w:noWrap w:val="0"/>
            <w:vAlign w:val="center"/>
          </w:tcPr>
          <w:p w14:paraId="6424A9AE">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宋体" w:hAnsi="宋体" w:eastAsia="宋体" w:cs="宋体"/>
                <w:bCs/>
                <w:kern w:val="0"/>
                <w:sz w:val="21"/>
                <w:szCs w:val="21"/>
              </w:rPr>
            </w:pPr>
            <w:r>
              <w:rPr>
                <w:rFonts w:hint="eastAsia" w:ascii="宋体" w:hAnsi="宋体" w:eastAsia="宋体" w:cs="宋体"/>
                <w:sz w:val="21"/>
                <w:szCs w:val="21"/>
              </w:rPr>
              <w:t>1.0%</w:t>
            </w:r>
          </w:p>
        </w:tc>
      </w:tr>
      <w:tr w14:paraId="70FB0E7F">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402" w:hRule="atLeast"/>
          <w:jc w:val="center"/>
        </w:trPr>
        <w:tc>
          <w:tcPr>
            <w:tcW w:w="2171" w:type="pct"/>
            <w:tcBorders>
              <w:tl2br w:val="nil"/>
              <w:tr2bl w:val="nil"/>
            </w:tcBorders>
            <w:noWrap w:val="0"/>
            <w:vAlign w:val="center"/>
          </w:tcPr>
          <w:p w14:paraId="762C9668">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宋体" w:hAnsi="宋体" w:eastAsia="宋体" w:cs="宋体"/>
                <w:bCs/>
                <w:kern w:val="0"/>
                <w:sz w:val="21"/>
                <w:szCs w:val="21"/>
              </w:rPr>
            </w:pPr>
            <w:r>
              <w:rPr>
                <w:rFonts w:hint="eastAsia" w:ascii="宋体" w:hAnsi="宋体" w:eastAsia="宋体" w:cs="宋体"/>
                <w:sz w:val="21"/>
                <w:szCs w:val="21"/>
              </w:rPr>
              <w:t>100万元（含）-500万元</w:t>
            </w:r>
          </w:p>
        </w:tc>
        <w:tc>
          <w:tcPr>
            <w:tcW w:w="968" w:type="pct"/>
            <w:tcBorders>
              <w:tl2br w:val="nil"/>
              <w:tr2bl w:val="nil"/>
            </w:tcBorders>
            <w:noWrap w:val="0"/>
            <w:vAlign w:val="center"/>
          </w:tcPr>
          <w:p w14:paraId="2C714430">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宋体" w:hAnsi="宋体" w:eastAsia="宋体" w:cs="宋体"/>
                <w:bCs/>
                <w:kern w:val="0"/>
                <w:sz w:val="21"/>
                <w:szCs w:val="21"/>
              </w:rPr>
            </w:pPr>
            <w:r>
              <w:rPr>
                <w:rFonts w:hint="eastAsia" w:ascii="宋体" w:hAnsi="宋体" w:eastAsia="宋体" w:cs="宋体"/>
                <w:sz w:val="21"/>
                <w:szCs w:val="21"/>
              </w:rPr>
              <w:t>1.1%</w:t>
            </w:r>
          </w:p>
        </w:tc>
        <w:tc>
          <w:tcPr>
            <w:tcW w:w="980" w:type="pct"/>
            <w:tcBorders>
              <w:tl2br w:val="nil"/>
              <w:tr2bl w:val="nil"/>
            </w:tcBorders>
            <w:noWrap w:val="0"/>
            <w:vAlign w:val="center"/>
          </w:tcPr>
          <w:p w14:paraId="178194C7">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宋体" w:hAnsi="宋体" w:eastAsia="宋体" w:cs="宋体"/>
                <w:bCs/>
                <w:kern w:val="0"/>
                <w:sz w:val="21"/>
                <w:szCs w:val="21"/>
              </w:rPr>
            </w:pPr>
            <w:r>
              <w:rPr>
                <w:rFonts w:hint="eastAsia" w:ascii="宋体" w:hAnsi="宋体" w:eastAsia="宋体" w:cs="宋体"/>
                <w:sz w:val="21"/>
                <w:szCs w:val="21"/>
              </w:rPr>
              <w:t>0.8%</w:t>
            </w:r>
          </w:p>
        </w:tc>
        <w:tc>
          <w:tcPr>
            <w:tcW w:w="879" w:type="pct"/>
            <w:tcBorders>
              <w:tl2br w:val="nil"/>
              <w:tr2bl w:val="nil"/>
            </w:tcBorders>
            <w:noWrap w:val="0"/>
            <w:vAlign w:val="center"/>
          </w:tcPr>
          <w:p w14:paraId="01161163">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宋体" w:hAnsi="宋体" w:eastAsia="宋体" w:cs="宋体"/>
                <w:bCs/>
                <w:kern w:val="0"/>
                <w:sz w:val="21"/>
                <w:szCs w:val="21"/>
              </w:rPr>
            </w:pPr>
            <w:r>
              <w:rPr>
                <w:rFonts w:hint="eastAsia" w:ascii="宋体" w:hAnsi="宋体" w:eastAsia="宋体" w:cs="宋体"/>
                <w:sz w:val="21"/>
                <w:szCs w:val="21"/>
              </w:rPr>
              <w:t>0.7%</w:t>
            </w:r>
          </w:p>
        </w:tc>
      </w:tr>
      <w:tr w14:paraId="2237E756">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402" w:hRule="atLeast"/>
          <w:jc w:val="center"/>
        </w:trPr>
        <w:tc>
          <w:tcPr>
            <w:tcW w:w="2171" w:type="pct"/>
            <w:tcBorders>
              <w:tl2br w:val="nil"/>
              <w:tr2bl w:val="nil"/>
            </w:tcBorders>
            <w:noWrap w:val="0"/>
            <w:vAlign w:val="center"/>
          </w:tcPr>
          <w:p w14:paraId="18991F97">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宋体" w:hAnsi="宋体" w:eastAsia="宋体" w:cs="宋体"/>
                <w:bCs/>
                <w:kern w:val="0"/>
                <w:sz w:val="21"/>
                <w:szCs w:val="21"/>
              </w:rPr>
            </w:pPr>
            <w:r>
              <w:rPr>
                <w:rFonts w:hint="eastAsia" w:ascii="宋体" w:hAnsi="宋体" w:eastAsia="宋体" w:cs="宋体"/>
                <w:sz w:val="21"/>
                <w:szCs w:val="21"/>
              </w:rPr>
              <w:t>500万元（含）-1000万元</w:t>
            </w:r>
          </w:p>
        </w:tc>
        <w:tc>
          <w:tcPr>
            <w:tcW w:w="968" w:type="pct"/>
            <w:tcBorders>
              <w:tl2br w:val="nil"/>
              <w:tr2bl w:val="nil"/>
            </w:tcBorders>
            <w:noWrap w:val="0"/>
            <w:vAlign w:val="center"/>
          </w:tcPr>
          <w:p w14:paraId="6E852857">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宋体" w:hAnsi="宋体" w:eastAsia="宋体" w:cs="宋体"/>
                <w:bCs/>
                <w:kern w:val="0"/>
                <w:sz w:val="21"/>
                <w:szCs w:val="21"/>
              </w:rPr>
            </w:pPr>
            <w:r>
              <w:rPr>
                <w:rFonts w:hint="eastAsia" w:ascii="宋体" w:hAnsi="宋体" w:eastAsia="宋体" w:cs="宋体"/>
                <w:sz w:val="21"/>
                <w:szCs w:val="21"/>
              </w:rPr>
              <w:t>0.8%</w:t>
            </w:r>
          </w:p>
        </w:tc>
        <w:tc>
          <w:tcPr>
            <w:tcW w:w="980" w:type="pct"/>
            <w:tcBorders>
              <w:tl2br w:val="nil"/>
              <w:tr2bl w:val="nil"/>
            </w:tcBorders>
            <w:noWrap w:val="0"/>
            <w:vAlign w:val="center"/>
          </w:tcPr>
          <w:p w14:paraId="4432B90F">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宋体" w:hAnsi="宋体" w:eastAsia="宋体" w:cs="宋体"/>
                <w:bCs/>
                <w:kern w:val="0"/>
                <w:sz w:val="21"/>
                <w:szCs w:val="21"/>
              </w:rPr>
            </w:pPr>
            <w:r>
              <w:rPr>
                <w:rFonts w:hint="eastAsia" w:ascii="宋体" w:hAnsi="宋体" w:eastAsia="宋体" w:cs="宋体"/>
                <w:sz w:val="21"/>
                <w:szCs w:val="21"/>
              </w:rPr>
              <w:t>0.45%</w:t>
            </w:r>
          </w:p>
        </w:tc>
        <w:tc>
          <w:tcPr>
            <w:tcW w:w="879" w:type="pct"/>
            <w:tcBorders>
              <w:tl2br w:val="nil"/>
              <w:tr2bl w:val="nil"/>
            </w:tcBorders>
            <w:noWrap w:val="0"/>
            <w:vAlign w:val="center"/>
          </w:tcPr>
          <w:p w14:paraId="3A6BC3C6">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宋体" w:hAnsi="宋体" w:eastAsia="宋体" w:cs="宋体"/>
                <w:bCs/>
                <w:kern w:val="0"/>
                <w:sz w:val="21"/>
                <w:szCs w:val="21"/>
              </w:rPr>
            </w:pPr>
            <w:r>
              <w:rPr>
                <w:rFonts w:hint="eastAsia" w:ascii="宋体" w:hAnsi="宋体" w:eastAsia="宋体" w:cs="宋体"/>
                <w:sz w:val="21"/>
                <w:szCs w:val="21"/>
              </w:rPr>
              <w:t>0.55%</w:t>
            </w:r>
          </w:p>
        </w:tc>
      </w:tr>
      <w:tr w14:paraId="6E38DA65">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402" w:hRule="atLeast"/>
          <w:jc w:val="center"/>
        </w:trPr>
        <w:tc>
          <w:tcPr>
            <w:tcW w:w="2171" w:type="pct"/>
            <w:tcBorders>
              <w:tl2br w:val="nil"/>
              <w:tr2bl w:val="nil"/>
            </w:tcBorders>
            <w:noWrap w:val="0"/>
            <w:vAlign w:val="center"/>
          </w:tcPr>
          <w:p w14:paraId="3AC098C9">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宋体" w:hAnsi="宋体" w:eastAsia="宋体" w:cs="宋体"/>
                <w:bCs/>
                <w:kern w:val="0"/>
                <w:sz w:val="21"/>
                <w:szCs w:val="21"/>
              </w:rPr>
            </w:pPr>
            <w:r>
              <w:rPr>
                <w:rFonts w:hint="eastAsia" w:ascii="宋体" w:hAnsi="宋体" w:eastAsia="宋体" w:cs="宋体"/>
                <w:sz w:val="21"/>
                <w:szCs w:val="21"/>
              </w:rPr>
              <w:t>1000万元（含）-5000万元</w:t>
            </w:r>
          </w:p>
        </w:tc>
        <w:tc>
          <w:tcPr>
            <w:tcW w:w="968" w:type="pct"/>
            <w:tcBorders>
              <w:tl2br w:val="nil"/>
              <w:tr2bl w:val="nil"/>
            </w:tcBorders>
            <w:noWrap w:val="0"/>
            <w:vAlign w:val="center"/>
          </w:tcPr>
          <w:p w14:paraId="12ED5F9F">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宋体" w:hAnsi="宋体" w:eastAsia="宋体" w:cs="宋体"/>
                <w:bCs/>
                <w:kern w:val="0"/>
                <w:sz w:val="21"/>
                <w:szCs w:val="21"/>
              </w:rPr>
            </w:pPr>
            <w:r>
              <w:rPr>
                <w:rFonts w:hint="eastAsia" w:ascii="宋体" w:hAnsi="宋体" w:eastAsia="宋体" w:cs="宋体"/>
                <w:sz w:val="21"/>
                <w:szCs w:val="21"/>
              </w:rPr>
              <w:t>0.5%</w:t>
            </w:r>
          </w:p>
        </w:tc>
        <w:tc>
          <w:tcPr>
            <w:tcW w:w="980" w:type="pct"/>
            <w:tcBorders>
              <w:tl2br w:val="nil"/>
              <w:tr2bl w:val="nil"/>
            </w:tcBorders>
            <w:noWrap w:val="0"/>
            <w:vAlign w:val="center"/>
          </w:tcPr>
          <w:p w14:paraId="4C21DE56">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宋体" w:hAnsi="宋体" w:eastAsia="宋体" w:cs="宋体"/>
                <w:bCs/>
                <w:kern w:val="0"/>
                <w:sz w:val="21"/>
                <w:szCs w:val="21"/>
              </w:rPr>
            </w:pPr>
            <w:r>
              <w:rPr>
                <w:rFonts w:hint="eastAsia" w:ascii="宋体" w:hAnsi="宋体" w:eastAsia="宋体" w:cs="宋体"/>
                <w:sz w:val="21"/>
                <w:szCs w:val="21"/>
              </w:rPr>
              <w:t>0.25%</w:t>
            </w:r>
          </w:p>
        </w:tc>
        <w:tc>
          <w:tcPr>
            <w:tcW w:w="879" w:type="pct"/>
            <w:tcBorders>
              <w:tl2br w:val="nil"/>
              <w:tr2bl w:val="nil"/>
            </w:tcBorders>
            <w:noWrap w:val="0"/>
            <w:vAlign w:val="center"/>
          </w:tcPr>
          <w:p w14:paraId="19A5CEDB">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宋体" w:hAnsi="宋体" w:eastAsia="宋体" w:cs="宋体"/>
                <w:bCs/>
                <w:kern w:val="0"/>
                <w:sz w:val="21"/>
                <w:szCs w:val="21"/>
              </w:rPr>
            </w:pPr>
            <w:r>
              <w:rPr>
                <w:rFonts w:hint="eastAsia" w:ascii="宋体" w:hAnsi="宋体" w:eastAsia="宋体" w:cs="宋体"/>
                <w:sz w:val="21"/>
                <w:szCs w:val="21"/>
              </w:rPr>
              <w:t>0.35%</w:t>
            </w:r>
          </w:p>
        </w:tc>
      </w:tr>
      <w:tr w14:paraId="092F8946">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402" w:hRule="atLeast"/>
          <w:jc w:val="center"/>
        </w:trPr>
        <w:tc>
          <w:tcPr>
            <w:tcW w:w="2171" w:type="pct"/>
            <w:tcBorders>
              <w:tl2br w:val="nil"/>
              <w:tr2bl w:val="nil"/>
            </w:tcBorders>
            <w:noWrap w:val="0"/>
            <w:vAlign w:val="center"/>
          </w:tcPr>
          <w:p w14:paraId="0D57739B">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宋体" w:hAnsi="宋体" w:eastAsia="宋体" w:cs="宋体"/>
                <w:bCs/>
                <w:kern w:val="0"/>
                <w:sz w:val="21"/>
                <w:szCs w:val="21"/>
              </w:rPr>
            </w:pPr>
            <w:r>
              <w:rPr>
                <w:rFonts w:hint="eastAsia" w:ascii="宋体" w:hAnsi="宋体" w:eastAsia="宋体" w:cs="宋体"/>
                <w:sz w:val="21"/>
                <w:szCs w:val="21"/>
              </w:rPr>
              <w:t>5000万元（含）-1亿元</w:t>
            </w:r>
          </w:p>
        </w:tc>
        <w:tc>
          <w:tcPr>
            <w:tcW w:w="968" w:type="pct"/>
            <w:tcBorders>
              <w:tl2br w:val="nil"/>
              <w:tr2bl w:val="nil"/>
            </w:tcBorders>
            <w:noWrap w:val="0"/>
            <w:vAlign w:val="center"/>
          </w:tcPr>
          <w:p w14:paraId="348CBF00">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宋体" w:hAnsi="宋体" w:eastAsia="宋体" w:cs="宋体"/>
                <w:bCs/>
                <w:kern w:val="0"/>
                <w:sz w:val="21"/>
                <w:szCs w:val="21"/>
              </w:rPr>
            </w:pPr>
            <w:r>
              <w:rPr>
                <w:rFonts w:hint="eastAsia" w:ascii="宋体" w:hAnsi="宋体" w:eastAsia="宋体" w:cs="宋体"/>
                <w:sz w:val="21"/>
                <w:szCs w:val="21"/>
              </w:rPr>
              <w:t>0.25%</w:t>
            </w:r>
          </w:p>
        </w:tc>
        <w:tc>
          <w:tcPr>
            <w:tcW w:w="980" w:type="pct"/>
            <w:tcBorders>
              <w:tl2br w:val="nil"/>
              <w:tr2bl w:val="nil"/>
            </w:tcBorders>
            <w:noWrap w:val="0"/>
            <w:vAlign w:val="center"/>
          </w:tcPr>
          <w:p w14:paraId="1BE8B548">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宋体" w:hAnsi="宋体" w:eastAsia="宋体" w:cs="宋体"/>
                <w:bCs/>
                <w:kern w:val="0"/>
                <w:sz w:val="21"/>
                <w:szCs w:val="21"/>
              </w:rPr>
            </w:pPr>
            <w:r>
              <w:rPr>
                <w:rFonts w:hint="eastAsia" w:ascii="宋体" w:hAnsi="宋体" w:eastAsia="宋体" w:cs="宋体"/>
                <w:sz w:val="21"/>
                <w:szCs w:val="21"/>
              </w:rPr>
              <w:t>0.1%</w:t>
            </w:r>
          </w:p>
        </w:tc>
        <w:tc>
          <w:tcPr>
            <w:tcW w:w="879" w:type="pct"/>
            <w:tcBorders>
              <w:tl2br w:val="nil"/>
              <w:tr2bl w:val="nil"/>
            </w:tcBorders>
            <w:noWrap w:val="0"/>
            <w:vAlign w:val="center"/>
          </w:tcPr>
          <w:p w14:paraId="4DBF5806">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宋体" w:hAnsi="宋体" w:eastAsia="宋体" w:cs="宋体"/>
                <w:bCs/>
                <w:kern w:val="0"/>
                <w:sz w:val="21"/>
                <w:szCs w:val="21"/>
              </w:rPr>
            </w:pPr>
            <w:r>
              <w:rPr>
                <w:rFonts w:hint="eastAsia" w:ascii="宋体" w:hAnsi="宋体" w:eastAsia="宋体" w:cs="宋体"/>
                <w:sz w:val="21"/>
                <w:szCs w:val="21"/>
              </w:rPr>
              <w:t>0.2%</w:t>
            </w:r>
          </w:p>
        </w:tc>
      </w:tr>
      <w:tr w14:paraId="262B77A1">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402" w:hRule="atLeast"/>
          <w:jc w:val="center"/>
        </w:trPr>
        <w:tc>
          <w:tcPr>
            <w:tcW w:w="2171" w:type="pct"/>
            <w:tcBorders>
              <w:tl2br w:val="nil"/>
              <w:tr2bl w:val="nil"/>
            </w:tcBorders>
            <w:noWrap w:val="0"/>
            <w:vAlign w:val="center"/>
          </w:tcPr>
          <w:p w14:paraId="6395D52B">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宋体" w:hAnsi="宋体" w:eastAsia="宋体" w:cs="宋体"/>
                <w:bCs/>
                <w:kern w:val="0"/>
                <w:sz w:val="21"/>
                <w:szCs w:val="21"/>
              </w:rPr>
            </w:pPr>
            <w:r>
              <w:rPr>
                <w:rFonts w:hint="eastAsia" w:ascii="宋体" w:hAnsi="宋体" w:eastAsia="宋体" w:cs="宋体"/>
                <w:sz w:val="21"/>
                <w:szCs w:val="21"/>
              </w:rPr>
              <w:t>1亿元（含）-5亿元</w:t>
            </w:r>
          </w:p>
        </w:tc>
        <w:tc>
          <w:tcPr>
            <w:tcW w:w="968" w:type="pct"/>
            <w:tcBorders>
              <w:tl2br w:val="nil"/>
              <w:tr2bl w:val="nil"/>
            </w:tcBorders>
            <w:noWrap w:val="0"/>
            <w:vAlign w:val="center"/>
          </w:tcPr>
          <w:p w14:paraId="2CC647B5">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宋体" w:hAnsi="宋体" w:eastAsia="宋体" w:cs="宋体"/>
                <w:bCs/>
                <w:kern w:val="0"/>
                <w:sz w:val="21"/>
                <w:szCs w:val="21"/>
              </w:rPr>
            </w:pPr>
            <w:r>
              <w:rPr>
                <w:rFonts w:hint="eastAsia" w:ascii="宋体" w:hAnsi="宋体" w:eastAsia="宋体" w:cs="宋体"/>
                <w:sz w:val="21"/>
                <w:szCs w:val="21"/>
              </w:rPr>
              <w:t>0.05%</w:t>
            </w:r>
          </w:p>
        </w:tc>
        <w:tc>
          <w:tcPr>
            <w:tcW w:w="980" w:type="pct"/>
            <w:tcBorders>
              <w:tl2br w:val="nil"/>
              <w:tr2bl w:val="nil"/>
            </w:tcBorders>
            <w:noWrap w:val="0"/>
            <w:vAlign w:val="center"/>
          </w:tcPr>
          <w:p w14:paraId="7EDC89BB">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宋体" w:hAnsi="宋体" w:eastAsia="宋体" w:cs="宋体"/>
                <w:bCs/>
                <w:kern w:val="0"/>
                <w:sz w:val="21"/>
                <w:szCs w:val="21"/>
              </w:rPr>
            </w:pPr>
            <w:r>
              <w:rPr>
                <w:rFonts w:hint="eastAsia" w:ascii="宋体" w:hAnsi="宋体" w:eastAsia="宋体" w:cs="宋体"/>
                <w:sz w:val="21"/>
                <w:szCs w:val="21"/>
              </w:rPr>
              <w:t>0.05%</w:t>
            </w:r>
          </w:p>
        </w:tc>
        <w:tc>
          <w:tcPr>
            <w:tcW w:w="879" w:type="pct"/>
            <w:tcBorders>
              <w:tl2br w:val="nil"/>
              <w:tr2bl w:val="nil"/>
            </w:tcBorders>
            <w:noWrap w:val="0"/>
            <w:vAlign w:val="center"/>
          </w:tcPr>
          <w:p w14:paraId="6EEA4723">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宋体" w:hAnsi="宋体" w:eastAsia="宋体" w:cs="宋体"/>
                <w:bCs/>
                <w:kern w:val="0"/>
                <w:sz w:val="21"/>
                <w:szCs w:val="21"/>
              </w:rPr>
            </w:pPr>
            <w:r>
              <w:rPr>
                <w:rFonts w:hint="eastAsia" w:ascii="宋体" w:hAnsi="宋体" w:eastAsia="宋体" w:cs="宋体"/>
                <w:sz w:val="21"/>
                <w:szCs w:val="21"/>
              </w:rPr>
              <w:t>0.05%</w:t>
            </w:r>
          </w:p>
        </w:tc>
      </w:tr>
      <w:tr w14:paraId="684925D0">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402" w:hRule="atLeast"/>
          <w:jc w:val="center"/>
        </w:trPr>
        <w:tc>
          <w:tcPr>
            <w:tcW w:w="2171" w:type="pct"/>
            <w:tcBorders>
              <w:tl2br w:val="nil"/>
              <w:tr2bl w:val="nil"/>
            </w:tcBorders>
            <w:noWrap w:val="0"/>
            <w:vAlign w:val="center"/>
          </w:tcPr>
          <w:p w14:paraId="4A064825">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宋体" w:hAnsi="宋体" w:eastAsia="宋体" w:cs="宋体"/>
                <w:bCs/>
                <w:kern w:val="0"/>
                <w:sz w:val="21"/>
                <w:szCs w:val="21"/>
              </w:rPr>
            </w:pPr>
            <w:r>
              <w:rPr>
                <w:rFonts w:hint="eastAsia" w:ascii="宋体" w:hAnsi="宋体" w:eastAsia="宋体" w:cs="宋体"/>
                <w:sz w:val="21"/>
                <w:szCs w:val="21"/>
              </w:rPr>
              <w:t>5亿元（含）-10亿元</w:t>
            </w:r>
          </w:p>
        </w:tc>
        <w:tc>
          <w:tcPr>
            <w:tcW w:w="968" w:type="pct"/>
            <w:tcBorders>
              <w:tl2br w:val="nil"/>
              <w:tr2bl w:val="nil"/>
            </w:tcBorders>
            <w:noWrap w:val="0"/>
            <w:vAlign w:val="center"/>
          </w:tcPr>
          <w:p w14:paraId="3734BC48">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宋体" w:hAnsi="宋体" w:eastAsia="宋体" w:cs="宋体"/>
                <w:bCs/>
                <w:kern w:val="0"/>
                <w:sz w:val="21"/>
                <w:szCs w:val="21"/>
              </w:rPr>
            </w:pPr>
            <w:r>
              <w:rPr>
                <w:rFonts w:hint="eastAsia" w:ascii="宋体" w:hAnsi="宋体" w:eastAsia="宋体" w:cs="宋体"/>
                <w:sz w:val="21"/>
                <w:szCs w:val="21"/>
              </w:rPr>
              <w:t>0.035%</w:t>
            </w:r>
          </w:p>
        </w:tc>
        <w:tc>
          <w:tcPr>
            <w:tcW w:w="980" w:type="pct"/>
            <w:tcBorders>
              <w:tl2br w:val="nil"/>
              <w:tr2bl w:val="nil"/>
            </w:tcBorders>
            <w:noWrap w:val="0"/>
            <w:vAlign w:val="center"/>
          </w:tcPr>
          <w:p w14:paraId="6E8B9F2C">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宋体" w:hAnsi="宋体" w:eastAsia="宋体" w:cs="宋体"/>
                <w:bCs/>
                <w:kern w:val="0"/>
                <w:sz w:val="21"/>
                <w:szCs w:val="21"/>
              </w:rPr>
            </w:pPr>
            <w:r>
              <w:rPr>
                <w:rFonts w:hint="eastAsia" w:ascii="宋体" w:hAnsi="宋体" w:eastAsia="宋体" w:cs="宋体"/>
                <w:sz w:val="21"/>
                <w:szCs w:val="21"/>
              </w:rPr>
              <w:t>0.035%</w:t>
            </w:r>
          </w:p>
        </w:tc>
        <w:tc>
          <w:tcPr>
            <w:tcW w:w="879" w:type="pct"/>
            <w:tcBorders>
              <w:tl2br w:val="nil"/>
              <w:tr2bl w:val="nil"/>
            </w:tcBorders>
            <w:noWrap w:val="0"/>
            <w:vAlign w:val="center"/>
          </w:tcPr>
          <w:p w14:paraId="196882C6">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宋体" w:hAnsi="宋体" w:eastAsia="宋体" w:cs="宋体"/>
                <w:bCs/>
                <w:kern w:val="0"/>
                <w:sz w:val="21"/>
                <w:szCs w:val="21"/>
              </w:rPr>
            </w:pPr>
            <w:r>
              <w:rPr>
                <w:rFonts w:hint="eastAsia" w:ascii="宋体" w:hAnsi="宋体" w:eastAsia="宋体" w:cs="宋体"/>
                <w:sz w:val="21"/>
                <w:szCs w:val="21"/>
              </w:rPr>
              <w:t>0.035%</w:t>
            </w:r>
          </w:p>
        </w:tc>
      </w:tr>
      <w:tr w14:paraId="5E4C403A">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402" w:hRule="atLeast"/>
          <w:jc w:val="center"/>
        </w:trPr>
        <w:tc>
          <w:tcPr>
            <w:tcW w:w="2171" w:type="pct"/>
            <w:tcBorders>
              <w:tl2br w:val="nil"/>
              <w:tr2bl w:val="nil"/>
            </w:tcBorders>
            <w:noWrap w:val="0"/>
            <w:vAlign w:val="center"/>
          </w:tcPr>
          <w:p w14:paraId="77FA2874">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宋体" w:hAnsi="宋体" w:eastAsia="宋体" w:cs="宋体"/>
                <w:bCs/>
                <w:kern w:val="0"/>
                <w:sz w:val="21"/>
                <w:szCs w:val="21"/>
              </w:rPr>
            </w:pPr>
            <w:r>
              <w:rPr>
                <w:rFonts w:hint="eastAsia" w:ascii="宋体" w:hAnsi="宋体" w:eastAsia="宋体" w:cs="宋体"/>
                <w:sz w:val="21"/>
                <w:szCs w:val="21"/>
              </w:rPr>
              <w:t>10亿元（含）-50亿元</w:t>
            </w:r>
          </w:p>
        </w:tc>
        <w:tc>
          <w:tcPr>
            <w:tcW w:w="968" w:type="pct"/>
            <w:tcBorders>
              <w:tl2br w:val="nil"/>
              <w:tr2bl w:val="nil"/>
            </w:tcBorders>
            <w:noWrap w:val="0"/>
            <w:vAlign w:val="center"/>
          </w:tcPr>
          <w:p w14:paraId="5D6B8B97">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宋体" w:hAnsi="宋体" w:eastAsia="宋体" w:cs="宋体"/>
                <w:bCs/>
                <w:kern w:val="0"/>
                <w:sz w:val="21"/>
                <w:szCs w:val="21"/>
              </w:rPr>
            </w:pPr>
            <w:r>
              <w:rPr>
                <w:rFonts w:hint="eastAsia" w:ascii="宋体" w:hAnsi="宋体" w:eastAsia="宋体" w:cs="宋体"/>
                <w:sz w:val="21"/>
                <w:szCs w:val="21"/>
              </w:rPr>
              <w:t>0.008%</w:t>
            </w:r>
          </w:p>
        </w:tc>
        <w:tc>
          <w:tcPr>
            <w:tcW w:w="980" w:type="pct"/>
            <w:tcBorders>
              <w:tl2br w:val="nil"/>
              <w:tr2bl w:val="nil"/>
            </w:tcBorders>
            <w:noWrap w:val="0"/>
            <w:vAlign w:val="center"/>
          </w:tcPr>
          <w:p w14:paraId="20F9475E">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宋体" w:hAnsi="宋体" w:eastAsia="宋体" w:cs="宋体"/>
                <w:bCs/>
                <w:kern w:val="0"/>
                <w:sz w:val="21"/>
                <w:szCs w:val="21"/>
              </w:rPr>
            </w:pPr>
            <w:r>
              <w:rPr>
                <w:rFonts w:hint="eastAsia" w:ascii="宋体" w:hAnsi="宋体" w:eastAsia="宋体" w:cs="宋体"/>
                <w:sz w:val="21"/>
                <w:szCs w:val="21"/>
              </w:rPr>
              <w:t>0.008%</w:t>
            </w:r>
          </w:p>
        </w:tc>
        <w:tc>
          <w:tcPr>
            <w:tcW w:w="879" w:type="pct"/>
            <w:tcBorders>
              <w:tl2br w:val="nil"/>
              <w:tr2bl w:val="nil"/>
            </w:tcBorders>
            <w:noWrap w:val="0"/>
            <w:vAlign w:val="center"/>
          </w:tcPr>
          <w:p w14:paraId="1235D942">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宋体" w:hAnsi="宋体" w:eastAsia="宋体" w:cs="宋体"/>
                <w:bCs/>
                <w:kern w:val="0"/>
                <w:sz w:val="21"/>
                <w:szCs w:val="21"/>
              </w:rPr>
            </w:pPr>
            <w:r>
              <w:rPr>
                <w:rFonts w:hint="eastAsia" w:ascii="宋体" w:hAnsi="宋体" w:eastAsia="宋体" w:cs="宋体"/>
                <w:sz w:val="21"/>
                <w:szCs w:val="21"/>
              </w:rPr>
              <w:t>0.008%</w:t>
            </w:r>
          </w:p>
        </w:tc>
      </w:tr>
      <w:tr w14:paraId="51E4445D">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402" w:hRule="atLeast"/>
          <w:jc w:val="center"/>
        </w:trPr>
        <w:tc>
          <w:tcPr>
            <w:tcW w:w="2171" w:type="pct"/>
            <w:tcBorders>
              <w:tl2br w:val="nil"/>
              <w:tr2bl w:val="nil"/>
            </w:tcBorders>
            <w:noWrap w:val="0"/>
            <w:vAlign w:val="center"/>
          </w:tcPr>
          <w:p w14:paraId="70467483">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宋体" w:hAnsi="宋体" w:eastAsia="宋体" w:cs="宋体"/>
                <w:bCs/>
                <w:kern w:val="0"/>
                <w:sz w:val="21"/>
                <w:szCs w:val="21"/>
              </w:rPr>
            </w:pPr>
            <w:r>
              <w:rPr>
                <w:rFonts w:hint="eastAsia" w:ascii="宋体" w:hAnsi="宋体" w:eastAsia="宋体" w:cs="宋体"/>
                <w:sz w:val="21"/>
                <w:szCs w:val="21"/>
              </w:rPr>
              <w:t>50亿元（含）-100亿元</w:t>
            </w:r>
          </w:p>
        </w:tc>
        <w:tc>
          <w:tcPr>
            <w:tcW w:w="968" w:type="pct"/>
            <w:tcBorders>
              <w:tl2br w:val="nil"/>
              <w:tr2bl w:val="nil"/>
            </w:tcBorders>
            <w:noWrap w:val="0"/>
            <w:vAlign w:val="center"/>
          </w:tcPr>
          <w:p w14:paraId="2519D73F">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宋体" w:hAnsi="宋体" w:eastAsia="宋体" w:cs="宋体"/>
                <w:bCs/>
                <w:kern w:val="0"/>
                <w:sz w:val="21"/>
                <w:szCs w:val="21"/>
              </w:rPr>
            </w:pPr>
            <w:r>
              <w:rPr>
                <w:rFonts w:hint="eastAsia" w:ascii="宋体" w:hAnsi="宋体" w:eastAsia="宋体" w:cs="宋体"/>
                <w:sz w:val="21"/>
                <w:szCs w:val="21"/>
              </w:rPr>
              <w:t>0.006%</w:t>
            </w:r>
          </w:p>
        </w:tc>
        <w:tc>
          <w:tcPr>
            <w:tcW w:w="980" w:type="pct"/>
            <w:tcBorders>
              <w:tl2br w:val="nil"/>
              <w:tr2bl w:val="nil"/>
            </w:tcBorders>
            <w:noWrap w:val="0"/>
            <w:vAlign w:val="center"/>
          </w:tcPr>
          <w:p w14:paraId="061E3F8F">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宋体" w:hAnsi="宋体" w:eastAsia="宋体" w:cs="宋体"/>
                <w:bCs/>
                <w:kern w:val="0"/>
                <w:sz w:val="21"/>
                <w:szCs w:val="21"/>
              </w:rPr>
            </w:pPr>
            <w:r>
              <w:rPr>
                <w:rFonts w:hint="eastAsia" w:ascii="宋体" w:hAnsi="宋体" w:eastAsia="宋体" w:cs="宋体"/>
                <w:sz w:val="21"/>
                <w:szCs w:val="21"/>
              </w:rPr>
              <w:t>0.006%</w:t>
            </w:r>
          </w:p>
        </w:tc>
        <w:tc>
          <w:tcPr>
            <w:tcW w:w="879" w:type="pct"/>
            <w:tcBorders>
              <w:tl2br w:val="nil"/>
              <w:tr2bl w:val="nil"/>
            </w:tcBorders>
            <w:noWrap w:val="0"/>
            <w:vAlign w:val="center"/>
          </w:tcPr>
          <w:p w14:paraId="3435C3E3">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宋体" w:hAnsi="宋体" w:eastAsia="宋体" w:cs="宋体"/>
                <w:bCs/>
                <w:kern w:val="0"/>
                <w:sz w:val="21"/>
                <w:szCs w:val="21"/>
              </w:rPr>
            </w:pPr>
            <w:r>
              <w:rPr>
                <w:rFonts w:hint="eastAsia" w:ascii="宋体" w:hAnsi="宋体" w:eastAsia="宋体" w:cs="宋体"/>
                <w:sz w:val="21"/>
                <w:szCs w:val="21"/>
              </w:rPr>
              <w:t>0.006%</w:t>
            </w:r>
          </w:p>
        </w:tc>
      </w:tr>
      <w:tr w14:paraId="309403FF">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402" w:hRule="atLeast"/>
          <w:jc w:val="center"/>
        </w:trPr>
        <w:tc>
          <w:tcPr>
            <w:tcW w:w="2171" w:type="pct"/>
            <w:tcBorders>
              <w:tl2br w:val="nil"/>
              <w:tr2bl w:val="nil"/>
            </w:tcBorders>
            <w:noWrap w:val="0"/>
            <w:vAlign w:val="center"/>
          </w:tcPr>
          <w:p w14:paraId="600E9DB1">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宋体" w:hAnsi="宋体" w:eastAsia="宋体" w:cs="宋体"/>
                <w:bCs/>
                <w:kern w:val="0"/>
                <w:sz w:val="21"/>
                <w:szCs w:val="21"/>
              </w:rPr>
            </w:pPr>
            <w:r>
              <w:rPr>
                <w:rFonts w:hint="eastAsia" w:ascii="宋体" w:hAnsi="宋体" w:eastAsia="宋体" w:cs="宋体"/>
                <w:sz w:val="21"/>
                <w:szCs w:val="21"/>
              </w:rPr>
              <w:t>100亿元（含）以上</w:t>
            </w:r>
          </w:p>
        </w:tc>
        <w:tc>
          <w:tcPr>
            <w:tcW w:w="968" w:type="pct"/>
            <w:tcBorders>
              <w:tl2br w:val="nil"/>
              <w:tr2bl w:val="nil"/>
            </w:tcBorders>
            <w:noWrap w:val="0"/>
            <w:vAlign w:val="center"/>
          </w:tcPr>
          <w:p w14:paraId="0D3196D0">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宋体" w:hAnsi="宋体" w:eastAsia="宋体" w:cs="宋体"/>
                <w:bCs/>
                <w:kern w:val="0"/>
                <w:sz w:val="21"/>
                <w:szCs w:val="21"/>
              </w:rPr>
            </w:pPr>
            <w:r>
              <w:rPr>
                <w:rFonts w:hint="eastAsia" w:ascii="宋体" w:hAnsi="宋体" w:eastAsia="宋体" w:cs="宋体"/>
                <w:sz w:val="21"/>
                <w:szCs w:val="21"/>
              </w:rPr>
              <w:t>0.004%</w:t>
            </w:r>
          </w:p>
        </w:tc>
        <w:tc>
          <w:tcPr>
            <w:tcW w:w="980" w:type="pct"/>
            <w:tcBorders>
              <w:tl2br w:val="nil"/>
              <w:tr2bl w:val="nil"/>
            </w:tcBorders>
            <w:noWrap w:val="0"/>
            <w:vAlign w:val="center"/>
          </w:tcPr>
          <w:p w14:paraId="22CB38C1">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宋体" w:hAnsi="宋体" w:eastAsia="宋体" w:cs="宋体"/>
                <w:bCs/>
                <w:kern w:val="0"/>
                <w:sz w:val="21"/>
                <w:szCs w:val="21"/>
              </w:rPr>
            </w:pPr>
            <w:r>
              <w:rPr>
                <w:rFonts w:hint="eastAsia" w:ascii="宋体" w:hAnsi="宋体" w:eastAsia="宋体" w:cs="宋体"/>
                <w:sz w:val="21"/>
                <w:szCs w:val="21"/>
              </w:rPr>
              <w:t>0.004%</w:t>
            </w:r>
          </w:p>
        </w:tc>
        <w:tc>
          <w:tcPr>
            <w:tcW w:w="879" w:type="pct"/>
            <w:tcBorders>
              <w:tl2br w:val="nil"/>
              <w:tr2bl w:val="nil"/>
            </w:tcBorders>
            <w:noWrap w:val="0"/>
            <w:vAlign w:val="center"/>
          </w:tcPr>
          <w:p w14:paraId="73558EBD">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宋体" w:hAnsi="宋体" w:eastAsia="宋体" w:cs="宋体"/>
                <w:bCs/>
                <w:kern w:val="0"/>
                <w:sz w:val="21"/>
                <w:szCs w:val="21"/>
              </w:rPr>
            </w:pPr>
            <w:r>
              <w:rPr>
                <w:rFonts w:hint="eastAsia" w:ascii="宋体" w:hAnsi="宋体" w:eastAsia="宋体" w:cs="宋体"/>
                <w:sz w:val="21"/>
                <w:szCs w:val="21"/>
              </w:rPr>
              <w:t>0.004%</w:t>
            </w:r>
          </w:p>
        </w:tc>
      </w:tr>
      <w:tr w14:paraId="0ADA496C">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402" w:hRule="atLeast"/>
          <w:jc w:val="center"/>
        </w:trPr>
        <w:tc>
          <w:tcPr>
            <w:tcW w:w="5000" w:type="pct"/>
            <w:gridSpan w:val="4"/>
            <w:tcBorders>
              <w:tl2br w:val="nil"/>
              <w:tr2bl w:val="nil"/>
            </w:tcBorders>
            <w:noWrap w:val="0"/>
            <w:vAlign w:val="top"/>
          </w:tcPr>
          <w:p w14:paraId="4198BCDE">
            <w:pPr>
              <w:keepNext w:val="0"/>
              <w:keepLines w:val="0"/>
              <w:pageBreakBefore w:val="0"/>
              <w:widowControl/>
              <w:kinsoku/>
              <w:wordWrap/>
              <w:overflowPunct/>
              <w:topLinePunct w:val="0"/>
              <w:autoSpaceDE/>
              <w:autoSpaceDN/>
              <w:bidi w:val="0"/>
              <w:adjustRightInd/>
              <w:spacing w:line="360" w:lineRule="exact"/>
              <w:ind w:firstLine="420" w:firstLineChars="200"/>
              <w:textAlignment w:val="auto"/>
              <w:rPr>
                <w:rFonts w:hint="eastAsia" w:ascii="宋体" w:hAnsi="宋体" w:eastAsia="宋体" w:cs="宋体"/>
                <w:bCs/>
                <w:kern w:val="0"/>
                <w:sz w:val="21"/>
                <w:szCs w:val="21"/>
              </w:rPr>
            </w:pPr>
            <w:r>
              <w:rPr>
                <w:rFonts w:hint="eastAsia" w:ascii="宋体" w:hAnsi="宋体" w:eastAsia="宋体" w:cs="宋体"/>
                <w:bCs/>
                <w:kern w:val="0"/>
                <w:sz w:val="21"/>
                <w:szCs w:val="21"/>
              </w:rPr>
              <w:t>备注：</w:t>
            </w:r>
            <w:r>
              <w:rPr>
                <w:rFonts w:hint="eastAsia" w:ascii="宋体" w:hAnsi="宋体" w:eastAsia="宋体" w:cs="宋体"/>
                <w:b/>
                <w:bCs w:val="0"/>
                <w:kern w:val="0"/>
                <w:sz w:val="21"/>
                <w:szCs w:val="21"/>
                <w:highlight w:val="yellow"/>
              </w:rPr>
              <w:t>1.每宗交易代理服务费不低于</w:t>
            </w:r>
            <w:r>
              <w:rPr>
                <w:rFonts w:hint="eastAsia" w:ascii="宋体" w:hAnsi="宋体" w:eastAsia="宋体" w:cs="宋体"/>
                <w:b/>
                <w:bCs w:val="0"/>
                <w:kern w:val="0"/>
                <w:sz w:val="21"/>
                <w:szCs w:val="21"/>
                <w:highlight w:val="yellow"/>
                <w:lang w:val="en-US" w:eastAsia="zh-CN"/>
              </w:rPr>
              <w:t>5</w:t>
            </w:r>
            <w:r>
              <w:rPr>
                <w:rFonts w:hint="eastAsia" w:ascii="宋体" w:hAnsi="宋体" w:eastAsia="宋体" w:cs="宋体"/>
                <w:b/>
                <w:bCs w:val="0"/>
                <w:kern w:val="0"/>
                <w:sz w:val="21"/>
                <w:szCs w:val="21"/>
                <w:highlight w:val="yellow"/>
              </w:rPr>
              <w:t>000元；</w:t>
            </w:r>
            <w:r>
              <w:rPr>
                <w:rFonts w:hint="eastAsia" w:ascii="宋体" w:hAnsi="宋体" w:eastAsia="宋体" w:cs="宋体"/>
                <w:bCs/>
                <w:kern w:val="0"/>
                <w:sz w:val="21"/>
                <w:szCs w:val="21"/>
              </w:rPr>
              <w:t xml:space="preserve"> </w:t>
            </w:r>
          </w:p>
          <w:p w14:paraId="5C489976">
            <w:pPr>
              <w:keepNext w:val="0"/>
              <w:keepLines w:val="0"/>
              <w:pageBreakBefore w:val="0"/>
              <w:widowControl/>
              <w:kinsoku/>
              <w:wordWrap/>
              <w:overflowPunct/>
              <w:topLinePunct w:val="0"/>
              <w:autoSpaceDE/>
              <w:autoSpaceDN/>
              <w:bidi w:val="0"/>
              <w:adjustRightInd/>
              <w:snapToGrid/>
              <w:spacing w:line="360" w:lineRule="exact"/>
              <w:ind w:firstLine="420" w:firstLineChars="200"/>
              <w:jc w:val="left"/>
              <w:textAlignment w:val="auto"/>
              <w:rPr>
                <w:rFonts w:hint="eastAsia" w:ascii="宋体" w:hAnsi="宋体" w:eastAsia="宋体" w:cs="宋体"/>
                <w:bCs/>
                <w:kern w:val="0"/>
                <w:sz w:val="21"/>
                <w:szCs w:val="21"/>
              </w:rPr>
            </w:pPr>
            <w:r>
              <w:rPr>
                <w:rFonts w:hint="eastAsia" w:ascii="宋体" w:hAnsi="宋体" w:eastAsia="宋体" w:cs="宋体"/>
                <w:bCs/>
                <w:kern w:val="0"/>
                <w:sz w:val="21"/>
                <w:szCs w:val="21"/>
              </w:rPr>
              <w:t>2.对于报总价的采购类项目，中标价为中标（成交）金额；对于报单价或折扣或费率的采购类项目，中标价为预算上限金额或经委托方与代理方确定的支付上限金额费。</w:t>
            </w:r>
          </w:p>
        </w:tc>
      </w:tr>
    </w:tbl>
    <w:p w14:paraId="35E6D56E">
      <w:pPr>
        <w:widowControl w:val="0"/>
        <w:spacing w:line="320" w:lineRule="exact"/>
        <w:ind w:firstLine="420" w:firstLineChars="200"/>
        <w:jc w:val="both"/>
        <w:rPr>
          <w:rFonts w:hint="eastAsia" w:ascii="宋体" w:hAnsi="宋体" w:eastAsia="宋体" w:cs="宋体"/>
          <w:kern w:val="2"/>
          <w:sz w:val="21"/>
          <w:szCs w:val="21"/>
        </w:rPr>
      </w:pPr>
      <w:r>
        <w:rPr>
          <w:rFonts w:hint="eastAsia" w:ascii="宋体" w:hAnsi="宋体" w:eastAsia="宋体" w:cs="宋体"/>
          <w:kern w:val="2"/>
          <w:sz w:val="21"/>
          <w:szCs w:val="21"/>
        </w:rPr>
        <w:t>例如：某货物采购项目，中标金额为600万元，总共交纳的代理服务费的具体计算过程如下：</w:t>
      </w:r>
    </w:p>
    <w:p w14:paraId="350D36D2">
      <w:pPr>
        <w:widowControl w:val="0"/>
        <w:spacing w:line="320" w:lineRule="exact"/>
        <w:ind w:firstLine="420" w:firstLineChars="200"/>
        <w:jc w:val="both"/>
        <w:rPr>
          <w:rFonts w:hint="eastAsia" w:ascii="宋体" w:hAnsi="宋体" w:eastAsia="宋体" w:cs="宋体"/>
          <w:kern w:val="2"/>
          <w:sz w:val="21"/>
          <w:szCs w:val="21"/>
        </w:rPr>
      </w:pPr>
      <w:r>
        <w:rPr>
          <w:rFonts w:hint="eastAsia" w:ascii="宋体" w:hAnsi="宋体" w:eastAsia="宋体" w:cs="宋体"/>
          <w:kern w:val="2"/>
          <w:sz w:val="21"/>
          <w:szCs w:val="21"/>
        </w:rPr>
        <w:t>标准代理服务费＝（100万以下部分的代理服务费）+（100万～500万部分的代理服务费）+（500万～600万部分的代理服务费）＝100万元×1.5%+（500-100）万元×1.1%+（600-500）万元×0.8%=1.5万元+4.4万元+0.8万元＝6.7万元</w:t>
      </w:r>
    </w:p>
    <w:p w14:paraId="7EEF319C">
      <w:pPr>
        <w:widowControl w:val="0"/>
        <w:spacing w:line="320" w:lineRule="exact"/>
        <w:ind w:firstLine="420" w:firstLineChars="200"/>
        <w:jc w:val="both"/>
        <w:rPr>
          <w:rFonts w:hint="eastAsia" w:ascii="宋体" w:hAnsi="宋体" w:eastAsia="宋体" w:cs="宋体"/>
          <w:kern w:val="2"/>
          <w:sz w:val="21"/>
          <w:szCs w:val="21"/>
        </w:rPr>
      </w:pPr>
      <w:r>
        <w:rPr>
          <w:rFonts w:hint="eastAsia" w:ascii="宋体" w:hAnsi="宋体" w:eastAsia="宋体" w:cs="宋体"/>
          <w:kern w:val="2"/>
          <w:sz w:val="21"/>
          <w:szCs w:val="21"/>
        </w:rPr>
        <w:t>（三）按规定采用银行对公转账方式向深圳交易集团有限公司直接交纳代理服务费，交纳信息及要求按以下规定执行：</w:t>
      </w:r>
    </w:p>
    <w:p w14:paraId="462AA9F7">
      <w:pPr>
        <w:keepNext w:val="0"/>
        <w:keepLines w:val="0"/>
        <w:pageBreakBefore w:val="0"/>
        <w:widowControl w:val="0"/>
        <w:kinsoku/>
        <w:wordWrap/>
        <w:overflowPunct/>
        <w:topLinePunct w:val="0"/>
        <w:autoSpaceDE/>
        <w:autoSpaceDN/>
        <w:bidi w:val="0"/>
        <w:adjustRightInd/>
        <w:snapToGrid/>
        <w:spacing w:line="320" w:lineRule="exact"/>
        <w:ind w:firstLine="631" w:firstLineChars="300"/>
        <w:textAlignment w:val="auto"/>
        <w:rPr>
          <w:rFonts w:hint="eastAsia" w:ascii="宋体" w:hAnsi="宋体" w:eastAsia="宋体" w:cs="宋体"/>
          <w:color w:val="FF0000"/>
          <w:kern w:val="2"/>
          <w:sz w:val="21"/>
          <w:szCs w:val="21"/>
        </w:rPr>
      </w:pPr>
      <w:r>
        <w:rPr>
          <w:rFonts w:hint="eastAsia" w:ascii="宋体" w:hAnsi="宋体" w:eastAsia="宋体" w:cs="宋体"/>
          <w:b/>
          <w:bCs/>
          <w:color w:val="FF0000"/>
          <w:kern w:val="2"/>
          <w:sz w:val="21"/>
          <w:szCs w:val="21"/>
        </w:rPr>
        <w:t>仅接收公对公转账，</w:t>
      </w:r>
      <w:r>
        <w:rPr>
          <w:rFonts w:hint="eastAsia" w:ascii="宋体" w:hAnsi="宋体" w:eastAsia="宋体" w:cs="宋体"/>
          <w:b/>
          <w:color w:val="FF0000"/>
          <w:kern w:val="2"/>
          <w:sz w:val="21"/>
          <w:szCs w:val="21"/>
        </w:rPr>
        <w:t>账户信息如下：</w:t>
      </w:r>
    </w:p>
    <w:p w14:paraId="3E0BDB51">
      <w:pPr>
        <w:keepNext w:val="0"/>
        <w:keepLines w:val="0"/>
        <w:pageBreakBefore w:val="0"/>
        <w:widowControl w:val="0"/>
        <w:kinsoku/>
        <w:wordWrap/>
        <w:overflowPunct/>
        <w:topLinePunct w:val="0"/>
        <w:autoSpaceDE/>
        <w:autoSpaceDN/>
        <w:bidi w:val="0"/>
        <w:adjustRightInd/>
        <w:snapToGrid/>
        <w:spacing w:line="320" w:lineRule="exact"/>
        <w:ind w:firstLine="631" w:firstLineChars="300"/>
        <w:jc w:val="both"/>
        <w:textAlignment w:val="auto"/>
        <w:rPr>
          <w:rFonts w:hint="eastAsia" w:ascii="宋体" w:hAnsi="宋体" w:eastAsia="宋体" w:cs="宋体"/>
          <w:b/>
          <w:bCs/>
          <w:color w:val="FF0000"/>
          <w:kern w:val="2"/>
          <w:sz w:val="21"/>
          <w:szCs w:val="21"/>
        </w:rPr>
      </w:pPr>
      <w:r>
        <w:rPr>
          <w:rFonts w:hint="eastAsia" w:ascii="宋体" w:hAnsi="宋体" w:eastAsia="宋体" w:cs="宋体"/>
          <w:b/>
          <w:bCs/>
          <w:color w:val="FF0000"/>
          <w:kern w:val="2"/>
          <w:sz w:val="21"/>
          <w:szCs w:val="21"/>
        </w:rPr>
        <w:t>账户名：深圳交易集团有限公司</w:t>
      </w:r>
    </w:p>
    <w:p w14:paraId="446E2F90">
      <w:pPr>
        <w:keepNext w:val="0"/>
        <w:keepLines w:val="0"/>
        <w:pageBreakBefore w:val="0"/>
        <w:widowControl w:val="0"/>
        <w:kinsoku/>
        <w:wordWrap/>
        <w:overflowPunct/>
        <w:topLinePunct w:val="0"/>
        <w:autoSpaceDE/>
        <w:autoSpaceDN/>
        <w:bidi w:val="0"/>
        <w:adjustRightInd/>
        <w:snapToGrid/>
        <w:spacing w:line="320" w:lineRule="exact"/>
        <w:ind w:firstLine="631" w:firstLineChars="300"/>
        <w:jc w:val="both"/>
        <w:textAlignment w:val="auto"/>
        <w:rPr>
          <w:rFonts w:hint="eastAsia" w:ascii="宋体" w:hAnsi="宋体" w:eastAsia="宋体" w:cs="宋体"/>
          <w:b/>
          <w:bCs/>
          <w:color w:val="FF0000"/>
          <w:kern w:val="2"/>
          <w:sz w:val="21"/>
          <w:szCs w:val="21"/>
        </w:rPr>
      </w:pPr>
      <w:r>
        <w:rPr>
          <w:rFonts w:hint="eastAsia" w:ascii="宋体" w:hAnsi="宋体" w:eastAsia="宋体" w:cs="宋体"/>
          <w:b/>
          <w:bCs/>
          <w:color w:val="FF0000"/>
          <w:kern w:val="2"/>
          <w:sz w:val="21"/>
          <w:szCs w:val="21"/>
        </w:rPr>
        <w:t xml:space="preserve">账号：632766136 </w:t>
      </w:r>
    </w:p>
    <w:p w14:paraId="15DD32C9">
      <w:pPr>
        <w:keepNext w:val="0"/>
        <w:keepLines w:val="0"/>
        <w:pageBreakBefore w:val="0"/>
        <w:widowControl w:val="0"/>
        <w:kinsoku/>
        <w:wordWrap/>
        <w:overflowPunct/>
        <w:topLinePunct w:val="0"/>
        <w:autoSpaceDE/>
        <w:autoSpaceDN/>
        <w:bidi w:val="0"/>
        <w:adjustRightInd/>
        <w:snapToGrid/>
        <w:spacing w:line="360" w:lineRule="auto"/>
        <w:ind w:firstLine="631" w:firstLineChars="300"/>
        <w:textAlignment w:val="auto"/>
        <w:rPr>
          <w:rFonts w:hint="eastAsia" w:ascii="宋体" w:hAnsi="宋体" w:eastAsia="宋体" w:cs="宋体"/>
          <w:b/>
          <w:bCs/>
          <w:sz w:val="21"/>
          <w:szCs w:val="21"/>
        </w:rPr>
      </w:pPr>
      <w:r>
        <w:rPr>
          <w:rFonts w:hint="eastAsia" w:ascii="宋体" w:hAnsi="宋体" w:eastAsia="宋体" w:cs="宋体"/>
          <w:b/>
          <w:bCs/>
          <w:color w:val="FF0000"/>
          <w:kern w:val="2"/>
          <w:sz w:val="21"/>
          <w:szCs w:val="21"/>
        </w:rPr>
        <w:t>开户行：民生银行深圳五洲支行</w:t>
      </w:r>
    </w:p>
    <w:p w14:paraId="136FD33F">
      <w:pPr>
        <w:ind w:firstLine="420" w:firstLineChars="200"/>
        <w:rPr>
          <w:rFonts w:hint="eastAsia" w:ascii="宋体" w:hAnsi="宋体" w:eastAsia="宋体" w:cs="宋体"/>
          <w:b/>
          <w:sz w:val="21"/>
          <w:szCs w:val="21"/>
          <w:lang w:val="en-US" w:eastAsia="zh-CN"/>
        </w:rPr>
      </w:pPr>
    </w:p>
    <w:p w14:paraId="13BC0988">
      <w:pPr>
        <w:pStyle w:val="2"/>
        <w:rPr>
          <w:rFonts w:hint="eastAsia" w:ascii="宋体" w:hAnsi="宋体" w:eastAsia="宋体" w:cs="宋体"/>
          <w:b/>
          <w:sz w:val="21"/>
          <w:szCs w:val="21"/>
          <w:lang w:val="en-US" w:eastAsia="zh-CN"/>
        </w:rPr>
        <w:sectPr>
          <w:footerReference r:id="rId5" w:type="default"/>
          <w:pgSz w:w="11906" w:h="16838"/>
          <w:pgMar w:top="720" w:right="720" w:bottom="720" w:left="720" w:header="851" w:footer="992" w:gutter="0"/>
          <w:cols w:space="720" w:num="1"/>
          <w:docGrid w:type="lines" w:linePitch="312" w:charSpace="0"/>
        </w:sectPr>
      </w:pPr>
    </w:p>
    <w:p w14:paraId="5E5B2775">
      <w:pPr>
        <w:pStyle w:val="5"/>
        <w:spacing w:before="0" w:after="0"/>
        <w:textAlignment w:val="baseline"/>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第三章 用户需求书</w:t>
      </w:r>
    </w:p>
    <w:p w14:paraId="46BF4B21">
      <w:pPr>
        <w:pStyle w:val="6"/>
        <w:numPr>
          <w:ilvl w:val="0"/>
          <w:numId w:val="8"/>
        </w:numPr>
        <w:spacing w:after="140" w:line="360" w:lineRule="auto"/>
        <w:ind w:left="0" w:leftChars="0" w:firstLine="420" w:firstLineChars="0"/>
        <w:jc w:val="center"/>
        <w:rPr>
          <w:rFonts w:ascii="黑体" w:eastAsia="黑体"/>
          <w:szCs w:val="24"/>
        </w:rPr>
      </w:pPr>
      <w:r>
        <w:rPr>
          <w:rFonts w:hint="eastAsia" w:ascii="黑体" w:eastAsia="黑体"/>
          <w:b w:val="0"/>
          <w:bCs w:val="0"/>
          <w:szCs w:val="24"/>
        </w:rPr>
        <w:t>项目基本信息</w:t>
      </w:r>
    </w:p>
    <w:tbl>
      <w:tblPr>
        <w:tblStyle w:val="48"/>
        <w:tblpPr w:leftFromText="180" w:rightFromText="180" w:vertAnchor="text" w:horzAnchor="margin" w:tblpXSpec="center" w:tblpY="173"/>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12"/>
        <w:gridCol w:w="2124"/>
        <w:gridCol w:w="3049"/>
        <w:gridCol w:w="2495"/>
      </w:tblGrid>
      <w:tr w14:paraId="0F7B4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54" w:hRule="atLeast"/>
        </w:trPr>
        <w:tc>
          <w:tcPr>
            <w:tcW w:w="1410" w:type="pct"/>
            <w:shd w:val="clear" w:color="auto" w:fill="DCE6F2"/>
            <w:vAlign w:val="center"/>
          </w:tcPr>
          <w:p w14:paraId="67615BE3">
            <w:pPr>
              <w:jc w:val="center"/>
              <w:rPr>
                <w:rFonts w:ascii="宋体" w:hAnsi="宋体" w:eastAsia="宋体"/>
                <w:b/>
                <w:sz w:val="21"/>
                <w:szCs w:val="21"/>
              </w:rPr>
            </w:pPr>
            <w:r>
              <w:rPr>
                <w:rFonts w:hint="eastAsia" w:ascii="宋体" w:hAnsi="宋体" w:eastAsia="宋体" w:cs="宋体"/>
                <w:b/>
                <w:sz w:val="21"/>
                <w:szCs w:val="21"/>
              </w:rPr>
              <w:t>采购计划编号</w:t>
            </w:r>
          </w:p>
        </w:tc>
        <w:tc>
          <w:tcPr>
            <w:tcW w:w="994" w:type="pct"/>
            <w:shd w:val="clear" w:color="auto" w:fill="DCE6F2"/>
            <w:vAlign w:val="center"/>
          </w:tcPr>
          <w:p w14:paraId="372980D5">
            <w:pPr>
              <w:jc w:val="center"/>
              <w:rPr>
                <w:rFonts w:ascii="宋体" w:hAnsi="宋体" w:eastAsia="宋体" w:cs="宋体"/>
                <w:b/>
                <w:sz w:val="21"/>
                <w:szCs w:val="21"/>
              </w:rPr>
            </w:pPr>
            <w:r>
              <w:rPr>
                <w:rFonts w:hint="eastAsia" w:ascii="宋体" w:hAnsi="宋体" w:eastAsia="宋体" w:cs="宋体"/>
                <w:b/>
                <w:sz w:val="21"/>
                <w:szCs w:val="21"/>
              </w:rPr>
              <w:t>项目编号</w:t>
            </w:r>
          </w:p>
        </w:tc>
        <w:tc>
          <w:tcPr>
            <w:tcW w:w="1427" w:type="pct"/>
            <w:shd w:val="clear" w:color="auto" w:fill="DCE6F2"/>
            <w:vAlign w:val="center"/>
          </w:tcPr>
          <w:p w14:paraId="64B99F1F">
            <w:pPr>
              <w:jc w:val="center"/>
              <w:rPr>
                <w:rFonts w:ascii="宋体" w:hAnsi="宋体" w:eastAsia="宋体"/>
                <w:b/>
                <w:sz w:val="21"/>
                <w:szCs w:val="21"/>
              </w:rPr>
            </w:pPr>
            <w:r>
              <w:rPr>
                <w:rFonts w:hint="eastAsia" w:ascii="宋体" w:hAnsi="宋体" w:eastAsia="宋体" w:cs="宋体"/>
                <w:b/>
                <w:sz w:val="21"/>
                <w:szCs w:val="21"/>
              </w:rPr>
              <w:t>采购项目名称</w:t>
            </w:r>
          </w:p>
        </w:tc>
        <w:tc>
          <w:tcPr>
            <w:tcW w:w="1168" w:type="pct"/>
            <w:shd w:val="clear" w:color="auto" w:fill="DCE6F2"/>
            <w:vAlign w:val="center"/>
          </w:tcPr>
          <w:p w14:paraId="75AA4162">
            <w:pPr>
              <w:jc w:val="center"/>
              <w:rPr>
                <w:rFonts w:hint="eastAsia" w:ascii="宋体" w:hAnsi="宋体" w:eastAsia="宋体"/>
                <w:b/>
                <w:sz w:val="21"/>
                <w:szCs w:val="21"/>
                <w:lang w:eastAsia="zh-CN"/>
              </w:rPr>
            </w:pPr>
            <w:r>
              <w:rPr>
                <w:rFonts w:hint="eastAsia" w:ascii="宋体" w:hAnsi="宋体" w:eastAsia="宋体" w:cs="宋体"/>
                <w:b/>
                <w:sz w:val="21"/>
                <w:szCs w:val="21"/>
              </w:rPr>
              <w:t>预算金额</w:t>
            </w:r>
          </w:p>
        </w:tc>
      </w:tr>
      <w:tr w14:paraId="5AEA9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5" w:hRule="atLeast"/>
        </w:trPr>
        <w:tc>
          <w:tcPr>
            <w:tcW w:w="1410" w:type="pct"/>
            <w:vAlign w:val="center"/>
          </w:tcPr>
          <w:p w14:paraId="70CCC5B0">
            <w:pPr>
              <w:pStyle w:val="26"/>
              <w:jc w:val="center"/>
              <w:rPr>
                <w:rFonts w:hint="eastAsia"/>
                <w:sz w:val="21"/>
                <w:szCs w:val="21"/>
              </w:rPr>
            </w:pPr>
          </w:p>
        </w:tc>
        <w:tc>
          <w:tcPr>
            <w:tcW w:w="994" w:type="pct"/>
            <w:vAlign w:val="center"/>
          </w:tcPr>
          <w:p w14:paraId="46FD87E7">
            <w:pPr>
              <w:jc w:val="center"/>
              <w:rPr>
                <w:rFonts w:hint="eastAsia" w:ascii="宋体" w:hAnsi="宋体" w:eastAsia="宋体" w:cs="宋体"/>
                <w:bCs/>
                <w:sz w:val="21"/>
                <w:szCs w:val="21"/>
              </w:rPr>
            </w:pPr>
          </w:p>
        </w:tc>
        <w:tc>
          <w:tcPr>
            <w:tcW w:w="1427" w:type="pct"/>
            <w:vAlign w:val="center"/>
          </w:tcPr>
          <w:p w14:paraId="0845070C">
            <w:pPr>
              <w:jc w:val="center"/>
              <w:rPr>
                <w:rFonts w:ascii="宋体" w:hAnsi="宋体" w:eastAsia="宋体"/>
                <w:bCs/>
                <w:sz w:val="21"/>
                <w:szCs w:val="21"/>
              </w:rPr>
            </w:pPr>
            <w:r>
              <w:rPr>
                <w:rFonts w:hint="eastAsia" w:ascii="宋体" w:hAnsi="宋体" w:eastAsia="宋体" w:cs="宋体"/>
                <w:bCs/>
                <w:sz w:val="21"/>
                <w:szCs w:val="21"/>
              </w:rPr>
              <w:t>光明区新湖街道荔湖、科韵、云谷三个社区党群服务中心社会工作服务采购项目</w:t>
            </w:r>
          </w:p>
        </w:tc>
        <w:tc>
          <w:tcPr>
            <w:tcW w:w="1168" w:type="pct"/>
            <w:vAlign w:val="center"/>
          </w:tcPr>
          <w:p w14:paraId="1A4FAE98">
            <w:pPr>
              <w:pStyle w:val="2"/>
              <w:jc w:val="center"/>
              <w:rPr>
                <w:rFonts w:eastAsia="宋体"/>
                <w:sz w:val="24"/>
                <w:szCs w:val="24"/>
              </w:rPr>
            </w:pPr>
            <w:r>
              <w:rPr>
                <w:rFonts w:hint="eastAsia" w:ascii="宋体" w:hAnsi="宋体" w:eastAsia="宋体"/>
                <w:b/>
                <w:bCs w:val="0"/>
                <w:sz w:val="24"/>
                <w:szCs w:val="24"/>
                <w:lang w:val="en-US" w:eastAsia="zh-CN"/>
              </w:rPr>
              <w:t>244.5万元</w:t>
            </w:r>
          </w:p>
        </w:tc>
      </w:tr>
    </w:tbl>
    <w:p w14:paraId="10EEE770">
      <w:pPr>
        <w:pStyle w:val="5"/>
        <w:spacing w:before="120" w:beforeLines="50" w:after="120" w:afterLines="50"/>
        <w:rPr>
          <w:szCs w:val="24"/>
        </w:rPr>
      </w:pPr>
    </w:p>
    <w:p w14:paraId="1FEF1E72">
      <w:pPr>
        <w:pStyle w:val="6"/>
        <w:numPr>
          <w:ilvl w:val="0"/>
          <w:numId w:val="8"/>
        </w:numPr>
        <w:spacing w:after="140" w:line="360" w:lineRule="auto"/>
        <w:ind w:left="0" w:leftChars="0" w:firstLine="420" w:firstLineChars="0"/>
        <w:jc w:val="center"/>
        <w:rPr>
          <w:rFonts w:hint="eastAsia" w:ascii="黑体" w:eastAsia="黑体"/>
          <w:b w:val="0"/>
          <w:bCs w:val="0"/>
          <w:szCs w:val="24"/>
        </w:rPr>
      </w:pPr>
      <w:r>
        <w:rPr>
          <w:rFonts w:hint="eastAsia" w:ascii="黑体" w:eastAsia="黑体"/>
          <w:b w:val="0"/>
          <w:bCs w:val="0"/>
          <w:szCs w:val="24"/>
        </w:rPr>
        <w:t>服务需求明细</w:t>
      </w:r>
    </w:p>
    <w:tbl>
      <w:tblPr>
        <w:tblStyle w:val="48"/>
        <w:tblpPr w:leftFromText="180" w:rightFromText="180" w:vertAnchor="text" w:horzAnchor="margin" w:tblpXSpec="center" w:tblpY="173"/>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52"/>
        <w:gridCol w:w="1448"/>
        <w:gridCol w:w="1384"/>
        <w:gridCol w:w="2494"/>
      </w:tblGrid>
      <w:tr w14:paraId="7D984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2505" w:type="pct"/>
            <w:shd w:val="clear" w:color="auto" w:fill="DCE6F2"/>
            <w:vAlign w:val="center"/>
          </w:tcPr>
          <w:p w14:paraId="40B439B4">
            <w:pPr>
              <w:jc w:val="center"/>
              <w:rPr>
                <w:rFonts w:ascii="宋体" w:hAnsi="宋体" w:eastAsia="宋体" w:cs="宋体"/>
                <w:b/>
                <w:sz w:val="21"/>
                <w:szCs w:val="21"/>
              </w:rPr>
            </w:pPr>
            <w:r>
              <w:rPr>
                <w:rFonts w:hint="eastAsia" w:ascii="宋体" w:hAnsi="宋体" w:eastAsia="宋体" w:cs="宋体"/>
                <w:b/>
                <w:sz w:val="21"/>
                <w:szCs w:val="21"/>
              </w:rPr>
              <w:t>服务需求名称</w:t>
            </w:r>
          </w:p>
          <w:p w14:paraId="541A6756">
            <w:pPr>
              <w:jc w:val="center"/>
              <w:rPr>
                <w:rFonts w:ascii="宋体" w:hAnsi="宋体" w:eastAsia="宋体"/>
                <w:b/>
                <w:sz w:val="21"/>
                <w:szCs w:val="21"/>
              </w:rPr>
            </w:pPr>
            <w:r>
              <w:rPr>
                <w:rFonts w:hint="eastAsia" w:ascii="宋体" w:hAnsi="宋体" w:eastAsia="宋体" w:cs="宋体"/>
                <w:b/>
                <w:sz w:val="21"/>
                <w:szCs w:val="21"/>
              </w:rPr>
              <w:t>（标的名称）</w:t>
            </w:r>
          </w:p>
        </w:tc>
        <w:tc>
          <w:tcPr>
            <w:tcW w:w="678" w:type="pct"/>
            <w:shd w:val="clear" w:color="auto" w:fill="DCE6F2"/>
            <w:vAlign w:val="center"/>
          </w:tcPr>
          <w:p w14:paraId="0D43F6DB">
            <w:pPr>
              <w:jc w:val="center"/>
              <w:rPr>
                <w:rFonts w:ascii="宋体" w:hAnsi="宋体" w:eastAsia="宋体"/>
                <w:b/>
                <w:sz w:val="21"/>
                <w:szCs w:val="21"/>
              </w:rPr>
            </w:pPr>
            <w:r>
              <w:rPr>
                <w:rFonts w:hint="eastAsia" w:ascii="宋体" w:hAnsi="宋体" w:eastAsia="宋体" w:cs="宋体"/>
                <w:b/>
                <w:sz w:val="21"/>
                <w:szCs w:val="21"/>
              </w:rPr>
              <w:t>数量</w:t>
            </w:r>
          </w:p>
        </w:tc>
        <w:tc>
          <w:tcPr>
            <w:tcW w:w="648" w:type="pct"/>
            <w:shd w:val="clear" w:color="auto" w:fill="DCE6F2"/>
            <w:vAlign w:val="center"/>
          </w:tcPr>
          <w:p w14:paraId="7E9415B9">
            <w:pPr>
              <w:jc w:val="center"/>
              <w:rPr>
                <w:rFonts w:ascii="宋体" w:hAnsi="宋体" w:eastAsia="宋体"/>
                <w:b/>
                <w:sz w:val="21"/>
                <w:szCs w:val="21"/>
              </w:rPr>
            </w:pPr>
            <w:r>
              <w:rPr>
                <w:rFonts w:hint="eastAsia" w:ascii="宋体" w:hAnsi="宋体" w:eastAsia="宋体" w:cs="宋体"/>
                <w:b/>
                <w:sz w:val="21"/>
                <w:szCs w:val="21"/>
              </w:rPr>
              <w:t>单位</w:t>
            </w:r>
          </w:p>
        </w:tc>
        <w:tc>
          <w:tcPr>
            <w:tcW w:w="1167" w:type="pct"/>
            <w:shd w:val="clear" w:color="auto" w:fill="DCE6F2"/>
            <w:vAlign w:val="center"/>
          </w:tcPr>
          <w:p w14:paraId="47A537F6">
            <w:pPr>
              <w:jc w:val="center"/>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所属行业</w:t>
            </w:r>
          </w:p>
        </w:tc>
      </w:tr>
      <w:tr w14:paraId="66462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1" w:hRule="atLeast"/>
          <w:jc w:val="center"/>
        </w:trPr>
        <w:tc>
          <w:tcPr>
            <w:tcW w:w="2505" w:type="pct"/>
            <w:vAlign w:val="center"/>
          </w:tcPr>
          <w:p w14:paraId="5D3B1E6B">
            <w:pPr>
              <w:jc w:val="center"/>
              <w:rPr>
                <w:rFonts w:ascii="宋体" w:hAnsi="宋体" w:eastAsia="宋体"/>
                <w:bCs/>
                <w:sz w:val="21"/>
                <w:szCs w:val="21"/>
              </w:rPr>
            </w:pPr>
            <w:r>
              <w:rPr>
                <w:rFonts w:hint="eastAsia" w:ascii="宋体" w:hAnsi="宋体" w:eastAsia="宋体" w:cs="宋体"/>
                <w:bCs/>
                <w:sz w:val="21"/>
                <w:szCs w:val="21"/>
              </w:rPr>
              <w:t>光明区新湖街道荔湖、科韵、云谷三个社区党群服务中心社会工作服务采购项目</w:t>
            </w:r>
          </w:p>
        </w:tc>
        <w:tc>
          <w:tcPr>
            <w:tcW w:w="678" w:type="pct"/>
            <w:vAlign w:val="center"/>
          </w:tcPr>
          <w:p w14:paraId="5A602CCC">
            <w:pPr>
              <w:jc w:val="center"/>
              <w:rPr>
                <w:rFonts w:ascii="宋体" w:hAnsi="宋体" w:eastAsia="宋体"/>
                <w:bCs/>
                <w:sz w:val="21"/>
                <w:szCs w:val="21"/>
              </w:rPr>
            </w:pPr>
            <w:r>
              <w:rPr>
                <w:rFonts w:hint="eastAsia" w:ascii="宋体" w:hAnsi="宋体" w:eastAsia="宋体"/>
                <w:sz w:val="21"/>
                <w:szCs w:val="21"/>
              </w:rPr>
              <w:t>1.0</w:t>
            </w:r>
          </w:p>
        </w:tc>
        <w:tc>
          <w:tcPr>
            <w:tcW w:w="648" w:type="pct"/>
            <w:vAlign w:val="center"/>
          </w:tcPr>
          <w:p w14:paraId="5136E516">
            <w:pPr>
              <w:jc w:val="center"/>
              <w:rPr>
                <w:rFonts w:ascii="宋体" w:hAnsi="宋体" w:eastAsia="宋体"/>
                <w:bCs/>
                <w:sz w:val="21"/>
                <w:szCs w:val="21"/>
              </w:rPr>
            </w:pPr>
            <w:r>
              <w:rPr>
                <w:rFonts w:hint="eastAsia" w:ascii="宋体" w:hAnsi="宋体" w:eastAsia="宋体" w:cs="宋体"/>
                <w:bCs/>
                <w:sz w:val="21"/>
                <w:szCs w:val="21"/>
              </w:rPr>
              <w:t>项</w:t>
            </w:r>
          </w:p>
        </w:tc>
        <w:tc>
          <w:tcPr>
            <w:tcW w:w="1167" w:type="pct"/>
            <w:vAlign w:val="center"/>
          </w:tcPr>
          <w:p w14:paraId="48E337FD">
            <w:pPr>
              <w:jc w:val="center"/>
              <w:rPr>
                <w:rFonts w:hint="eastAsia" w:ascii="宋体" w:hAnsi="宋体" w:eastAsia="宋体" w:cs="宋体"/>
                <w:b/>
                <w:bCs w:val="0"/>
                <w:sz w:val="21"/>
                <w:szCs w:val="21"/>
              </w:rPr>
            </w:pPr>
            <w:r>
              <w:rPr>
                <w:rFonts w:hint="eastAsia" w:ascii="宋体" w:hAnsi="宋体" w:eastAsia="宋体" w:cs="宋体"/>
                <w:b/>
                <w:bCs w:val="0"/>
                <w:sz w:val="21"/>
                <w:szCs w:val="21"/>
              </w:rPr>
              <w:t>其他未列明行业</w:t>
            </w:r>
          </w:p>
        </w:tc>
      </w:tr>
    </w:tbl>
    <w:p w14:paraId="17AB2D80">
      <w:pPr>
        <w:spacing w:line="360" w:lineRule="auto"/>
        <w:rPr>
          <w:rFonts w:ascii="黑体" w:hAnsi="宋体" w:eastAsia="黑体"/>
          <w:bCs/>
          <w:sz w:val="21"/>
          <w:szCs w:val="21"/>
        </w:rPr>
      </w:pPr>
    </w:p>
    <w:p w14:paraId="54DBA577">
      <w:pPr>
        <w:pStyle w:val="5"/>
        <w:numPr>
          <w:ilvl w:val="0"/>
          <w:numId w:val="8"/>
        </w:numPr>
        <w:spacing w:before="156" w:beforeLines="50" w:after="156" w:afterLines="50"/>
        <w:ind w:left="0" w:leftChars="0" w:firstLine="420" w:firstLineChars="0"/>
        <w:jc w:val="center"/>
        <w:rPr>
          <w:rFonts w:hint="eastAsia" w:ascii="黑体" w:hAnsi="宋体" w:eastAsia="黑体" w:cs="Times New Roman"/>
          <w:b w:val="0"/>
          <w:bCs w:val="0"/>
          <w:kern w:val="2"/>
          <w:sz w:val="28"/>
          <w:szCs w:val="24"/>
          <w:lang w:val="en-US" w:eastAsia="zh-CN" w:bidi="ar-SA"/>
        </w:rPr>
      </w:pPr>
      <w:bookmarkStart w:id="14" w:name="_Toc308093914"/>
      <w:bookmarkEnd w:id="14"/>
      <w:r>
        <w:rPr>
          <w:rFonts w:hint="eastAsia" w:ascii="黑体" w:hAnsi="宋体" w:eastAsia="黑体" w:cs="Times New Roman"/>
          <w:b w:val="0"/>
          <w:bCs w:val="0"/>
          <w:kern w:val="2"/>
          <w:sz w:val="28"/>
          <w:szCs w:val="24"/>
          <w:lang w:val="en-US" w:eastAsia="zh-CN" w:bidi="ar-SA"/>
        </w:rPr>
        <w:t>服务要求</w:t>
      </w:r>
    </w:p>
    <w:p w14:paraId="4DE0172B">
      <w:pPr>
        <w:keepNext w:val="0"/>
        <w:keepLines w:val="0"/>
        <w:pageBreakBefore w:val="0"/>
        <w:widowControl/>
        <w:tabs>
          <w:tab w:val="left" w:pos="720"/>
        </w:tabs>
        <w:kinsoku/>
        <w:wordWrap/>
        <w:overflowPunct/>
        <w:topLinePunct w:val="0"/>
        <w:autoSpaceDE/>
        <w:autoSpaceDN/>
        <w:bidi w:val="0"/>
        <w:spacing w:line="240" w:lineRule="auto"/>
        <w:ind w:firstLine="420" w:firstLineChars="200"/>
        <w:jc w:val="left"/>
        <w:textAlignment w:val="auto"/>
        <w:rPr>
          <w:rFonts w:hint="eastAsia" w:ascii="宋体" w:hAnsi="宋体" w:eastAsia="宋体" w:cs="宋体"/>
          <w:b/>
          <w:sz w:val="21"/>
          <w:szCs w:val="21"/>
        </w:rPr>
      </w:pPr>
      <w:r>
        <w:rPr>
          <w:rFonts w:hint="eastAsia" w:ascii="宋体" w:hAnsi="宋体" w:eastAsia="宋体" w:cs="宋体"/>
          <w:b/>
          <w:sz w:val="21"/>
          <w:szCs w:val="21"/>
        </w:rPr>
        <w:t>（一）项目概况</w:t>
      </w:r>
    </w:p>
    <w:p w14:paraId="1ACD4207">
      <w:pPr>
        <w:keepNext w:val="0"/>
        <w:keepLines w:val="0"/>
        <w:pageBreakBefore w:val="0"/>
        <w:kinsoku/>
        <w:wordWrap/>
        <w:overflowPunct/>
        <w:topLinePunct w:val="0"/>
        <w:autoSpaceDE/>
        <w:autoSpaceDN/>
        <w:bidi w:val="0"/>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bCs/>
          <w:sz w:val="21"/>
          <w:szCs w:val="21"/>
          <w:highlight w:val="none"/>
        </w:rPr>
        <w:t>根据《深圳市人民政府办公厅关于印发深圳市提升社会工作服务水平若干措施的通知》（深府办规〔2020〕11号）</w:t>
      </w:r>
      <w:r>
        <w:rPr>
          <w:rFonts w:hint="eastAsia" w:ascii="宋体" w:hAnsi="宋体" w:eastAsia="宋体" w:cs="宋体"/>
          <w:bCs/>
          <w:color w:val="000000"/>
          <w:sz w:val="21"/>
          <w:szCs w:val="21"/>
          <w:highlight w:val="none"/>
        </w:rPr>
        <w:t>文件要求，明确社会工作服务采购</w:t>
      </w:r>
      <w:r>
        <w:rPr>
          <w:rFonts w:hint="eastAsia" w:ascii="宋体" w:hAnsi="宋体" w:eastAsia="宋体" w:cs="宋体"/>
          <w:bCs/>
          <w:color w:val="000000"/>
          <w:sz w:val="21"/>
          <w:szCs w:val="21"/>
          <w:highlight w:val="none"/>
          <w:lang w:val="en-US" w:eastAsia="zh-CN"/>
        </w:rPr>
        <w:t>整体打包费标准不低于16.3万元/人/年。</w:t>
      </w:r>
      <w:r>
        <w:rPr>
          <w:rFonts w:hint="eastAsia" w:ascii="宋体" w:hAnsi="宋体" w:eastAsia="宋体" w:cs="宋体"/>
          <w:bCs/>
          <w:color w:val="000000"/>
          <w:sz w:val="21"/>
          <w:szCs w:val="21"/>
        </w:rPr>
        <w:t>现通过公开招标方式采购</w:t>
      </w:r>
      <w:r>
        <w:rPr>
          <w:rFonts w:hint="eastAsia" w:ascii="宋体" w:hAnsi="宋体" w:eastAsia="宋体" w:cs="宋体"/>
          <w:bCs/>
          <w:color w:val="000000"/>
          <w:sz w:val="21"/>
          <w:szCs w:val="21"/>
          <w:lang w:eastAsia="zh-CN"/>
        </w:rPr>
        <w:t>荔湖、科韵、云谷</w:t>
      </w:r>
      <w:r>
        <w:rPr>
          <w:rFonts w:hint="eastAsia" w:ascii="宋体" w:hAnsi="宋体" w:eastAsia="宋体" w:cs="宋体"/>
          <w:bCs/>
          <w:color w:val="000000"/>
          <w:sz w:val="21"/>
          <w:szCs w:val="21"/>
        </w:rPr>
        <w:t>三个社区党群服务中心社会工作服务项目，购买1</w:t>
      </w:r>
      <w:r>
        <w:rPr>
          <w:rFonts w:hint="eastAsia" w:ascii="宋体" w:hAnsi="宋体" w:eastAsia="宋体" w:cs="宋体"/>
          <w:bCs/>
          <w:color w:val="000000"/>
          <w:sz w:val="21"/>
          <w:szCs w:val="21"/>
          <w:lang w:val="en-US" w:eastAsia="zh-CN"/>
        </w:rPr>
        <w:t>5</w:t>
      </w:r>
      <w:r>
        <w:rPr>
          <w:rFonts w:hint="eastAsia" w:ascii="宋体" w:hAnsi="宋体" w:eastAsia="宋体" w:cs="宋体"/>
          <w:bCs/>
          <w:color w:val="000000"/>
          <w:sz w:val="21"/>
          <w:szCs w:val="21"/>
        </w:rPr>
        <w:t>名党群服务中心全职社工，预算</w:t>
      </w:r>
      <w:r>
        <w:rPr>
          <w:rFonts w:hint="eastAsia" w:ascii="宋体" w:hAnsi="宋体" w:eastAsia="宋体" w:cs="宋体"/>
          <w:bCs/>
          <w:color w:val="000000"/>
          <w:sz w:val="21"/>
          <w:szCs w:val="21"/>
          <w:lang w:val="en-US" w:eastAsia="zh-CN"/>
        </w:rPr>
        <w:t>244.5</w:t>
      </w:r>
      <w:r>
        <w:rPr>
          <w:rFonts w:hint="eastAsia" w:ascii="宋体" w:hAnsi="宋体" w:eastAsia="宋体" w:cs="宋体"/>
          <w:bCs/>
          <w:color w:val="000000"/>
          <w:sz w:val="21"/>
          <w:szCs w:val="21"/>
        </w:rPr>
        <w:t>万元/年，负责</w:t>
      </w:r>
      <w:r>
        <w:rPr>
          <w:rFonts w:hint="eastAsia" w:ascii="宋体" w:hAnsi="宋体" w:eastAsia="宋体" w:cs="宋体"/>
          <w:bCs/>
          <w:color w:val="000000"/>
          <w:sz w:val="21"/>
          <w:szCs w:val="21"/>
          <w:lang w:eastAsia="zh-CN"/>
        </w:rPr>
        <w:t>荔湖、科韵、云谷</w:t>
      </w:r>
      <w:r>
        <w:rPr>
          <w:rFonts w:hint="eastAsia" w:ascii="宋体" w:hAnsi="宋体" w:eastAsia="宋体" w:cs="宋体"/>
          <w:bCs/>
          <w:color w:val="000000"/>
          <w:sz w:val="21"/>
          <w:szCs w:val="21"/>
        </w:rPr>
        <w:t>社区党群服务中心社会工作服务。</w:t>
      </w:r>
    </w:p>
    <w:p w14:paraId="7EE30799">
      <w:pPr>
        <w:keepNext w:val="0"/>
        <w:keepLines w:val="0"/>
        <w:pageBreakBefore w:val="0"/>
        <w:kinsoku/>
        <w:wordWrap/>
        <w:overflowPunct/>
        <w:topLinePunct w:val="0"/>
        <w:autoSpaceDE/>
        <w:autoSpaceDN/>
        <w:bidi w:val="0"/>
        <w:spacing w:line="240" w:lineRule="auto"/>
        <w:ind w:firstLine="420" w:firstLineChars="200"/>
        <w:textAlignment w:val="auto"/>
        <w:rPr>
          <w:rFonts w:hint="eastAsia" w:ascii="宋体" w:hAnsi="宋体" w:eastAsia="宋体" w:cs="宋体"/>
          <w:b/>
          <w:bCs/>
          <w:kern w:val="0"/>
          <w:sz w:val="21"/>
          <w:szCs w:val="21"/>
        </w:rPr>
      </w:pPr>
      <w:r>
        <w:rPr>
          <w:rFonts w:hint="eastAsia" w:ascii="宋体" w:hAnsi="宋体" w:eastAsia="宋体" w:cs="宋体"/>
          <w:b/>
          <w:bCs/>
          <w:kern w:val="0"/>
          <w:sz w:val="21"/>
          <w:szCs w:val="21"/>
        </w:rPr>
        <w:t>（二）服务范围</w:t>
      </w:r>
    </w:p>
    <w:p w14:paraId="0D4515BB">
      <w:pPr>
        <w:keepNext w:val="0"/>
        <w:keepLines w:val="0"/>
        <w:pageBreakBefore w:val="0"/>
        <w:kinsoku/>
        <w:wordWrap/>
        <w:overflowPunct/>
        <w:topLinePunct w:val="0"/>
        <w:autoSpaceDE/>
        <w:autoSpaceDN/>
        <w:bidi w:val="0"/>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负责深圳市光明区新湖街道</w:t>
      </w:r>
      <w:r>
        <w:rPr>
          <w:rFonts w:hint="eastAsia" w:ascii="宋体" w:hAnsi="宋体" w:eastAsia="宋体" w:cs="宋体"/>
          <w:sz w:val="21"/>
          <w:szCs w:val="21"/>
          <w:lang w:eastAsia="zh-CN"/>
        </w:rPr>
        <w:t>荔湖、科韵、云谷</w:t>
      </w:r>
      <w:r>
        <w:rPr>
          <w:rFonts w:hint="eastAsia" w:ascii="宋体" w:hAnsi="宋体" w:eastAsia="宋体" w:cs="宋体"/>
          <w:sz w:val="21"/>
          <w:szCs w:val="21"/>
        </w:rPr>
        <w:t>社区党群服务中心社会工作服务。</w:t>
      </w:r>
    </w:p>
    <w:p w14:paraId="5FD0A861">
      <w:pPr>
        <w:keepNext w:val="0"/>
        <w:keepLines w:val="0"/>
        <w:pageBreakBefore w:val="0"/>
        <w:kinsoku/>
        <w:wordWrap/>
        <w:overflowPunct/>
        <w:topLinePunct w:val="0"/>
        <w:autoSpaceDE/>
        <w:autoSpaceDN/>
        <w:bidi w:val="0"/>
        <w:spacing w:line="240" w:lineRule="auto"/>
        <w:ind w:firstLine="420" w:firstLineChars="200"/>
        <w:textAlignment w:val="auto"/>
        <w:rPr>
          <w:rFonts w:hint="eastAsia" w:ascii="宋体" w:hAnsi="宋体" w:eastAsia="宋体" w:cs="宋体"/>
          <w:b/>
          <w:bCs/>
          <w:kern w:val="0"/>
          <w:sz w:val="21"/>
          <w:szCs w:val="21"/>
        </w:rPr>
      </w:pPr>
      <w:r>
        <w:rPr>
          <w:rFonts w:hint="eastAsia" w:ascii="宋体" w:hAnsi="宋体" w:eastAsia="宋体" w:cs="宋体"/>
          <w:b/>
          <w:bCs/>
          <w:kern w:val="0"/>
          <w:sz w:val="21"/>
          <w:szCs w:val="21"/>
        </w:rPr>
        <w:t>（三）服务要求</w:t>
      </w:r>
    </w:p>
    <w:p w14:paraId="7EAF99EB">
      <w:pPr>
        <w:keepNext w:val="0"/>
        <w:keepLines w:val="0"/>
        <w:pageBreakBefore w:val="0"/>
        <w:kinsoku/>
        <w:wordWrap/>
        <w:overflowPunct/>
        <w:topLinePunct w:val="0"/>
        <w:autoSpaceDE/>
        <w:autoSpaceDN/>
        <w:bidi w:val="0"/>
        <w:spacing w:line="240" w:lineRule="auto"/>
        <w:ind w:firstLine="420" w:firstLineChars="200"/>
        <w:textAlignment w:val="auto"/>
        <w:outlineLvl w:val="0"/>
        <w:rPr>
          <w:rFonts w:hint="eastAsia" w:ascii="宋体" w:hAnsi="宋体" w:eastAsia="宋体" w:cs="宋体"/>
          <w:b/>
          <w:color w:val="000000"/>
          <w:kern w:val="0"/>
          <w:sz w:val="21"/>
          <w:szCs w:val="21"/>
        </w:rPr>
      </w:pPr>
      <w:r>
        <w:rPr>
          <w:rFonts w:hint="eastAsia" w:ascii="宋体" w:hAnsi="宋体" w:eastAsia="宋体" w:cs="宋体"/>
          <w:b/>
          <w:color w:val="000000"/>
          <w:kern w:val="0"/>
          <w:sz w:val="21"/>
          <w:szCs w:val="21"/>
        </w:rPr>
        <w:t>1.服务目标</w:t>
      </w:r>
    </w:p>
    <w:p w14:paraId="3FC5E462">
      <w:pPr>
        <w:keepNext w:val="0"/>
        <w:keepLines w:val="0"/>
        <w:pageBreakBefore w:val="0"/>
        <w:kinsoku/>
        <w:wordWrap/>
        <w:overflowPunct/>
        <w:topLinePunct w:val="0"/>
        <w:autoSpaceDE/>
        <w:autoSpaceDN/>
        <w:bidi w:val="0"/>
        <w:adjustRightInd w:val="0"/>
        <w:snapToGrid w:val="0"/>
        <w:spacing w:line="240" w:lineRule="auto"/>
        <w:ind w:firstLine="420" w:firstLineChars="200"/>
        <w:textAlignment w:val="auto"/>
        <w:outlineLvl w:val="0"/>
        <w:rPr>
          <w:rFonts w:hint="eastAsia" w:ascii="宋体" w:hAnsi="宋体" w:eastAsia="宋体" w:cs="宋体"/>
          <w:color w:val="000000"/>
          <w:sz w:val="21"/>
          <w:szCs w:val="21"/>
        </w:rPr>
      </w:pPr>
      <w:r>
        <w:rPr>
          <w:rFonts w:hint="eastAsia" w:ascii="宋体" w:hAnsi="宋体" w:eastAsia="宋体" w:cs="宋体"/>
          <w:color w:val="000000"/>
          <w:sz w:val="21"/>
          <w:szCs w:val="21"/>
        </w:rPr>
        <w:t>在社区党委的领导下，围绕社区党委的中心工作开展社区服务，旗帜鲜明地体现为民服务的核心要求，确保为社区居民提供专业服务的过程，成为社区党委联系群众、赢得群众的过程，成为社区党委树立形象、凝聚党心民心的过程。通过运用多元化的综合性服务，协助社区内有需要的个人、家庭解决困难及问题；提升个人及家庭解决问题的能力，加强及巩固家庭功能，促进家庭和谐；整合社区内资源，丰富社区居民生活，提高社区服务效率及质量，建立社区互助网络，打造和谐、友爱、康居、乐业社区。</w:t>
      </w:r>
    </w:p>
    <w:p w14:paraId="7D9D61A8">
      <w:pPr>
        <w:keepNext w:val="0"/>
        <w:keepLines w:val="0"/>
        <w:pageBreakBefore w:val="0"/>
        <w:kinsoku/>
        <w:wordWrap/>
        <w:overflowPunct/>
        <w:topLinePunct w:val="0"/>
        <w:autoSpaceDE/>
        <w:autoSpaceDN/>
        <w:bidi w:val="0"/>
        <w:spacing w:line="240" w:lineRule="auto"/>
        <w:ind w:firstLine="420" w:firstLineChars="200"/>
        <w:textAlignment w:val="auto"/>
        <w:outlineLvl w:val="0"/>
        <w:rPr>
          <w:rFonts w:hint="eastAsia" w:ascii="宋体" w:hAnsi="宋体" w:eastAsia="宋体" w:cs="宋体"/>
          <w:b/>
          <w:color w:val="000000"/>
          <w:kern w:val="0"/>
          <w:sz w:val="21"/>
          <w:szCs w:val="21"/>
        </w:rPr>
      </w:pPr>
      <w:r>
        <w:rPr>
          <w:rFonts w:hint="eastAsia" w:ascii="宋体" w:hAnsi="宋体" w:eastAsia="宋体" w:cs="宋体"/>
          <w:b/>
          <w:color w:val="000000"/>
          <w:kern w:val="0"/>
          <w:sz w:val="21"/>
          <w:szCs w:val="21"/>
        </w:rPr>
        <w:t>2.工作重点</w:t>
      </w:r>
    </w:p>
    <w:p w14:paraId="16BEB953">
      <w:pPr>
        <w:keepNext w:val="0"/>
        <w:keepLines w:val="0"/>
        <w:pageBreakBefore w:val="0"/>
        <w:kinsoku/>
        <w:wordWrap/>
        <w:overflowPunct/>
        <w:topLinePunct w:val="0"/>
        <w:autoSpaceDE/>
        <w:autoSpaceDN/>
        <w:bidi w:val="0"/>
        <w:adjustRightInd w:val="0"/>
        <w:snapToGrid w:val="0"/>
        <w:spacing w:line="240" w:lineRule="auto"/>
        <w:ind w:firstLine="420" w:firstLineChars="200"/>
        <w:textAlignment w:val="auto"/>
        <w:outlineLvl w:val="0"/>
        <w:rPr>
          <w:rFonts w:hint="eastAsia" w:ascii="宋体" w:hAnsi="宋体" w:eastAsia="宋体" w:cs="宋体"/>
          <w:color w:val="000000"/>
          <w:sz w:val="21"/>
          <w:szCs w:val="21"/>
        </w:rPr>
      </w:pPr>
      <w:r>
        <w:rPr>
          <w:rFonts w:hint="eastAsia" w:ascii="宋体" w:hAnsi="宋体" w:eastAsia="宋体" w:cs="宋体"/>
          <w:color w:val="000000"/>
          <w:sz w:val="21"/>
          <w:szCs w:val="21"/>
        </w:rPr>
        <w:t>聚焦特殊群体，聚焦群众关切，采取多种形式，全面细致调查分析，准确掌握社区居民需求，通过精准化、精细化设计和实施服务项目，为社区居民提供更优质服务，满足社区居民多样化、个性化需求。推动将社会工作专业理念、知识和技能融入社区建设的各领域、各环节，综合运用专业方法为有需要的个人、家庭和群体、社区提供帮困扶弱、心理疏导、矛盾调处、资源链接、权益维护、能力提升、社会融入等服务，组织引导、链接整合驻社区单位、社会组织、志愿者等多方社会力量参与社区治理。在做好专业社会工作服务的同时，做好社区党群服务中心日常管理运营工作，服从新湖街道相关职能部门和所服务社区的实际需要安排，协助各项工作有序开展。</w:t>
      </w:r>
    </w:p>
    <w:p w14:paraId="0A36930B">
      <w:pPr>
        <w:keepNext w:val="0"/>
        <w:keepLines w:val="0"/>
        <w:pageBreakBefore w:val="0"/>
        <w:kinsoku/>
        <w:wordWrap/>
        <w:overflowPunct/>
        <w:topLinePunct w:val="0"/>
        <w:autoSpaceDE/>
        <w:autoSpaceDN/>
        <w:bidi w:val="0"/>
        <w:spacing w:line="240" w:lineRule="auto"/>
        <w:ind w:firstLine="420" w:firstLineChars="200"/>
        <w:textAlignment w:val="auto"/>
        <w:outlineLvl w:val="0"/>
        <w:rPr>
          <w:rFonts w:hint="eastAsia" w:ascii="宋体" w:hAnsi="宋体" w:eastAsia="宋体" w:cs="宋体"/>
          <w:b/>
          <w:color w:val="000000"/>
          <w:kern w:val="0"/>
          <w:sz w:val="21"/>
          <w:szCs w:val="21"/>
        </w:rPr>
      </w:pPr>
      <w:r>
        <w:rPr>
          <w:rFonts w:hint="eastAsia" w:ascii="宋体" w:hAnsi="宋体" w:eastAsia="宋体" w:cs="宋体"/>
          <w:b/>
          <w:color w:val="000000"/>
          <w:kern w:val="0"/>
          <w:sz w:val="21"/>
          <w:szCs w:val="21"/>
        </w:rPr>
        <w:t>3.人员配置</w:t>
      </w:r>
    </w:p>
    <w:p w14:paraId="4E3F0E31">
      <w:pPr>
        <w:keepNext w:val="0"/>
        <w:keepLines w:val="0"/>
        <w:pageBreakBefore w:val="0"/>
        <w:kinsoku/>
        <w:wordWrap/>
        <w:overflowPunct/>
        <w:topLinePunct w:val="0"/>
        <w:autoSpaceDE/>
        <w:autoSpaceDN/>
        <w:bidi w:val="0"/>
        <w:adjustRightInd w:val="0"/>
        <w:snapToGrid w:val="0"/>
        <w:spacing w:line="240" w:lineRule="auto"/>
        <w:ind w:firstLine="420" w:firstLineChars="200"/>
        <w:textAlignment w:val="auto"/>
        <w:outlineLvl w:val="0"/>
        <w:rPr>
          <w:rFonts w:hint="eastAsia" w:ascii="宋体" w:hAnsi="宋体" w:eastAsia="宋体" w:cs="宋体"/>
          <w:color w:val="000000"/>
          <w:sz w:val="21"/>
          <w:szCs w:val="21"/>
        </w:rPr>
      </w:pPr>
      <w:r>
        <w:rPr>
          <w:rFonts w:hint="eastAsia" w:ascii="宋体" w:hAnsi="宋体" w:cs="宋体"/>
          <w:color w:val="000000"/>
          <w:sz w:val="21"/>
          <w:szCs w:val="21"/>
          <w:lang w:val="en-US" w:eastAsia="zh-CN"/>
        </w:rPr>
        <w:t>（1）</w:t>
      </w:r>
      <w:r>
        <w:rPr>
          <w:rFonts w:hint="eastAsia" w:ascii="宋体" w:hAnsi="宋体" w:eastAsia="宋体" w:cs="宋体"/>
          <w:color w:val="000000"/>
          <w:sz w:val="21"/>
          <w:szCs w:val="21"/>
        </w:rPr>
        <w:t>服务</w:t>
      </w:r>
      <w:r>
        <w:rPr>
          <w:rFonts w:hint="eastAsia" w:ascii="宋体" w:hAnsi="宋体" w:eastAsia="宋体" w:cs="宋体"/>
          <w:color w:val="000000"/>
          <w:sz w:val="21"/>
          <w:szCs w:val="21"/>
          <w:lang w:eastAsia="zh-CN"/>
        </w:rPr>
        <w:t>荔湖、科韵、云谷三个</w:t>
      </w:r>
      <w:r>
        <w:rPr>
          <w:rFonts w:hint="eastAsia" w:ascii="宋体" w:hAnsi="宋体" w:eastAsia="宋体" w:cs="宋体"/>
          <w:color w:val="000000"/>
          <w:sz w:val="21"/>
          <w:szCs w:val="21"/>
        </w:rPr>
        <w:t>社区党群服务中心，共配置1</w:t>
      </w:r>
      <w:r>
        <w:rPr>
          <w:rFonts w:hint="eastAsia" w:ascii="宋体" w:hAnsi="宋体" w:eastAsia="宋体" w:cs="宋体"/>
          <w:color w:val="000000"/>
          <w:sz w:val="21"/>
          <w:szCs w:val="21"/>
          <w:lang w:val="en-US" w:eastAsia="zh-CN"/>
        </w:rPr>
        <w:t>5</w:t>
      </w:r>
      <w:r>
        <w:rPr>
          <w:rFonts w:hint="eastAsia" w:ascii="宋体" w:hAnsi="宋体" w:eastAsia="宋体" w:cs="宋体"/>
          <w:color w:val="000000"/>
          <w:sz w:val="21"/>
          <w:szCs w:val="21"/>
        </w:rPr>
        <w:t>名社会工作者，其中</w:t>
      </w:r>
      <w:r>
        <w:rPr>
          <w:rFonts w:hint="eastAsia" w:ascii="宋体" w:hAnsi="宋体" w:eastAsia="宋体" w:cs="宋体"/>
          <w:color w:val="000000"/>
          <w:sz w:val="21"/>
          <w:szCs w:val="21"/>
          <w:lang w:eastAsia="zh-CN"/>
        </w:rPr>
        <w:t>荔湖</w:t>
      </w:r>
      <w:r>
        <w:rPr>
          <w:rFonts w:hint="eastAsia" w:ascii="宋体" w:hAnsi="宋体" w:eastAsia="宋体" w:cs="宋体"/>
          <w:color w:val="000000"/>
          <w:sz w:val="21"/>
          <w:szCs w:val="21"/>
        </w:rPr>
        <w:t>5名，</w:t>
      </w:r>
      <w:r>
        <w:rPr>
          <w:rFonts w:hint="eastAsia" w:ascii="宋体" w:hAnsi="宋体" w:eastAsia="宋体" w:cs="宋体"/>
          <w:color w:val="000000"/>
          <w:sz w:val="21"/>
          <w:szCs w:val="21"/>
          <w:lang w:eastAsia="zh-CN"/>
        </w:rPr>
        <w:t>科韵</w:t>
      </w:r>
      <w:r>
        <w:rPr>
          <w:rFonts w:hint="eastAsia" w:ascii="宋体" w:hAnsi="宋体" w:eastAsia="宋体" w:cs="宋体"/>
          <w:color w:val="000000"/>
          <w:sz w:val="21"/>
          <w:szCs w:val="21"/>
        </w:rPr>
        <w:t>5名</w:t>
      </w:r>
      <w:r>
        <w:rPr>
          <w:rFonts w:hint="eastAsia" w:ascii="宋体" w:hAnsi="宋体" w:eastAsia="宋体" w:cs="宋体"/>
          <w:color w:val="000000"/>
          <w:sz w:val="21"/>
          <w:szCs w:val="21"/>
          <w:lang w:eastAsia="zh-CN"/>
        </w:rPr>
        <w:t>，云谷</w:t>
      </w:r>
      <w:r>
        <w:rPr>
          <w:rFonts w:hint="eastAsia" w:ascii="宋体" w:hAnsi="宋体" w:eastAsia="宋体" w:cs="宋体"/>
          <w:color w:val="000000"/>
          <w:sz w:val="21"/>
          <w:szCs w:val="21"/>
          <w:lang w:val="en-US" w:eastAsia="zh-CN"/>
        </w:rPr>
        <w:t>5名</w:t>
      </w:r>
      <w:r>
        <w:rPr>
          <w:rFonts w:hint="eastAsia" w:ascii="宋体" w:hAnsi="宋体" w:eastAsia="宋体" w:cs="宋体"/>
          <w:color w:val="000000"/>
          <w:sz w:val="21"/>
          <w:szCs w:val="21"/>
        </w:rPr>
        <w:t>，原则上参与服务项目工作的社会工作专业岗位人员应当持有国家社会工作者职业水平证书，其中每个社区党群服务中心服务项目至少1人持有中级</w:t>
      </w:r>
      <w:r>
        <w:rPr>
          <w:rFonts w:hint="eastAsia" w:ascii="宋体" w:hAnsi="宋体" w:cs="宋体"/>
          <w:color w:val="000000"/>
          <w:sz w:val="21"/>
          <w:szCs w:val="21"/>
          <w:highlight w:val="none"/>
          <w:lang w:val="en-US" w:eastAsia="zh-CN"/>
        </w:rPr>
        <w:t>或以上</w:t>
      </w:r>
      <w:r>
        <w:rPr>
          <w:rFonts w:hint="eastAsia" w:ascii="宋体" w:hAnsi="宋体" w:eastAsia="宋体" w:cs="宋体"/>
          <w:color w:val="000000"/>
          <w:sz w:val="21"/>
          <w:szCs w:val="21"/>
        </w:rPr>
        <w:t>社会工作师资格证书</w:t>
      </w:r>
      <w:r>
        <w:rPr>
          <w:rFonts w:hint="eastAsia"/>
          <w:lang w:eastAsia="zh-CN"/>
        </w:rPr>
        <w:t>、</w:t>
      </w:r>
      <w:r>
        <w:rPr>
          <w:rFonts w:hint="eastAsia" w:ascii="宋体" w:hAnsi="宋体" w:eastAsia="宋体" w:cs="宋体"/>
          <w:color w:val="000000"/>
          <w:sz w:val="21"/>
          <w:szCs w:val="21"/>
        </w:rPr>
        <w:t>每个社区党群服务中心服务项目中至少有1名中国共产党党员。</w:t>
      </w:r>
    </w:p>
    <w:p w14:paraId="062B5925">
      <w:pPr>
        <w:keepNext w:val="0"/>
        <w:keepLines w:val="0"/>
        <w:pageBreakBefore w:val="0"/>
        <w:kinsoku/>
        <w:wordWrap/>
        <w:overflowPunct/>
        <w:topLinePunct w:val="0"/>
        <w:autoSpaceDE/>
        <w:autoSpaceDN/>
        <w:bidi w:val="0"/>
        <w:adjustRightInd w:val="0"/>
        <w:snapToGrid w:val="0"/>
        <w:spacing w:line="240" w:lineRule="auto"/>
        <w:ind w:firstLine="420" w:firstLineChars="200"/>
        <w:textAlignment w:val="auto"/>
        <w:outlineLvl w:val="0"/>
        <w:rPr>
          <w:rFonts w:hint="eastAsia" w:ascii="宋体" w:hAnsi="宋体" w:cs="宋体"/>
          <w:color w:val="000000"/>
          <w:sz w:val="21"/>
          <w:szCs w:val="21"/>
          <w:highlight w:val="yellow"/>
          <w:lang w:val="en-US" w:eastAsia="zh-CN"/>
        </w:rPr>
      </w:pPr>
      <w:r>
        <w:rPr>
          <w:rFonts w:hint="eastAsia" w:ascii="宋体" w:hAnsi="宋体" w:cs="宋体"/>
          <w:color w:val="000000"/>
          <w:sz w:val="21"/>
          <w:szCs w:val="21"/>
          <w:highlight w:val="yellow"/>
          <w:lang w:val="en-US" w:eastAsia="zh-CN"/>
        </w:rPr>
        <w:t>（2）中标人需聘请层次较高的专家学者为本项目提供项目规划与管理、专业指导与支持、质量监督与评估、团队建设和沟通协调等方面指导，确保社会工作服务项目高质量完成。</w:t>
      </w:r>
    </w:p>
    <w:p w14:paraId="3B37CF36">
      <w:pPr>
        <w:keepNext w:val="0"/>
        <w:keepLines w:val="0"/>
        <w:pageBreakBefore w:val="0"/>
        <w:kinsoku/>
        <w:wordWrap/>
        <w:overflowPunct/>
        <w:topLinePunct w:val="0"/>
        <w:autoSpaceDE/>
        <w:autoSpaceDN/>
        <w:bidi w:val="0"/>
        <w:spacing w:line="240" w:lineRule="auto"/>
        <w:ind w:firstLine="420" w:firstLineChars="200"/>
        <w:textAlignment w:val="auto"/>
        <w:outlineLvl w:val="0"/>
        <w:rPr>
          <w:rFonts w:hint="eastAsia" w:ascii="宋体" w:hAnsi="宋体" w:eastAsia="宋体" w:cs="宋体"/>
          <w:b/>
          <w:color w:val="000000"/>
          <w:kern w:val="0"/>
          <w:sz w:val="21"/>
          <w:szCs w:val="21"/>
        </w:rPr>
      </w:pPr>
      <w:r>
        <w:rPr>
          <w:rFonts w:hint="eastAsia" w:ascii="宋体" w:hAnsi="宋体" w:eastAsia="宋体" w:cs="宋体"/>
          <w:b/>
          <w:color w:val="000000"/>
          <w:kern w:val="0"/>
          <w:sz w:val="21"/>
          <w:szCs w:val="21"/>
        </w:rPr>
        <w:t>4.服务内容</w:t>
      </w:r>
    </w:p>
    <w:p w14:paraId="3A5CEB91">
      <w:pPr>
        <w:keepNext w:val="0"/>
        <w:keepLines w:val="0"/>
        <w:pageBreakBefore w:val="0"/>
        <w:kinsoku/>
        <w:wordWrap/>
        <w:overflowPunct/>
        <w:topLinePunct w:val="0"/>
        <w:autoSpaceDE/>
        <w:autoSpaceDN/>
        <w:bidi w:val="0"/>
        <w:adjustRightInd w:val="0"/>
        <w:snapToGrid w:val="0"/>
        <w:spacing w:line="240" w:lineRule="auto"/>
        <w:ind w:firstLine="420" w:firstLineChars="200"/>
        <w:textAlignment w:val="auto"/>
        <w:outlineLvl w:val="0"/>
        <w:rPr>
          <w:rFonts w:hint="eastAsia" w:ascii="宋体" w:hAnsi="宋体" w:eastAsia="宋体" w:cs="宋体"/>
          <w:color w:val="000000"/>
          <w:sz w:val="21"/>
          <w:szCs w:val="21"/>
        </w:rPr>
      </w:pPr>
      <w:r>
        <w:rPr>
          <w:rFonts w:hint="eastAsia" w:ascii="宋体" w:hAnsi="宋体" w:eastAsia="宋体" w:cs="宋体"/>
          <w:color w:val="000000"/>
          <w:sz w:val="21"/>
          <w:szCs w:val="21"/>
        </w:rPr>
        <w:t>社区党群服务中心社会工作服务项目包括社区党建（核心）、社区服务（基础）、社区治理（基础）、专项服务四大类，具体内容如下：</w:t>
      </w:r>
    </w:p>
    <w:p w14:paraId="0095A999">
      <w:pPr>
        <w:keepNext w:val="0"/>
        <w:keepLines w:val="0"/>
        <w:pageBreakBefore w:val="0"/>
        <w:kinsoku/>
        <w:wordWrap/>
        <w:overflowPunct/>
        <w:topLinePunct w:val="0"/>
        <w:autoSpaceDE/>
        <w:autoSpaceDN/>
        <w:bidi w:val="0"/>
        <w:adjustRightInd w:val="0"/>
        <w:snapToGrid w:val="0"/>
        <w:spacing w:line="240" w:lineRule="auto"/>
        <w:ind w:firstLine="420" w:firstLineChars="200"/>
        <w:textAlignment w:val="auto"/>
        <w:outlineLvl w:val="0"/>
        <w:rPr>
          <w:rFonts w:hint="eastAsia" w:ascii="宋体" w:hAnsi="宋体" w:eastAsia="宋体" w:cs="宋体"/>
          <w:color w:val="000000"/>
          <w:sz w:val="21"/>
          <w:szCs w:val="21"/>
        </w:rPr>
      </w:pPr>
      <w:r>
        <w:rPr>
          <w:rFonts w:hint="eastAsia" w:ascii="宋体" w:hAnsi="宋体" w:eastAsia="宋体" w:cs="宋体"/>
          <w:color w:val="000000"/>
          <w:sz w:val="21"/>
          <w:szCs w:val="21"/>
        </w:rPr>
        <w:t>4.1社区党建项目（核心）</w:t>
      </w:r>
    </w:p>
    <w:p w14:paraId="7962A98A">
      <w:pPr>
        <w:keepNext w:val="0"/>
        <w:keepLines w:val="0"/>
        <w:pageBreakBefore w:val="0"/>
        <w:kinsoku/>
        <w:wordWrap/>
        <w:overflowPunct/>
        <w:topLinePunct w:val="0"/>
        <w:autoSpaceDE/>
        <w:autoSpaceDN/>
        <w:bidi w:val="0"/>
        <w:adjustRightInd w:val="0"/>
        <w:snapToGrid w:val="0"/>
        <w:spacing w:line="240" w:lineRule="auto"/>
        <w:ind w:firstLine="420" w:firstLineChars="200"/>
        <w:textAlignment w:val="auto"/>
        <w:outlineLvl w:val="0"/>
        <w:rPr>
          <w:rFonts w:hint="eastAsia" w:ascii="宋体" w:hAnsi="宋体" w:eastAsia="宋体" w:cs="宋体"/>
          <w:color w:val="000000"/>
          <w:sz w:val="21"/>
          <w:szCs w:val="21"/>
        </w:rPr>
      </w:pPr>
      <w:r>
        <w:rPr>
          <w:rFonts w:hint="eastAsia" w:ascii="宋体" w:hAnsi="宋体" w:eastAsia="宋体" w:cs="宋体"/>
          <w:color w:val="000000"/>
          <w:sz w:val="21"/>
          <w:szCs w:val="21"/>
        </w:rPr>
        <w:t>党员服务：对社区党员提供基础业务服务和开展党建活动。</w:t>
      </w:r>
    </w:p>
    <w:p w14:paraId="1E595383">
      <w:pPr>
        <w:keepNext w:val="0"/>
        <w:keepLines w:val="0"/>
        <w:pageBreakBefore w:val="0"/>
        <w:kinsoku/>
        <w:wordWrap/>
        <w:overflowPunct/>
        <w:topLinePunct w:val="0"/>
        <w:autoSpaceDE/>
        <w:autoSpaceDN/>
        <w:bidi w:val="0"/>
        <w:adjustRightInd w:val="0"/>
        <w:snapToGrid w:val="0"/>
        <w:spacing w:line="240" w:lineRule="auto"/>
        <w:ind w:firstLine="420" w:firstLineChars="200"/>
        <w:textAlignment w:val="auto"/>
        <w:outlineLvl w:val="0"/>
        <w:rPr>
          <w:rFonts w:hint="eastAsia" w:ascii="宋体" w:hAnsi="宋体" w:eastAsia="宋体" w:cs="宋体"/>
          <w:color w:val="000000"/>
          <w:sz w:val="21"/>
          <w:szCs w:val="21"/>
        </w:rPr>
      </w:pPr>
      <w:r>
        <w:rPr>
          <w:rFonts w:hint="eastAsia" w:ascii="宋体" w:hAnsi="宋体" w:eastAsia="宋体" w:cs="宋体"/>
          <w:color w:val="000000"/>
          <w:sz w:val="21"/>
          <w:szCs w:val="21"/>
        </w:rPr>
        <w:t>党建品牌策划服务：协助社区党委每季度提交一份社区党建品牌项目创建方案。</w:t>
      </w:r>
    </w:p>
    <w:p w14:paraId="0BC01A56">
      <w:pPr>
        <w:keepNext w:val="0"/>
        <w:keepLines w:val="0"/>
        <w:pageBreakBefore w:val="0"/>
        <w:kinsoku/>
        <w:wordWrap/>
        <w:overflowPunct/>
        <w:topLinePunct w:val="0"/>
        <w:autoSpaceDE/>
        <w:autoSpaceDN/>
        <w:bidi w:val="0"/>
        <w:adjustRightInd w:val="0"/>
        <w:snapToGrid w:val="0"/>
        <w:spacing w:line="240" w:lineRule="auto"/>
        <w:ind w:firstLine="420" w:firstLineChars="200"/>
        <w:textAlignment w:val="auto"/>
        <w:outlineLvl w:val="0"/>
        <w:rPr>
          <w:rFonts w:hint="eastAsia" w:ascii="宋体" w:hAnsi="宋体" w:eastAsia="宋体" w:cs="宋体"/>
          <w:color w:val="000000"/>
          <w:sz w:val="21"/>
          <w:szCs w:val="21"/>
        </w:rPr>
      </w:pPr>
      <w:r>
        <w:rPr>
          <w:rFonts w:hint="eastAsia" w:ascii="宋体" w:hAnsi="宋体" w:eastAsia="宋体" w:cs="宋体"/>
          <w:color w:val="000000"/>
          <w:sz w:val="21"/>
          <w:szCs w:val="21"/>
        </w:rPr>
        <w:t>党群服务中心日常管理服务：负责党群服务中心场地的开放管理和安全检查工作。</w:t>
      </w:r>
    </w:p>
    <w:p w14:paraId="265C20F4">
      <w:pPr>
        <w:keepNext w:val="0"/>
        <w:keepLines w:val="0"/>
        <w:pageBreakBefore w:val="0"/>
        <w:kinsoku/>
        <w:wordWrap/>
        <w:overflowPunct/>
        <w:topLinePunct w:val="0"/>
        <w:autoSpaceDE/>
        <w:autoSpaceDN/>
        <w:bidi w:val="0"/>
        <w:adjustRightInd w:val="0"/>
        <w:snapToGrid w:val="0"/>
        <w:spacing w:line="240" w:lineRule="auto"/>
        <w:ind w:firstLine="420" w:firstLineChars="200"/>
        <w:textAlignment w:val="auto"/>
        <w:outlineLvl w:val="0"/>
        <w:rPr>
          <w:rFonts w:hint="eastAsia" w:ascii="宋体" w:hAnsi="宋体" w:eastAsia="宋体" w:cs="宋体"/>
          <w:color w:val="000000"/>
          <w:sz w:val="21"/>
          <w:szCs w:val="21"/>
        </w:rPr>
      </w:pPr>
      <w:r>
        <w:rPr>
          <w:rFonts w:hint="eastAsia" w:ascii="宋体" w:hAnsi="宋体" w:eastAsia="宋体" w:cs="宋体"/>
          <w:color w:val="000000"/>
          <w:sz w:val="21"/>
          <w:szCs w:val="21"/>
        </w:rPr>
        <w:t>党建调研服务：每年提交一份社区党建、人才服务、基层治理等方面的调研报告。</w:t>
      </w:r>
    </w:p>
    <w:p w14:paraId="4A1D07F1"/>
    <w:tbl>
      <w:tblPr>
        <w:tblStyle w:val="48"/>
        <w:tblW w:w="0" w:type="auto"/>
        <w:jc w:val="center"/>
        <w:tblLayout w:type="fixed"/>
        <w:tblCellMar>
          <w:top w:w="0" w:type="dxa"/>
          <w:left w:w="0" w:type="dxa"/>
          <w:bottom w:w="0" w:type="dxa"/>
          <w:right w:w="0" w:type="dxa"/>
        </w:tblCellMar>
      </w:tblPr>
      <w:tblGrid>
        <w:gridCol w:w="1980"/>
        <w:gridCol w:w="2574"/>
        <w:gridCol w:w="5806"/>
      </w:tblGrid>
      <w:tr w14:paraId="6A37010F">
        <w:trPr>
          <w:trHeight w:val="423" w:hRule="atLeast"/>
          <w:jc w:val="center"/>
        </w:trPr>
        <w:tc>
          <w:tcPr>
            <w:tcW w:w="1980" w:type="dxa"/>
            <w:tcBorders>
              <w:top w:val="single" w:color="auto" w:sz="4" w:space="0"/>
              <w:left w:val="single" w:color="auto" w:sz="4" w:space="0"/>
              <w:bottom w:val="single" w:color="auto" w:sz="4" w:space="0"/>
              <w:right w:val="single" w:color="auto" w:sz="4" w:space="0"/>
            </w:tcBorders>
            <w:vAlign w:val="center"/>
          </w:tcPr>
          <w:p w14:paraId="71E4B330">
            <w:pPr>
              <w:widowControl/>
              <w:jc w:val="center"/>
              <w:rPr>
                <w:rFonts w:hint="eastAsia" w:ascii="宋体" w:hAnsi="宋体" w:eastAsia="宋体" w:cs="宋体"/>
                <w:kern w:val="0"/>
                <w:szCs w:val="21"/>
              </w:rPr>
            </w:pPr>
            <w:r>
              <w:rPr>
                <w:rFonts w:hint="eastAsia" w:ascii="宋体" w:hAnsi="宋体" w:eastAsia="宋体" w:cs="宋体"/>
                <w:b/>
                <w:kern w:val="0"/>
                <w:szCs w:val="21"/>
              </w:rPr>
              <w:t>服务大项</w:t>
            </w:r>
          </w:p>
        </w:tc>
        <w:tc>
          <w:tcPr>
            <w:tcW w:w="2574" w:type="dxa"/>
            <w:tcBorders>
              <w:top w:val="single" w:color="auto" w:sz="4" w:space="0"/>
              <w:left w:val="nil"/>
              <w:bottom w:val="single" w:color="auto" w:sz="4" w:space="0"/>
              <w:right w:val="single" w:color="auto" w:sz="4" w:space="0"/>
            </w:tcBorders>
            <w:vAlign w:val="center"/>
          </w:tcPr>
          <w:p w14:paraId="24EA1FB6">
            <w:pPr>
              <w:widowControl/>
              <w:jc w:val="center"/>
              <w:rPr>
                <w:rFonts w:hint="eastAsia" w:ascii="宋体" w:hAnsi="宋体" w:eastAsia="宋体" w:cs="宋体"/>
                <w:kern w:val="0"/>
                <w:szCs w:val="21"/>
              </w:rPr>
            </w:pPr>
            <w:r>
              <w:rPr>
                <w:rFonts w:hint="eastAsia" w:ascii="宋体" w:hAnsi="宋体" w:eastAsia="宋体" w:cs="宋体"/>
                <w:b/>
                <w:kern w:val="0"/>
                <w:szCs w:val="21"/>
              </w:rPr>
              <w:t>服务要求</w:t>
            </w:r>
          </w:p>
        </w:tc>
        <w:tc>
          <w:tcPr>
            <w:tcW w:w="5806" w:type="dxa"/>
            <w:tcBorders>
              <w:top w:val="single" w:color="auto" w:sz="4" w:space="0"/>
              <w:left w:val="nil"/>
              <w:bottom w:val="single" w:color="auto" w:sz="4" w:space="0"/>
              <w:right w:val="single" w:color="auto" w:sz="4" w:space="0"/>
            </w:tcBorders>
            <w:vAlign w:val="center"/>
          </w:tcPr>
          <w:p w14:paraId="70652364">
            <w:pPr>
              <w:widowControl/>
              <w:jc w:val="center"/>
              <w:rPr>
                <w:rFonts w:hint="eastAsia" w:ascii="宋体" w:hAnsi="宋体" w:eastAsia="宋体" w:cs="宋体"/>
                <w:kern w:val="0"/>
                <w:szCs w:val="21"/>
              </w:rPr>
            </w:pPr>
            <w:r>
              <w:rPr>
                <w:rFonts w:hint="eastAsia" w:ascii="宋体" w:hAnsi="宋体" w:eastAsia="宋体" w:cs="宋体"/>
                <w:b/>
                <w:kern w:val="0"/>
                <w:szCs w:val="21"/>
              </w:rPr>
              <w:t>服务细项</w:t>
            </w:r>
          </w:p>
        </w:tc>
      </w:tr>
      <w:tr w14:paraId="3EEAED57">
        <w:trPr>
          <w:trHeight w:val="1377" w:hRule="atLeast"/>
          <w:jc w:val="center"/>
        </w:trPr>
        <w:tc>
          <w:tcPr>
            <w:tcW w:w="1980" w:type="dxa"/>
            <w:tcBorders>
              <w:top w:val="single" w:color="auto" w:sz="4" w:space="0"/>
              <w:left w:val="single" w:color="auto" w:sz="4" w:space="0"/>
              <w:bottom w:val="single" w:color="auto" w:sz="4" w:space="0"/>
              <w:right w:val="single" w:color="auto" w:sz="4" w:space="0"/>
            </w:tcBorders>
            <w:vAlign w:val="center"/>
          </w:tcPr>
          <w:p w14:paraId="1582ADA2">
            <w:pPr>
              <w:widowControl/>
              <w:wordWrap w:val="0"/>
              <w:jc w:val="center"/>
              <w:rPr>
                <w:rFonts w:hint="eastAsia" w:ascii="宋体" w:hAnsi="宋体" w:eastAsia="宋体" w:cs="宋体"/>
                <w:color w:val="000000"/>
                <w:szCs w:val="21"/>
              </w:rPr>
            </w:pPr>
            <w:r>
              <w:rPr>
                <w:rFonts w:hint="eastAsia" w:ascii="宋体" w:hAnsi="宋体" w:eastAsia="宋体" w:cs="宋体"/>
                <w:color w:val="000000"/>
                <w:szCs w:val="21"/>
              </w:rPr>
              <w:t>党员服务</w:t>
            </w:r>
          </w:p>
        </w:tc>
        <w:tc>
          <w:tcPr>
            <w:tcW w:w="2574" w:type="dxa"/>
            <w:tcBorders>
              <w:top w:val="single" w:color="auto" w:sz="4" w:space="0"/>
              <w:left w:val="single" w:color="auto" w:sz="4" w:space="0"/>
              <w:bottom w:val="single" w:color="auto" w:sz="4" w:space="0"/>
              <w:right w:val="single" w:color="auto" w:sz="4" w:space="0"/>
            </w:tcBorders>
            <w:vAlign w:val="center"/>
          </w:tcPr>
          <w:p w14:paraId="51C76EA5">
            <w:pPr>
              <w:widowControl/>
              <w:wordWrap w:val="0"/>
              <w:jc w:val="center"/>
              <w:rPr>
                <w:rFonts w:hint="eastAsia" w:ascii="宋体" w:hAnsi="宋体" w:eastAsia="宋体" w:cs="宋体"/>
                <w:b/>
                <w:kern w:val="0"/>
                <w:szCs w:val="21"/>
              </w:rPr>
            </w:pPr>
            <w:r>
              <w:rPr>
                <w:rFonts w:hint="eastAsia" w:ascii="宋体" w:hAnsi="宋体" w:eastAsia="宋体" w:cs="宋体"/>
                <w:color w:val="000000"/>
                <w:szCs w:val="21"/>
              </w:rPr>
              <w:t>对社区党员提供基础业务服务和开展党建活动</w:t>
            </w:r>
          </w:p>
        </w:tc>
        <w:tc>
          <w:tcPr>
            <w:tcW w:w="5806" w:type="dxa"/>
            <w:tcBorders>
              <w:top w:val="single" w:color="auto" w:sz="4" w:space="0"/>
              <w:left w:val="single" w:color="auto" w:sz="4" w:space="0"/>
              <w:bottom w:val="single" w:color="auto" w:sz="4" w:space="0"/>
              <w:right w:val="single" w:color="auto" w:sz="4" w:space="0"/>
            </w:tcBorders>
            <w:vAlign w:val="center"/>
          </w:tcPr>
          <w:p w14:paraId="3FF4C252">
            <w:pPr>
              <w:widowControl/>
              <w:rPr>
                <w:rFonts w:hint="eastAsia" w:ascii="宋体" w:hAnsi="宋体" w:eastAsia="宋体" w:cs="宋体"/>
                <w:b/>
                <w:kern w:val="0"/>
                <w:szCs w:val="21"/>
                <w:lang w:eastAsia="zh-CN"/>
              </w:rPr>
            </w:pPr>
            <w:r>
              <w:rPr>
                <w:rFonts w:hint="eastAsia" w:ascii="宋体" w:hAnsi="宋体" w:eastAsia="宋体" w:cs="宋体"/>
                <w:color w:val="000000"/>
                <w:szCs w:val="21"/>
              </w:rPr>
              <w:t>定期走访辖区企业，登记社区困难党员情况，走访服务全覆盖，为困境党员家庭提供社会资源链接、帮扶等服务。结合“七一”等重要节日协助策划党员服务群众活动，协助社区党委开展党员教育、志愿服务、行走社区等相关工作</w:t>
            </w:r>
            <w:r>
              <w:rPr>
                <w:rFonts w:hint="eastAsia" w:ascii="宋体" w:hAnsi="宋体" w:eastAsia="宋体" w:cs="宋体"/>
                <w:color w:val="000000"/>
                <w:szCs w:val="21"/>
                <w:lang w:eastAsia="zh-CN"/>
              </w:rPr>
              <w:t>。</w:t>
            </w:r>
          </w:p>
        </w:tc>
      </w:tr>
      <w:tr w14:paraId="5983AF96">
        <w:trPr>
          <w:cantSplit/>
          <w:trHeight w:val="1097" w:hRule="atLeast"/>
          <w:jc w:val="center"/>
        </w:trPr>
        <w:tc>
          <w:tcPr>
            <w:tcW w:w="1980" w:type="dxa"/>
            <w:tcBorders>
              <w:top w:val="single" w:color="auto" w:sz="4" w:space="0"/>
              <w:left w:val="single" w:color="auto" w:sz="4" w:space="0"/>
              <w:bottom w:val="single" w:color="auto" w:sz="4" w:space="0"/>
              <w:right w:val="single" w:color="auto" w:sz="4" w:space="0"/>
            </w:tcBorders>
            <w:vAlign w:val="center"/>
          </w:tcPr>
          <w:p w14:paraId="3E1D5BA4">
            <w:pPr>
              <w:widowControl/>
              <w:wordWrap w:val="0"/>
              <w:jc w:val="center"/>
              <w:rPr>
                <w:rFonts w:hint="eastAsia" w:ascii="宋体" w:hAnsi="宋体" w:eastAsia="宋体" w:cs="宋体"/>
                <w:color w:val="000000"/>
                <w:szCs w:val="21"/>
              </w:rPr>
            </w:pPr>
            <w:r>
              <w:rPr>
                <w:rFonts w:hint="eastAsia" w:ascii="宋体" w:hAnsi="宋体" w:eastAsia="宋体" w:cs="宋体"/>
                <w:color w:val="000000"/>
                <w:szCs w:val="21"/>
              </w:rPr>
              <w:t>党建品牌策划服务</w:t>
            </w:r>
          </w:p>
        </w:tc>
        <w:tc>
          <w:tcPr>
            <w:tcW w:w="2574" w:type="dxa"/>
            <w:tcBorders>
              <w:top w:val="single" w:color="auto" w:sz="4" w:space="0"/>
              <w:left w:val="single" w:color="auto" w:sz="4" w:space="0"/>
              <w:bottom w:val="single" w:color="auto" w:sz="4" w:space="0"/>
              <w:right w:val="single" w:color="auto" w:sz="4" w:space="0"/>
            </w:tcBorders>
            <w:vAlign w:val="center"/>
          </w:tcPr>
          <w:p w14:paraId="043B7BB9">
            <w:pPr>
              <w:wordWrap w:val="0"/>
              <w:jc w:val="center"/>
              <w:rPr>
                <w:rFonts w:hint="eastAsia" w:ascii="宋体" w:hAnsi="宋体" w:eastAsia="宋体" w:cs="宋体"/>
                <w:kern w:val="0"/>
                <w:szCs w:val="21"/>
              </w:rPr>
            </w:pPr>
            <w:r>
              <w:rPr>
                <w:rFonts w:hint="eastAsia" w:ascii="宋体" w:hAnsi="宋体" w:eastAsia="宋体" w:cs="宋体"/>
                <w:color w:val="000000"/>
                <w:szCs w:val="21"/>
              </w:rPr>
              <w:t>每季度提交一份社区党建品牌项目创建方案</w:t>
            </w:r>
          </w:p>
        </w:tc>
        <w:tc>
          <w:tcPr>
            <w:tcW w:w="5806" w:type="dxa"/>
            <w:tcBorders>
              <w:top w:val="single" w:color="auto" w:sz="4" w:space="0"/>
              <w:left w:val="single" w:color="auto" w:sz="4" w:space="0"/>
              <w:bottom w:val="single" w:color="auto" w:sz="4" w:space="0"/>
              <w:right w:val="single" w:color="auto" w:sz="4" w:space="0"/>
            </w:tcBorders>
            <w:vAlign w:val="center"/>
          </w:tcPr>
          <w:p w14:paraId="4016FE16">
            <w:pPr>
              <w:wordWrap w:val="0"/>
              <w:rPr>
                <w:rFonts w:hint="eastAsia" w:ascii="宋体" w:hAnsi="宋体" w:eastAsia="宋体" w:cs="宋体"/>
                <w:kern w:val="0"/>
                <w:szCs w:val="21"/>
              </w:rPr>
            </w:pPr>
            <w:r>
              <w:rPr>
                <w:rFonts w:hint="eastAsia" w:ascii="宋体" w:hAnsi="宋体" w:eastAsia="宋体" w:cs="宋体"/>
                <w:color w:val="000000"/>
                <w:szCs w:val="21"/>
              </w:rPr>
              <w:t>结合社区实际，协助社区党委每季度提交一份经党建工作办认可的社区党建品牌项目创建方案，在街道党建办指导下，配合社区党委完成社区党建品牌创建工作。</w:t>
            </w:r>
          </w:p>
        </w:tc>
      </w:tr>
      <w:tr w14:paraId="273AF4A8">
        <w:trPr>
          <w:cantSplit/>
          <w:trHeight w:val="1023" w:hRule="atLeast"/>
          <w:jc w:val="center"/>
        </w:trPr>
        <w:tc>
          <w:tcPr>
            <w:tcW w:w="1980" w:type="dxa"/>
            <w:tcBorders>
              <w:top w:val="single" w:color="auto" w:sz="4" w:space="0"/>
              <w:left w:val="single" w:color="auto" w:sz="4" w:space="0"/>
              <w:bottom w:val="single" w:color="auto" w:sz="4" w:space="0"/>
              <w:right w:val="single" w:color="auto" w:sz="4" w:space="0"/>
            </w:tcBorders>
            <w:vAlign w:val="center"/>
          </w:tcPr>
          <w:p w14:paraId="5A906C8C">
            <w:pPr>
              <w:widowControl/>
              <w:wordWrap w:val="0"/>
              <w:jc w:val="center"/>
              <w:rPr>
                <w:rFonts w:hint="eastAsia" w:ascii="宋体" w:hAnsi="宋体" w:eastAsia="宋体" w:cs="宋体"/>
                <w:color w:val="000000"/>
                <w:szCs w:val="21"/>
              </w:rPr>
            </w:pPr>
            <w:r>
              <w:rPr>
                <w:rFonts w:hint="eastAsia" w:ascii="宋体" w:hAnsi="宋体" w:eastAsia="宋体" w:cs="宋体"/>
                <w:color w:val="000000"/>
                <w:szCs w:val="21"/>
              </w:rPr>
              <w:t>党群服务中心日常管理服务</w:t>
            </w:r>
          </w:p>
        </w:tc>
        <w:tc>
          <w:tcPr>
            <w:tcW w:w="2574" w:type="dxa"/>
            <w:tcBorders>
              <w:top w:val="single" w:color="auto" w:sz="4" w:space="0"/>
              <w:left w:val="single" w:color="auto" w:sz="4" w:space="0"/>
              <w:bottom w:val="single" w:color="auto" w:sz="4" w:space="0"/>
              <w:right w:val="single" w:color="auto" w:sz="4" w:space="0"/>
            </w:tcBorders>
            <w:vAlign w:val="center"/>
          </w:tcPr>
          <w:p w14:paraId="251CCACC">
            <w:pPr>
              <w:wordWrap w:val="0"/>
              <w:jc w:val="center"/>
              <w:rPr>
                <w:rFonts w:hint="eastAsia" w:ascii="宋体" w:hAnsi="宋体" w:eastAsia="宋体" w:cs="宋体"/>
                <w:color w:val="000000"/>
                <w:szCs w:val="21"/>
              </w:rPr>
            </w:pPr>
            <w:r>
              <w:rPr>
                <w:rFonts w:hint="eastAsia" w:ascii="宋体" w:hAnsi="宋体" w:eastAsia="宋体" w:cs="宋体"/>
                <w:color w:val="000000"/>
                <w:szCs w:val="21"/>
              </w:rPr>
              <w:t>负责党群服务中心场地的开放管理和安全检查工作</w:t>
            </w:r>
          </w:p>
        </w:tc>
        <w:tc>
          <w:tcPr>
            <w:tcW w:w="5806" w:type="dxa"/>
            <w:tcBorders>
              <w:top w:val="single" w:color="auto" w:sz="4" w:space="0"/>
              <w:left w:val="single" w:color="auto" w:sz="4" w:space="0"/>
              <w:bottom w:val="single" w:color="auto" w:sz="4" w:space="0"/>
              <w:right w:val="single" w:color="auto" w:sz="4" w:space="0"/>
            </w:tcBorders>
            <w:vAlign w:val="center"/>
          </w:tcPr>
          <w:p w14:paraId="351D0844">
            <w:pPr>
              <w:wordWrap w:val="0"/>
              <w:rPr>
                <w:rFonts w:hint="eastAsia" w:ascii="宋体" w:hAnsi="宋体" w:eastAsia="宋体" w:cs="宋体"/>
                <w:color w:val="000000"/>
                <w:szCs w:val="21"/>
                <w:lang w:eastAsia="zh-CN"/>
              </w:rPr>
            </w:pPr>
            <w:r>
              <w:rPr>
                <w:rFonts w:hint="eastAsia" w:ascii="宋体" w:hAnsi="宋体" w:eastAsia="宋体" w:cs="宋体"/>
                <w:color w:val="000000"/>
                <w:szCs w:val="21"/>
              </w:rPr>
              <w:t>负责党群服务中心场所日常开放、安全检查等基础工作，每月定期开展党群服务中心安全隐患排查和党建书吧图书整理等工作，并做好排查登记</w:t>
            </w:r>
            <w:r>
              <w:rPr>
                <w:rFonts w:hint="eastAsia" w:ascii="宋体" w:hAnsi="宋体" w:eastAsia="宋体" w:cs="宋体"/>
                <w:color w:val="000000"/>
                <w:szCs w:val="21"/>
                <w:lang w:eastAsia="zh-CN"/>
              </w:rPr>
              <w:t>。</w:t>
            </w:r>
          </w:p>
        </w:tc>
      </w:tr>
      <w:tr w14:paraId="1B703B3B">
        <w:trPr>
          <w:cantSplit/>
          <w:trHeight w:val="402" w:hRule="atLeast"/>
          <w:jc w:val="center"/>
        </w:trPr>
        <w:tc>
          <w:tcPr>
            <w:tcW w:w="1980" w:type="dxa"/>
            <w:tcBorders>
              <w:top w:val="single" w:color="auto" w:sz="4" w:space="0"/>
              <w:left w:val="single" w:color="auto" w:sz="4" w:space="0"/>
              <w:bottom w:val="single" w:color="auto" w:sz="4" w:space="0"/>
              <w:right w:val="single" w:color="auto" w:sz="4" w:space="0"/>
            </w:tcBorders>
            <w:vAlign w:val="center"/>
          </w:tcPr>
          <w:p w14:paraId="1AA1BCA4">
            <w:pPr>
              <w:widowControl/>
              <w:wordWrap w:val="0"/>
              <w:jc w:val="center"/>
              <w:rPr>
                <w:rFonts w:hint="eastAsia" w:ascii="宋体" w:hAnsi="宋体" w:eastAsia="宋体" w:cs="宋体"/>
                <w:color w:val="000000"/>
                <w:szCs w:val="21"/>
              </w:rPr>
            </w:pPr>
            <w:r>
              <w:rPr>
                <w:rFonts w:hint="eastAsia" w:ascii="宋体" w:hAnsi="宋体" w:eastAsia="宋体" w:cs="宋体"/>
                <w:color w:val="000000"/>
                <w:szCs w:val="21"/>
              </w:rPr>
              <w:t>党建调研服务</w:t>
            </w:r>
          </w:p>
        </w:tc>
        <w:tc>
          <w:tcPr>
            <w:tcW w:w="2574" w:type="dxa"/>
            <w:tcBorders>
              <w:top w:val="single" w:color="auto" w:sz="4" w:space="0"/>
              <w:left w:val="single" w:color="auto" w:sz="4" w:space="0"/>
              <w:bottom w:val="single" w:color="auto" w:sz="4" w:space="0"/>
              <w:right w:val="single" w:color="auto" w:sz="4" w:space="0"/>
            </w:tcBorders>
            <w:vAlign w:val="center"/>
          </w:tcPr>
          <w:p w14:paraId="61E7C579">
            <w:pPr>
              <w:wordWrap w:val="0"/>
              <w:jc w:val="center"/>
              <w:rPr>
                <w:rFonts w:hint="eastAsia" w:ascii="宋体" w:hAnsi="宋体" w:eastAsia="宋体" w:cs="宋体"/>
                <w:kern w:val="0"/>
                <w:szCs w:val="21"/>
              </w:rPr>
            </w:pPr>
            <w:r>
              <w:rPr>
                <w:rFonts w:hint="eastAsia" w:ascii="宋体" w:hAnsi="宋体" w:eastAsia="宋体" w:cs="宋体"/>
                <w:kern w:val="0"/>
                <w:szCs w:val="21"/>
              </w:rPr>
              <w:t>每年提交一份社区党建、人才服务、基层治理等方面的调研报告</w:t>
            </w:r>
          </w:p>
        </w:tc>
        <w:tc>
          <w:tcPr>
            <w:tcW w:w="5806" w:type="dxa"/>
            <w:tcBorders>
              <w:top w:val="single" w:color="auto" w:sz="4" w:space="0"/>
              <w:left w:val="single" w:color="auto" w:sz="4" w:space="0"/>
              <w:bottom w:val="single" w:color="auto" w:sz="4" w:space="0"/>
              <w:right w:val="single" w:color="auto" w:sz="4" w:space="0"/>
            </w:tcBorders>
            <w:vAlign w:val="center"/>
          </w:tcPr>
          <w:p w14:paraId="39342EB4">
            <w:pPr>
              <w:wordWrap w:val="0"/>
              <w:rPr>
                <w:rFonts w:hint="eastAsia" w:ascii="宋体" w:hAnsi="宋体" w:eastAsia="宋体" w:cs="宋体"/>
                <w:kern w:val="0"/>
                <w:szCs w:val="21"/>
              </w:rPr>
            </w:pPr>
            <w:r>
              <w:rPr>
                <w:rFonts w:hint="eastAsia" w:ascii="宋体" w:hAnsi="宋体" w:eastAsia="宋体" w:cs="宋体"/>
                <w:kern w:val="0"/>
                <w:szCs w:val="21"/>
              </w:rPr>
              <w:t>结合社区实际，结合日常工作，撰写一篇基于社区实际的党建调研报告。</w:t>
            </w:r>
          </w:p>
        </w:tc>
      </w:tr>
    </w:tbl>
    <w:p w14:paraId="01836AC3">
      <w:pPr>
        <w:pStyle w:val="2"/>
        <w:spacing w:line="240" w:lineRule="auto"/>
        <w:rPr>
          <w:lang w:eastAsia="zh-CN"/>
        </w:rPr>
      </w:pPr>
    </w:p>
    <w:p w14:paraId="52F41FC5">
      <w:pPr>
        <w:keepNext w:val="0"/>
        <w:keepLines w:val="0"/>
        <w:pageBreakBefore w:val="0"/>
        <w:widowControl w:val="0"/>
        <w:kinsoku/>
        <w:wordWrap/>
        <w:overflowPunct/>
        <w:topLinePunct w:val="0"/>
        <w:autoSpaceDE/>
        <w:autoSpaceDN/>
        <w:bidi w:val="0"/>
        <w:adjustRightInd w:val="0"/>
        <w:snapToGrid w:val="0"/>
        <w:spacing w:line="240" w:lineRule="auto"/>
        <w:ind w:firstLine="420" w:firstLineChars="200"/>
        <w:textAlignment w:val="auto"/>
        <w:outlineLvl w:val="0"/>
        <w:rPr>
          <w:rFonts w:asciiTheme="minorEastAsia" w:hAnsiTheme="minorEastAsia" w:eastAsiaTheme="minorEastAsia" w:cstheme="minorEastAsia"/>
          <w:color w:val="000000"/>
          <w:szCs w:val="21"/>
        </w:rPr>
      </w:pPr>
      <w:r>
        <w:rPr>
          <w:rFonts w:hint="eastAsia" w:asciiTheme="minorEastAsia" w:hAnsiTheme="minorEastAsia" w:eastAsiaTheme="minorEastAsia" w:cstheme="minorEastAsia"/>
          <w:color w:val="000000"/>
          <w:szCs w:val="21"/>
        </w:rPr>
        <w:t>4.2社区服务项目（基础）</w:t>
      </w:r>
    </w:p>
    <w:p w14:paraId="6B07A756">
      <w:pPr>
        <w:keepNext w:val="0"/>
        <w:keepLines w:val="0"/>
        <w:pageBreakBefore w:val="0"/>
        <w:widowControl w:val="0"/>
        <w:kinsoku/>
        <w:wordWrap/>
        <w:overflowPunct/>
        <w:topLinePunct w:val="0"/>
        <w:autoSpaceDE/>
        <w:autoSpaceDN/>
        <w:bidi w:val="0"/>
        <w:adjustRightInd w:val="0"/>
        <w:snapToGrid w:val="0"/>
        <w:spacing w:line="240" w:lineRule="auto"/>
        <w:ind w:firstLine="420" w:firstLineChars="200"/>
        <w:textAlignment w:val="auto"/>
        <w:outlineLvl w:val="0"/>
        <w:rPr>
          <w:rFonts w:asciiTheme="minorEastAsia" w:hAnsiTheme="minorEastAsia" w:eastAsiaTheme="minorEastAsia" w:cstheme="minorEastAsia"/>
          <w:color w:val="000000"/>
          <w:szCs w:val="21"/>
        </w:rPr>
      </w:pPr>
      <w:r>
        <w:rPr>
          <w:rFonts w:hint="eastAsia" w:asciiTheme="minorEastAsia" w:hAnsiTheme="minorEastAsia" w:eastAsiaTheme="minorEastAsia" w:cstheme="minorEastAsia"/>
          <w:color w:val="000000"/>
          <w:szCs w:val="21"/>
        </w:rPr>
        <w:t>4.2.1社区助老服务</w:t>
      </w:r>
    </w:p>
    <w:p w14:paraId="745B25DF">
      <w:pPr>
        <w:keepNext w:val="0"/>
        <w:keepLines w:val="0"/>
        <w:pageBreakBefore w:val="0"/>
        <w:widowControl w:val="0"/>
        <w:kinsoku/>
        <w:wordWrap/>
        <w:overflowPunct/>
        <w:topLinePunct w:val="0"/>
        <w:autoSpaceDE/>
        <w:autoSpaceDN/>
        <w:bidi w:val="0"/>
        <w:adjustRightInd w:val="0"/>
        <w:snapToGrid w:val="0"/>
        <w:spacing w:line="240" w:lineRule="auto"/>
        <w:ind w:firstLine="420" w:firstLineChars="200"/>
        <w:textAlignment w:val="auto"/>
        <w:outlineLvl w:val="0"/>
        <w:rPr>
          <w:rFonts w:asciiTheme="minorEastAsia" w:hAnsiTheme="minorEastAsia" w:eastAsiaTheme="minorEastAsia" w:cstheme="minorEastAsia"/>
          <w:color w:val="000000"/>
          <w:szCs w:val="21"/>
        </w:rPr>
      </w:pPr>
      <w:r>
        <w:rPr>
          <w:rFonts w:hint="eastAsia" w:asciiTheme="minorEastAsia" w:hAnsiTheme="minorEastAsia" w:eastAsiaTheme="minorEastAsia" w:cstheme="minorEastAsia"/>
          <w:color w:val="000000"/>
          <w:szCs w:val="21"/>
        </w:rPr>
        <w:t>特殊老年人服务：协助街道为社区内特困人员分散供养、低保低边经济生活困难、孤寡、失能失智、残疾人、独居、空巢、高龄、计划生育特殊家庭的老年人提供入户探访、生活照顾、精神慰藉、情绪疏导、危机干预、社会资源链接等服务。</w:t>
      </w:r>
    </w:p>
    <w:p w14:paraId="4A6FC36B">
      <w:pPr>
        <w:keepNext w:val="0"/>
        <w:keepLines w:val="0"/>
        <w:pageBreakBefore w:val="0"/>
        <w:widowControl w:val="0"/>
        <w:kinsoku/>
        <w:wordWrap/>
        <w:overflowPunct/>
        <w:topLinePunct w:val="0"/>
        <w:autoSpaceDE/>
        <w:autoSpaceDN/>
        <w:bidi w:val="0"/>
        <w:adjustRightInd w:val="0"/>
        <w:snapToGrid w:val="0"/>
        <w:spacing w:line="240" w:lineRule="auto"/>
        <w:ind w:firstLine="420" w:firstLineChars="200"/>
        <w:textAlignment w:val="auto"/>
        <w:outlineLvl w:val="0"/>
        <w:rPr>
          <w:rFonts w:asciiTheme="minorEastAsia" w:hAnsiTheme="minorEastAsia" w:eastAsiaTheme="minorEastAsia" w:cstheme="minorEastAsia"/>
          <w:color w:val="000000"/>
          <w:szCs w:val="21"/>
        </w:rPr>
      </w:pPr>
      <w:r>
        <w:rPr>
          <w:rFonts w:hint="eastAsia" w:asciiTheme="minorEastAsia" w:hAnsiTheme="minorEastAsia" w:eastAsiaTheme="minorEastAsia" w:cstheme="minorEastAsia"/>
          <w:color w:val="000000"/>
          <w:szCs w:val="21"/>
        </w:rPr>
        <w:t>老年人服务：为社区老年人提供身心健康、生活适应、文体康乐、人际互助、关系调试、社区融入、支持网络构建等服务。</w:t>
      </w:r>
    </w:p>
    <w:tbl>
      <w:tblPr>
        <w:tblStyle w:val="48"/>
        <w:tblW w:w="0" w:type="auto"/>
        <w:jc w:val="center"/>
        <w:tblLayout w:type="fixed"/>
        <w:tblCellMar>
          <w:top w:w="0" w:type="dxa"/>
          <w:left w:w="0" w:type="dxa"/>
          <w:bottom w:w="0" w:type="dxa"/>
          <w:right w:w="0" w:type="dxa"/>
        </w:tblCellMar>
      </w:tblPr>
      <w:tblGrid>
        <w:gridCol w:w="1983"/>
        <w:gridCol w:w="2564"/>
        <w:gridCol w:w="5781"/>
      </w:tblGrid>
      <w:tr w14:paraId="0919E2D2">
        <w:trPr>
          <w:trHeight w:val="446" w:hRule="atLeast"/>
          <w:tblHeader/>
          <w:jc w:val="center"/>
        </w:trPr>
        <w:tc>
          <w:tcPr>
            <w:tcW w:w="1983" w:type="dxa"/>
            <w:tcBorders>
              <w:top w:val="single" w:color="auto" w:sz="4" w:space="0"/>
              <w:left w:val="single" w:color="auto" w:sz="4" w:space="0"/>
              <w:bottom w:val="single" w:color="auto" w:sz="4" w:space="0"/>
              <w:right w:val="single" w:color="auto" w:sz="4" w:space="0"/>
            </w:tcBorders>
            <w:vAlign w:val="center"/>
          </w:tcPr>
          <w:p w14:paraId="236A9ABC">
            <w:pPr>
              <w:widowControl/>
              <w:jc w:val="center"/>
              <w:rPr>
                <w:rFonts w:hint="eastAsia" w:ascii="宋体" w:hAnsi="宋体" w:eastAsia="宋体" w:cs="宋体"/>
                <w:kern w:val="0"/>
                <w:sz w:val="21"/>
                <w:szCs w:val="21"/>
              </w:rPr>
            </w:pPr>
            <w:r>
              <w:rPr>
                <w:rFonts w:hint="eastAsia" w:ascii="宋体" w:hAnsi="宋体" w:eastAsia="宋体" w:cs="宋体"/>
                <w:b/>
                <w:kern w:val="0"/>
                <w:sz w:val="21"/>
                <w:szCs w:val="21"/>
              </w:rPr>
              <w:t>服务大项</w:t>
            </w:r>
          </w:p>
        </w:tc>
        <w:tc>
          <w:tcPr>
            <w:tcW w:w="2564" w:type="dxa"/>
            <w:tcBorders>
              <w:top w:val="single" w:color="auto" w:sz="4" w:space="0"/>
              <w:left w:val="nil"/>
              <w:bottom w:val="single" w:color="auto" w:sz="4" w:space="0"/>
              <w:right w:val="single" w:color="auto" w:sz="4" w:space="0"/>
            </w:tcBorders>
            <w:vAlign w:val="center"/>
          </w:tcPr>
          <w:p w14:paraId="11DDBD63">
            <w:pPr>
              <w:widowControl/>
              <w:jc w:val="center"/>
              <w:rPr>
                <w:rFonts w:hint="eastAsia" w:ascii="宋体" w:hAnsi="宋体" w:eastAsia="宋体" w:cs="宋体"/>
                <w:kern w:val="0"/>
                <w:sz w:val="21"/>
                <w:szCs w:val="21"/>
              </w:rPr>
            </w:pPr>
            <w:r>
              <w:rPr>
                <w:rFonts w:hint="eastAsia" w:ascii="宋体" w:hAnsi="宋体" w:eastAsia="宋体" w:cs="宋体"/>
                <w:b/>
                <w:kern w:val="0"/>
                <w:sz w:val="21"/>
                <w:szCs w:val="21"/>
              </w:rPr>
              <w:t>服务要求</w:t>
            </w:r>
          </w:p>
        </w:tc>
        <w:tc>
          <w:tcPr>
            <w:tcW w:w="5781" w:type="dxa"/>
            <w:tcBorders>
              <w:top w:val="single" w:color="auto" w:sz="4" w:space="0"/>
              <w:left w:val="nil"/>
              <w:bottom w:val="single" w:color="auto" w:sz="4" w:space="0"/>
              <w:right w:val="single" w:color="auto" w:sz="4" w:space="0"/>
            </w:tcBorders>
            <w:vAlign w:val="center"/>
          </w:tcPr>
          <w:p w14:paraId="3EF30A70">
            <w:pPr>
              <w:widowControl/>
              <w:jc w:val="center"/>
              <w:rPr>
                <w:rFonts w:hint="eastAsia" w:ascii="宋体" w:hAnsi="宋体" w:eastAsia="宋体" w:cs="宋体"/>
                <w:kern w:val="0"/>
                <w:sz w:val="21"/>
                <w:szCs w:val="21"/>
              </w:rPr>
            </w:pPr>
            <w:r>
              <w:rPr>
                <w:rFonts w:hint="eastAsia" w:ascii="宋体" w:hAnsi="宋体" w:eastAsia="宋体" w:cs="宋体"/>
                <w:b/>
                <w:kern w:val="0"/>
                <w:sz w:val="21"/>
                <w:szCs w:val="21"/>
              </w:rPr>
              <w:t>服务细项</w:t>
            </w:r>
          </w:p>
        </w:tc>
      </w:tr>
      <w:tr w14:paraId="24602449">
        <w:trPr>
          <w:trHeight w:val="1007" w:hRule="atLeast"/>
          <w:jc w:val="center"/>
        </w:trPr>
        <w:tc>
          <w:tcPr>
            <w:tcW w:w="1983" w:type="dxa"/>
            <w:vMerge w:val="restart"/>
            <w:tcBorders>
              <w:top w:val="single" w:color="auto" w:sz="4" w:space="0"/>
              <w:left w:val="single" w:color="auto" w:sz="4" w:space="0"/>
              <w:bottom w:val="single" w:color="auto" w:sz="4" w:space="0"/>
              <w:right w:val="single" w:color="auto" w:sz="4" w:space="0"/>
            </w:tcBorders>
            <w:vAlign w:val="center"/>
          </w:tcPr>
          <w:p w14:paraId="08C58CD1">
            <w:pPr>
              <w:adjustRightInd w:val="0"/>
              <w:snapToGrid w:val="0"/>
              <w:jc w:val="center"/>
              <w:rPr>
                <w:rFonts w:hint="eastAsia" w:ascii="宋体" w:hAnsi="宋体" w:eastAsia="宋体" w:cs="宋体"/>
                <w:b/>
                <w:kern w:val="0"/>
                <w:sz w:val="21"/>
                <w:szCs w:val="21"/>
              </w:rPr>
            </w:pPr>
            <w:r>
              <w:rPr>
                <w:rFonts w:hint="eastAsia" w:ascii="宋体" w:hAnsi="宋体" w:eastAsia="宋体" w:cs="宋体"/>
                <w:kern w:val="0"/>
                <w:sz w:val="21"/>
                <w:szCs w:val="21"/>
              </w:rPr>
              <w:t>特殊老年人服务</w:t>
            </w:r>
          </w:p>
        </w:tc>
        <w:tc>
          <w:tcPr>
            <w:tcW w:w="2564" w:type="dxa"/>
            <w:vMerge w:val="restart"/>
            <w:tcBorders>
              <w:top w:val="single" w:color="auto" w:sz="4" w:space="0"/>
              <w:left w:val="nil"/>
              <w:bottom w:val="single" w:color="auto" w:sz="4" w:space="0"/>
              <w:right w:val="single" w:color="auto" w:sz="4" w:space="0"/>
            </w:tcBorders>
            <w:vAlign w:val="center"/>
          </w:tcPr>
          <w:p w14:paraId="26F0A416">
            <w:pPr>
              <w:adjustRightInd w:val="0"/>
              <w:snapToGrid w:val="0"/>
              <w:jc w:val="center"/>
              <w:rPr>
                <w:rFonts w:hint="eastAsia" w:ascii="宋体" w:hAnsi="宋体" w:eastAsia="宋体" w:cs="宋体"/>
                <w:b/>
                <w:kern w:val="0"/>
                <w:sz w:val="21"/>
                <w:szCs w:val="21"/>
              </w:rPr>
            </w:pPr>
            <w:r>
              <w:rPr>
                <w:rFonts w:hint="eastAsia" w:ascii="宋体" w:hAnsi="宋体" w:eastAsia="宋体" w:cs="宋体"/>
                <w:kern w:val="0"/>
                <w:sz w:val="21"/>
                <w:szCs w:val="21"/>
              </w:rPr>
              <w:t>协助街道为社区内特困人员分散供养、低保低边经济生活困难、孤寡、失能失智、残疾人、独居、空巢、高龄、</w:t>
            </w:r>
            <w:r>
              <w:rPr>
                <w:rFonts w:hint="eastAsia" w:ascii="宋体" w:hAnsi="宋体" w:eastAsia="宋体" w:cs="宋体"/>
                <w:spacing w:val="10"/>
                <w:sz w:val="21"/>
                <w:szCs w:val="21"/>
              </w:rPr>
              <w:t>计划生育特殊家庭的</w:t>
            </w:r>
            <w:r>
              <w:rPr>
                <w:rFonts w:hint="eastAsia" w:ascii="宋体" w:hAnsi="宋体" w:eastAsia="宋体" w:cs="宋体"/>
                <w:kern w:val="0"/>
                <w:sz w:val="21"/>
                <w:szCs w:val="21"/>
              </w:rPr>
              <w:t>老年人提供入户探访、生活照顾、精神慰藉、情绪疏导、危机干预、社会资源链接等服务</w:t>
            </w:r>
          </w:p>
        </w:tc>
        <w:tc>
          <w:tcPr>
            <w:tcW w:w="5781" w:type="dxa"/>
            <w:tcBorders>
              <w:top w:val="single" w:color="auto" w:sz="4" w:space="0"/>
              <w:left w:val="nil"/>
              <w:bottom w:val="single" w:color="auto" w:sz="4" w:space="0"/>
              <w:right w:val="single" w:color="auto" w:sz="4" w:space="0"/>
            </w:tcBorders>
            <w:vAlign w:val="center"/>
          </w:tcPr>
          <w:p w14:paraId="4BF851EF">
            <w:pPr>
              <w:adjustRightInd w:val="0"/>
              <w:snapToGrid w:val="0"/>
              <w:rPr>
                <w:rFonts w:hint="eastAsia" w:ascii="宋体" w:hAnsi="宋体" w:eastAsia="宋体" w:cs="宋体"/>
                <w:kern w:val="0"/>
                <w:sz w:val="21"/>
                <w:szCs w:val="21"/>
              </w:rPr>
            </w:pPr>
            <w:r>
              <w:rPr>
                <w:rFonts w:hint="eastAsia" w:ascii="宋体" w:hAnsi="宋体" w:eastAsia="宋体" w:cs="宋体"/>
                <w:kern w:val="0"/>
                <w:sz w:val="21"/>
                <w:szCs w:val="21"/>
              </w:rPr>
              <w:t>协助街道开展社区内特困人员分散供养、低保低边经济生活困难、孤寡、失能失智、残疾人、独居、空巢、高龄、计划生育特殊家庭的老年人情况</w:t>
            </w:r>
            <w:r>
              <w:rPr>
                <w:rFonts w:hint="eastAsia" w:ascii="宋体" w:hAnsi="宋体" w:eastAsia="宋体" w:cs="宋体"/>
                <w:spacing w:val="10"/>
                <w:kern w:val="0"/>
                <w:sz w:val="21"/>
                <w:szCs w:val="21"/>
              </w:rPr>
              <w:t>核查，</w:t>
            </w:r>
            <w:r>
              <w:rPr>
                <w:rFonts w:hint="eastAsia" w:ascii="宋体" w:hAnsi="宋体" w:eastAsia="宋体" w:cs="宋体"/>
                <w:kern w:val="0"/>
                <w:sz w:val="21"/>
                <w:szCs w:val="21"/>
              </w:rPr>
              <w:t>入户走访服务。</w:t>
            </w:r>
            <w:r>
              <w:rPr>
                <w:rFonts w:hint="eastAsia" w:ascii="宋体" w:hAnsi="宋体" w:eastAsia="宋体" w:cs="宋体"/>
                <w:spacing w:val="10"/>
                <w:kern w:val="0"/>
                <w:sz w:val="21"/>
                <w:szCs w:val="21"/>
              </w:rPr>
              <w:t>建立人员台账，做到“一户一档”“一人一案”。</w:t>
            </w:r>
          </w:p>
        </w:tc>
      </w:tr>
      <w:tr w14:paraId="02E5EEC2">
        <w:trPr>
          <w:trHeight w:val="1338" w:hRule="atLeast"/>
          <w:jc w:val="center"/>
        </w:trPr>
        <w:tc>
          <w:tcPr>
            <w:tcW w:w="1983" w:type="dxa"/>
            <w:vMerge w:val="continue"/>
            <w:tcBorders>
              <w:top w:val="single" w:color="auto" w:sz="4" w:space="0"/>
              <w:left w:val="single" w:color="auto" w:sz="4" w:space="0"/>
              <w:bottom w:val="single" w:color="auto" w:sz="4" w:space="0"/>
              <w:right w:val="single" w:color="auto" w:sz="4" w:space="0"/>
            </w:tcBorders>
            <w:vAlign w:val="center"/>
          </w:tcPr>
          <w:p w14:paraId="63A569FF">
            <w:pPr>
              <w:adjustRightInd w:val="0"/>
              <w:snapToGrid w:val="0"/>
              <w:jc w:val="center"/>
              <w:rPr>
                <w:rFonts w:hint="eastAsia" w:ascii="宋体" w:hAnsi="宋体" w:eastAsia="宋体" w:cs="宋体"/>
                <w:sz w:val="21"/>
                <w:szCs w:val="21"/>
              </w:rPr>
            </w:pPr>
          </w:p>
        </w:tc>
        <w:tc>
          <w:tcPr>
            <w:tcW w:w="2564" w:type="dxa"/>
            <w:vMerge w:val="continue"/>
            <w:tcBorders>
              <w:top w:val="single" w:color="auto" w:sz="4" w:space="0"/>
              <w:left w:val="nil"/>
              <w:bottom w:val="single" w:color="auto" w:sz="4" w:space="0"/>
              <w:right w:val="single" w:color="auto" w:sz="4" w:space="0"/>
            </w:tcBorders>
            <w:vAlign w:val="center"/>
          </w:tcPr>
          <w:p w14:paraId="7698DF9B">
            <w:pPr>
              <w:adjustRightInd w:val="0"/>
              <w:snapToGrid w:val="0"/>
              <w:jc w:val="center"/>
              <w:rPr>
                <w:rFonts w:hint="eastAsia" w:ascii="宋体" w:hAnsi="宋体" w:eastAsia="宋体" w:cs="宋体"/>
                <w:sz w:val="21"/>
                <w:szCs w:val="21"/>
              </w:rPr>
            </w:pPr>
          </w:p>
        </w:tc>
        <w:tc>
          <w:tcPr>
            <w:tcW w:w="5781" w:type="dxa"/>
            <w:tcBorders>
              <w:top w:val="nil"/>
              <w:left w:val="nil"/>
              <w:bottom w:val="single" w:color="auto" w:sz="4" w:space="0"/>
              <w:right w:val="single" w:color="auto" w:sz="4" w:space="0"/>
            </w:tcBorders>
          </w:tcPr>
          <w:p w14:paraId="2A83528E">
            <w:pPr>
              <w:adjustRightInd w:val="0"/>
              <w:snapToGrid w:val="0"/>
              <w:rPr>
                <w:rFonts w:hint="eastAsia" w:ascii="宋体" w:hAnsi="宋体" w:eastAsia="宋体" w:cs="宋体"/>
                <w:kern w:val="0"/>
                <w:sz w:val="21"/>
                <w:szCs w:val="21"/>
              </w:rPr>
            </w:pPr>
            <w:r>
              <w:rPr>
                <w:rFonts w:hint="eastAsia" w:ascii="宋体" w:hAnsi="宋体" w:eastAsia="宋体" w:cs="宋体"/>
                <w:kern w:val="0"/>
                <w:sz w:val="21"/>
                <w:szCs w:val="21"/>
              </w:rPr>
              <w:t>协助街道为社区内特困人员分散供养、低保低边经济生活困难、孤寡、失能失智、残疾人、独居、空巢、高龄、计划生育特殊家庭的老年人建立服务档案和跟踪服务记录，定期评估生活状况、身体状况等困难程度，制定服务计划，提供支持、关爱服务。</w:t>
            </w:r>
          </w:p>
        </w:tc>
      </w:tr>
      <w:tr w14:paraId="7675B1B5">
        <w:trPr>
          <w:trHeight w:val="368" w:hRule="atLeast"/>
          <w:jc w:val="center"/>
        </w:trPr>
        <w:tc>
          <w:tcPr>
            <w:tcW w:w="1983" w:type="dxa"/>
            <w:vMerge w:val="continue"/>
            <w:tcBorders>
              <w:top w:val="single" w:color="auto" w:sz="4" w:space="0"/>
              <w:left w:val="single" w:color="auto" w:sz="4" w:space="0"/>
              <w:bottom w:val="single" w:color="auto" w:sz="4" w:space="0"/>
              <w:right w:val="single" w:color="auto" w:sz="4" w:space="0"/>
            </w:tcBorders>
            <w:vAlign w:val="center"/>
          </w:tcPr>
          <w:p w14:paraId="57000B15">
            <w:pPr>
              <w:adjustRightInd w:val="0"/>
              <w:snapToGrid w:val="0"/>
              <w:jc w:val="center"/>
              <w:rPr>
                <w:rFonts w:hint="eastAsia" w:ascii="宋体" w:hAnsi="宋体" w:eastAsia="宋体" w:cs="宋体"/>
                <w:sz w:val="21"/>
                <w:szCs w:val="21"/>
              </w:rPr>
            </w:pPr>
          </w:p>
        </w:tc>
        <w:tc>
          <w:tcPr>
            <w:tcW w:w="2564" w:type="dxa"/>
            <w:vMerge w:val="continue"/>
            <w:tcBorders>
              <w:top w:val="single" w:color="auto" w:sz="4" w:space="0"/>
              <w:left w:val="nil"/>
              <w:bottom w:val="single" w:color="auto" w:sz="4" w:space="0"/>
              <w:right w:val="single" w:color="auto" w:sz="4" w:space="0"/>
            </w:tcBorders>
            <w:vAlign w:val="center"/>
          </w:tcPr>
          <w:p w14:paraId="08B90F86">
            <w:pPr>
              <w:adjustRightInd w:val="0"/>
              <w:snapToGrid w:val="0"/>
              <w:jc w:val="center"/>
              <w:rPr>
                <w:rFonts w:hint="eastAsia" w:ascii="宋体" w:hAnsi="宋体" w:eastAsia="宋体" w:cs="宋体"/>
                <w:sz w:val="21"/>
                <w:szCs w:val="21"/>
              </w:rPr>
            </w:pPr>
          </w:p>
        </w:tc>
        <w:tc>
          <w:tcPr>
            <w:tcW w:w="5781" w:type="dxa"/>
            <w:tcBorders>
              <w:top w:val="nil"/>
              <w:left w:val="nil"/>
              <w:right w:val="single" w:color="auto" w:sz="4" w:space="0"/>
            </w:tcBorders>
            <w:vAlign w:val="center"/>
          </w:tcPr>
          <w:p w14:paraId="503A7E6C">
            <w:pPr>
              <w:adjustRightInd w:val="0"/>
              <w:snapToGrid w:val="0"/>
              <w:rPr>
                <w:rFonts w:hint="eastAsia" w:ascii="宋体" w:hAnsi="宋体" w:eastAsia="宋体" w:cs="宋体"/>
                <w:kern w:val="0"/>
                <w:sz w:val="21"/>
                <w:szCs w:val="21"/>
              </w:rPr>
            </w:pPr>
            <w:r>
              <w:rPr>
                <w:rFonts w:hint="eastAsia" w:ascii="宋体" w:hAnsi="宋体" w:eastAsia="宋体" w:cs="宋体"/>
                <w:kern w:val="0"/>
                <w:sz w:val="21"/>
                <w:szCs w:val="21"/>
              </w:rPr>
              <w:t>协助街道为遇到重大或紧急生活困难的老人提供关爱及辅导服务。</w:t>
            </w:r>
          </w:p>
        </w:tc>
      </w:tr>
      <w:tr w14:paraId="2795CC18">
        <w:trPr>
          <w:trHeight w:val="465" w:hRule="atLeast"/>
          <w:jc w:val="center"/>
        </w:trPr>
        <w:tc>
          <w:tcPr>
            <w:tcW w:w="1983" w:type="dxa"/>
            <w:vMerge w:val="continue"/>
            <w:tcBorders>
              <w:top w:val="single" w:color="auto" w:sz="4" w:space="0"/>
              <w:left w:val="single" w:color="auto" w:sz="4" w:space="0"/>
              <w:bottom w:val="single" w:color="auto" w:sz="4" w:space="0"/>
              <w:right w:val="single" w:color="auto" w:sz="4" w:space="0"/>
            </w:tcBorders>
            <w:vAlign w:val="center"/>
          </w:tcPr>
          <w:p w14:paraId="4EF0C57D">
            <w:pPr>
              <w:adjustRightInd w:val="0"/>
              <w:snapToGrid w:val="0"/>
              <w:jc w:val="center"/>
              <w:rPr>
                <w:rFonts w:hint="eastAsia" w:ascii="宋体" w:hAnsi="宋体" w:eastAsia="宋体" w:cs="宋体"/>
                <w:sz w:val="21"/>
                <w:szCs w:val="21"/>
              </w:rPr>
            </w:pPr>
          </w:p>
        </w:tc>
        <w:tc>
          <w:tcPr>
            <w:tcW w:w="2564" w:type="dxa"/>
            <w:vMerge w:val="continue"/>
            <w:tcBorders>
              <w:top w:val="single" w:color="auto" w:sz="4" w:space="0"/>
              <w:left w:val="nil"/>
              <w:bottom w:val="single" w:color="auto" w:sz="4" w:space="0"/>
              <w:right w:val="single" w:color="auto" w:sz="4" w:space="0"/>
            </w:tcBorders>
            <w:vAlign w:val="center"/>
          </w:tcPr>
          <w:p w14:paraId="5C72A2C8">
            <w:pPr>
              <w:adjustRightInd w:val="0"/>
              <w:snapToGrid w:val="0"/>
              <w:jc w:val="center"/>
              <w:rPr>
                <w:rFonts w:hint="eastAsia" w:ascii="宋体" w:hAnsi="宋体" w:eastAsia="宋体" w:cs="宋体"/>
                <w:sz w:val="21"/>
                <w:szCs w:val="21"/>
              </w:rPr>
            </w:pPr>
          </w:p>
        </w:tc>
        <w:tc>
          <w:tcPr>
            <w:tcW w:w="5781" w:type="dxa"/>
            <w:tcBorders>
              <w:top w:val="single" w:color="auto" w:sz="4" w:space="0"/>
              <w:left w:val="nil"/>
              <w:bottom w:val="single" w:color="auto" w:sz="4" w:space="0"/>
              <w:right w:val="single" w:color="auto" w:sz="4" w:space="0"/>
            </w:tcBorders>
            <w:vAlign w:val="center"/>
          </w:tcPr>
          <w:p w14:paraId="07665AF2">
            <w:pPr>
              <w:adjustRightInd w:val="0"/>
              <w:snapToGrid w:val="0"/>
              <w:rPr>
                <w:rFonts w:hint="eastAsia" w:ascii="宋体" w:hAnsi="宋体" w:eastAsia="宋体" w:cs="宋体"/>
                <w:kern w:val="0"/>
                <w:sz w:val="21"/>
                <w:szCs w:val="21"/>
              </w:rPr>
            </w:pPr>
            <w:r>
              <w:rPr>
                <w:rFonts w:hint="eastAsia" w:ascii="宋体" w:hAnsi="宋体" w:eastAsia="宋体" w:cs="宋体"/>
                <w:kern w:val="0"/>
                <w:sz w:val="21"/>
                <w:szCs w:val="21"/>
              </w:rPr>
              <w:t>协助老年人申请社会福利政策，为有需要的对象链接社会资源并提供相关帮扶和转介服务。</w:t>
            </w:r>
          </w:p>
        </w:tc>
      </w:tr>
      <w:tr w14:paraId="2BCCC778">
        <w:trPr>
          <w:trHeight w:val="900" w:hRule="atLeast"/>
          <w:jc w:val="center"/>
        </w:trPr>
        <w:tc>
          <w:tcPr>
            <w:tcW w:w="1983" w:type="dxa"/>
            <w:vMerge w:val="restart"/>
            <w:tcBorders>
              <w:top w:val="nil"/>
              <w:left w:val="single" w:color="auto" w:sz="4" w:space="0"/>
              <w:bottom w:val="single" w:color="auto" w:sz="4" w:space="0"/>
              <w:right w:val="single" w:color="auto" w:sz="4" w:space="0"/>
            </w:tcBorders>
            <w:vAlign w:val="center"/>
          </w:tcPr>
          <w:p w14:paraId="1003A824">
            <w:pPr>
              <w:adjustRightInd w:val="0"/>
              <w:snapToGrid w:val="0"/>
              <w:jc w:val="center"/>
              <w:rPr>
                <w:rFonts w:hint="eastAsia" w:ascii="宋体" w:hAnsi="宋体" w:eastAsia="宋体" w:cs="宋体"/>
                <w:kern w:val="0"/>
                <w:sz w:val="21"/>
                <w:szCs w:val="21"/>
              </w:rPr>
            </w:pPr>
            <w:r>
              <w:rPr>
                <w:rFonts w:hint="eastAsia" w:ascii="宋体" w:hAnsi="宋体" w:eastAsia="宋体" w:cs="宋体"/>
                <w:kern w:val="0"/>
                <w:sz w:val="21"/>
                <w:szCs w:val="21"/>
              </w:rPr>
              <w:t>老年人服务</w:t>
            </w:r>
          </w:p>
        </w:tc>
        <w:tc>
          <w:tcPr>
            <w:tcW w:w="2564" w:type="dxa"/>
            <w:vMerge w:val="restart"/>
            <w:tcBorders>
              <w:top w:val="nil"/>
              <w:left w:val="single" w:color="auto" w:sz="4" w:space="0"/>
              <w:bottom w:val="single" w:color="auto" w:sz="4" w:space="0"/>
              <w:right w:val="single" w:color="auto" w:sz="4" w:space="0"/>
            </w:tcBorders>
            <w:vAlign w:val="center"/>
          </w:tcPr>
          <w:p w14:paraId="14C3CA70">
            <w:pPr>
              <w:adjustRightInd w:val="0"/>
              <w:snapToGrid w:val="0"/>
              <w:jc w:val="center"/>
              <w:rPr>
                <w:rFonts w:hint="eastAsia" w:ascii="宋体" w:hAnsi="宋体" w:eastAsia="宋体" w:cs="宋体"/>
                <w:kern w:val="0"/>
                <w:sz w:val="21"/>
                <w:szCs w:val="21"/>
              </w:rPr>
            </w:pPr>
            <w:r>
              <w:rPr>
                <w:rFonts w:hint="eastAsia" w:ascii="宋体" w:hAnsi="宋体" w:eastAsia="宋体" w:cs="宋体"/>
                <w:kern w:val="0"/>
                <w:sz w:val="21"/>
                <w:szCs w:val="21"/>
              </w:rPr>
              <w:t>为社区老年人提供身心健康、生活适应、文体康乐、人际互助、关系调试、社区融入、支持网络构建等服务</w:t>
            </w:r>
          </w:p>
        </w:tc>
        <w:tc>
          <w:tcPr>
            <w:tcW w:w="5781" w:type="dxa"/>
            <w:tcBorders>
              <w:top w:val="nil"/>
              <w:left w:val="nil"/>
              <w:bottom w:val="single" w:color="auto" w:sz="4" w:space="0"/>
              <w:right w:val="single" w:color="auto" w:sz="4" w:space="0"/>
            </w:tcBorders>
            <w:vAlign w:val="center"/>
          </w:tcPr>
          <w:p w14:paraId="1B637734">
            <w:pPr>
              <w:adjustRightInd w:val="0"/>
              <w:snapToGrid w:val="0"/>
              <w:rPr>
                <w:rFonts w:hint="eastAsia" w:ascii="宋体" w:hAnsi="宋体" w:eastAsia="宋体" w:cs="宋体"/>
                <w:kern w:val="0"/>
                <w:sz w:val="21"/>
                <w:szCs w:val="21"/>
              </w:rPr>
            </w:pPr>
            <w:r>
              <w:rPr>
                <w:rFonts w:hint="eastAsia" w:ascii="宋体" w:hAnsi="宋体" w:eastAsia="宋体" w:cs="宋体"/>
                <w:kern w:val="0"/>
                <w:sz w:val="21"/>
                <w:szCs w:val="21"/>
              </w:rPr>
              <w:t>为社区老年人提供养老政策指导和办事指南，为社区老年人提供养老服务资源介绍，链接专业资源为老年人提供疾病预防、健康管理和老年人福利政策宣讲及咨询服务。</w:t>
            </w:r>
          </w:p>
        </w:tc>
      </w:tr>
      <w:tr w14:paraId="63ACF0CE">
        <w:trPr>
          <w:trHeight w:val="673" w:hRule="atLeast"/>
          <w:jc w:val="center"/>
        </w:trPr>
        <w:tc>
          <w:tcPr>
            <w:tcW w:w="1983" w:type="dxa"/>
            <w:vMerge w:val="continue"/>
            <w:tcBorders>
              <w:left w:val="single" w:color="auto" w:sz="4" w:space="0"/>
              <w:right w:val="single" w:color="auto" w:sz="4" w:space="0"/>
            </w:tcBorders>
            <w:vAlign w:val="center"/>
          </w:tcPr>
          <w:p w14:paraId="7E98A070">
            <w:pPr>
              <w:adjustRightInd w:val="0"/>
              <w:snapToGrid w:val="0"/>
              <w:rPr>
                <w:rFonts w:hint="eastAsia" w:ascii="宋体" w:hAnsi="宋体" w:eastAsia="宋体" w:cs="宋体"/>
                <w:kern w:val="0"/>
                <w:sz w:val="21"/>
                <w:szCs w:val="21"/>
              </w:rPr>
            </w:pPr>
          </w:p>
        </w:tc>
        <w:tc>
          <w:tcPr>
            <w:tcW w:w="2564" w:type="dxa"/>
            <w:vMerge w:val="continue"/>
            <w:tcBorders>
              <w:left w:val="single" w:color="auto" w:sz="4" w:space="0"/>
              <w:right w:val="single" w:color="auto" w:sz="4" w:space="0"/>
            </w:tcBorders>
            <w:vAlign w:val="center"/>
          </w:tcPr>
          <w:p w14:paraId="5DBED85E">
            <w:pPr>
              <w:adjustRightInd w:val="0"/>
              <w:snapToGrid w:val="0"/>
              <w:rPr>
                <w:rFonts w:hint="eastAsia" w:ascii="宋体" w:hAnsi="宋体" w:eastAsia="宋体" w:cs="宋体"/>
                <w:kern w:val="0"/>
                <w:sz w:val="21"/>
                <w:szCs w:val="21"/>
              </w:rPr>
            </w:pPr>
          </w:p>
        </w:tc>
        <w:tc>
          <w:tcPr>
            <w:tcW w:w="5781" w:type="dxa"/>
            <w:tcBorders>
              <w:top w:val="single" w:color="auto" w:sz="4" w:space="0"/>
              <w:left w:val="nil"/>
              <w:bottom w:val="single" w:color="auto" w:sz="4" w:space="0"/>
              <w:right w:val="single" w:color="auto" w:sz="4" w:space="0"/>
            </w:tcBorders>
            <w:vAlign w:val="center"/>
          </w:tcPr>
          <w:p w14:paraId="1610C8BB">
            <w:pPr>
              <w:adjustRightInd w:val="0"/>
              <w:snapToGrid w:val="0"/>
              <w:rPr>
                <w:rFonts w:hint="eastAsia" w:ascii="宋体" w:hAnsi="宋体" w:eastAsia="宋体" w:cs="宋体"/>
                <w:kern w:val="0"/>
                <w:sz w:val="21"/>
                <w:szCs w:val="21"/>
              </w:rPr>
            </w:pPr>
            <w:r>
              <w:rPr>
                <w:rFonts w:hint="eastAsia" w:ascii="宋体" w:hAnsi="宋体" w:eastAsia="宋体" w:cs="宋体"/>
                <w:kern w:val="0"/>
                <w:sz w:val="21"/>
                <w:szCs w:val="21"/>
              </w:rPr>
              <w:t>协助社区组织开展老年人信息登记工作，组织开展老年人需求调查，定期上报相关信息。配合相关部门做好老年人需求评估等工作。</w:t>
            </w:r>
          </w:p>
        </w:tc>
      </w:tr>
      <w:tr w14:paraId="6B804F92">
        <w:trPr>
          <w:trHeight w:val="458" w:hRule="atLeast"/>
          <w:jc w:val="center"/>
        </w:trPr>
        <w:tc>
          <w:tcPr>
            <w:tcW w:w="1983" w:type="dxa"/>
            <w:vMerge w:val="continue"/>
            <w:tcBorders>
              <w:top w:val="nil"/>
              <w:left w:val="single" w:color="auto" w:sz="4" w:space="0"/>
              <w:bottom w:val="single" w:color="auto" w:sz="4" w:space="0"/>
              <w:right w:val="single" w:color="auto" w:sz="4" w:space="0"/>
            </w:tcBorders>
            <w:vAlign w:val="center"/>
          </w:tcPr>
          <w:p w14:paraId="2E3A87A4">
            <w:pPr>
              <w:adjustRightInd w:val="0"/>
              <w:snapToGrid w:val="0"/>
              <w:rPr>
                <w:rFonts w:hint="eastAsia" w:ascii="宋体" w:hAnsi="宋体" w:eastAsia="宋体" w:cs="宋体"/>
                <w:sz w:val="21"/>
                <w:szCs w:val="21"/>
              </w:rPr>
            </w:pPr>
          </w:p>
        </w:tc>
        <w:tc>
          <w:tcPr>
            <w:tcW w:w="2564" w:type="dxa"/>
            <w:vMerge w:val="continue"/>
            <w:tcBorders>
              <w:top w:val="nil"/>
              <w:left w:val="single" w:color="auto" w:sz="4" w:space="0"/>
              <w:bottom w:val="single" w:color="auto" w:sz="4" w:space="0"/>
              <w:right w:val="single" w:color="auto" w:sz="4" w:space="0"/>
            </w:tcBorders>
            <w:vAlign w:val="center"/>
          </w:tcPr>
          <w:p w14:paraId="407A0FA6">
            <w:pPr>
              <w:adjustRightInd w:val="0"/>
              <w:snapToGrid w:val="0"/>
              <w:rPr>
                <w:rFonts w:hint="eastAsia" w:ascii="宋体" w:hAnsi="宋体" w:eastAsia="宋体" w:cs="宋体"/>
                <w:sz w:val="21"/>
                <w:szCs w:val="21"/>
              </w:rPr>
            </w:pPr>
          </w:p>
        </w:tc>
        <w:tc>
          <w:tcPr>
            <w:tcW w:w="5781" w:type="dxa"/>
            <w:tcBorders>
              <w:top w:val="nil"/>
              <w:left w:val="nil"/>
              <w:bottom w:val="single" w:color="auto" w:sz="4" w:space="0"/>
              <w:right w:val="single" w:color="auto" w:sz="4" w:space="0"/>
            </w:tcBorders>
            <w:vAlign w:val="center"/>
          </w:tcPr>
          <w:p w14:paraId="34CA278E">
            <w:pPr>
              <w:adjustRightInd w:val="0"/>
              <w:snapToGrid w:val="0"/>
              <w:rPr>
                <w:rFonts w:hint="eastAsia" w:ascii="宋体" w:hAnsi="宋体" w:eastAsia="宋体" w:cs="宋体"/>
                <w:kern w:val="0"/>
                <w:sz w:val="21"/>
                <w:szCs w:val="21"/>
              </w:rPr>
            </w:pPr>
            <w:r>
              <w:rPr>
                <w:rFonts w:hint="eastAsia" w:ascii="宋体" w:hAnsi="宋体" w:eastAsia="宋体" w:cs="宋体"/>
                <w:kern w:val="0"/>
                <w:sz w:val="21"/>
                <w:szCs w:val="21"/>
              </w:rPr>
              <w:t>组织开展老年人生活适应和心理健康辅导、情绪疏导、精神关爱服务活动。</w:t>
            </w:r>
          </w:p>
        </w:tc>
      </w:tr>
      <w:tr w14:paraId="11FFC143">
        <w:trPr>
          <w:trHeight w:val="90" w:hRule="atLeast"/>
          <w:jc w:val="center"/>
        </w:trPr>
        <w:tc>
          <w:tcPr>
            <w:tcW w:w="1983" w:type="dxa"/>
            <w:vMerge w:val="continue"/>
            <w:tcBorders>
              <w:top w:val="nil"/>
              <w:left w:val="single" w:color="auto" w:sz="4" w:space="0"/>
              <w:bottom w:val="single" w:color="auto" w:sz="4" w:space="0"/>
              <w:right w:val="single" w:color="auto" w:sz="4" w:space="0"/>
            </w:tcBorders>
            <w:vAlign w:val="center"/>
          </w:tcPr>
          <w:p w14:paraId="510D9F08">
            <w:pPr>
              <w:adjustRightInd w:val="0"/>
              <w:snapToGrid w:val="0"/>
              <w:rPr>
                <w:rFonts w:hint="eastAsia" w:ascii="宋体" w:hAnsi="宋体" w:eastAsia="宋体" w:cs="宋体"/>
                <w:sz w:val="21"/>
                <w:szCs w:val="21"/>
              </w:rPr>
            </w:pPr>
          </w:p>
        </w:tc>
        <w:tc>
          <w:tcPr>
            <w:tcW w:w="2564" w:type="dxa"/>
            <w:vMerge w:val="continue"/>
            <w:tcBorders>
              <w:top w:val="nil"/>
              <w:left w:val="single" w:color="auto" w:sz="4" w:space="0"/>
              <w:bottom w:val="single" w:color="auto" w:sz="4" w:space="0"/>
              <w:right w:val="single" w:color="auto" w:sz="4" w:space="0"/>
            </w:tcBorders>
            <w:vAlign w:val="center"/>
          </w:tcPr>
          <w:p w14:paraId="599E4FBE">
            <w:pPr>
              <w:adjustRightInd w:val="0"/>
              <w:snapToGrid w:val="0"/>
              <w:rPr>
                <w:rFonts w:hint="eastAsia" w:ascii="宋体" w:hAnsi="宋体" w:eastAsia="宋体" w:cs="宋体"/>
                <w:sz w:val="21"/>
                <w:szCs w:val="21"/>
              </w:rPr>
            </w:pPr>
          </w:p>
        </w:tc>
        <w:tc>
          <w:tcPr>
            <w:tcW w:w="5781" w:type="dxa"/>
            <w:tcBorders>
              <w:top w:val="nil"/>
              <w:left w:val="nil"/>
              <w:bottom w:val="single" w:color="auto" w:sz="4" w:space="0"/>
              <w:right w:val="single" w:color="auto" w:sz="4" w:space="0"/>
            </w:tcBorders>
            <w:vAlign w:val="center"/>
          </w:tcPr>
          <w:p w14:paraId="6455148D">
            <w:pPr>
              <w:adjustRightInd w:val="0"/>
              <w:snapToGrid w:val="0"/>
              <w:rPr>
                <w:rFonts w:hint="eastAsia" w:ascii="宋体" w:hAnsi="宋体" w:eastAsia="宋体" w:cs="宋体"/>
                <w:kern w:val="0"/>
                <w:sz w:val="21"/>
                <w:szCs w:val="21"/>
              </w:rPr>
            </w:pPr>
            <w:r>
              <w:rPr>
                <w:rFonts w:hint="eastAsia" w:ascii="宋体" w:hAnsi="宋体" w:eastAsia="宋体" w:cs="宋体"/>
                <w:kern w:val="0"/>
                <w:sz w:val="21"/>
                <w:szCs w:val="21"/>
              </w:rPr>
              <w:t>培养老年人各种文体和兴趣组织团体、提供或链接相关活动场所。</w:t>
            </w:r>
          </w:p>
        </w:tc>
      </w:tr>
      <w:tr w14:paraId="74B27B8F">
        <w:trPr>
          <w:trHeight w:val="497" w:hRule="atLeast"/>
          <w:jc w:val="center"/>
        </w:trPr>
        <w:tc>
          <w:tcPr>
            <w:tcW w:w="1983" w:type="dxa"/>
            <w:vMerge w:val="continue"/>
            <w:tcBorders>
              <w:top w:val="nil"/>
              <w:left w:val="single" w:color="auto" w:sz="4" w:space="0"/>
              <w:bottom w:val="single" w:color="auto" w:sz="4" w:space="0"/>
              <w:right w:val="single" w:color="auto" w:sz="4" w:space="0"/>
            </w:tcBorders>
            <w:vAlign w:val="center"/>
          </w:tcPr>
          <w:p w14:paraId="7073805E">
            <w:pPr>
              <w:adjustRightInd w:val="0"/>
              <w:snapToGrid w:val="0"/>
              <w:rPr>
                <w:rFonts w:hint="eastAsia" w:ascii="宋体" w:hAnsi="宋体" w:eastAsia="宋体" w:cs="宋体"/>
                <w:sz w:val="21"/>
                <w:szCs w:val="21"/>
              </w:rPr>
            </w:pPr>
          </w:p>
        </w:tc>
        <w:tc>
          <w:tcPr>
            <w:tcW w:w="2564" w:type="dxa"/>
            <w:vMerge w:val="continue"/>
            <w:tcBorders>
              <w:top w:val="nil"/>
              <w:left w:val="single" w:color="auto" w:sz="4" w:space="0"/>
              <w:bottom w:val="single" w:color="auto" w:sz="4" w:space="0"/>
              <w:right w:val="single" w:color="auto" w:sz="4" w:space="0"/>
            </w:tcBorders>
            <w:vAlign w:val="center"/>
          </w:tcPr>
          <w:p w14:paraId="72F81CA9">
            <w:pPr>
              <w:adjustRightInd w:val="0"/>
              <w:snapToGrid w:val="0"/>
              <w:rPr>
                <w:rFonts w:hint="eastAsia" w:ascii="宋体" w:hAnsi="宋体" w:eastAsia="宋体" w:cs="宋体"/>
                <w:sz w:val="21"/>
                <w:szCs w:val="21"/>
              </w:rPr>
            </w:pPr>
          </w:p>
        </w:tc>
        <w:tc>
          <w:tcPr>
            <w:tcW w:w="5781" w:type="dxa"/>
            <w:tcBorders>
              <w:top w:val="nil"/>
              <w:left w:val="nil"/>
              <w:bottom w:val="single" w:color="auto" w:sz="4" w:space="0"/>
              <w:right w:val="single" w:color="auto" w:sz="4" w:space="0"/>
            </w:tcBorders>
            <w:vAlign w:val="center"/>
          </w:tcPr>
          <w:p w14:paraId="1130B999">
            <w:pPr>
              <w:adjustRightInd w:val="0"/>
              <w:snapToGrid w:val="0"/>
              <w:rPr>
                <w:rFonts w:hint="eastAsia" w:ascii="宋体" w:hAnsi="宋体" w:eastAsia="宋体" w:cs="宋体"/>
                <w:kern w:val="0"/>
                <w:sz w:val="21"/>
                <w:szCs w:val="21"/>
              </w:rPr>
            </w:pPr>
            <w:r>
              <w:rPr>
                <w:rFonts w:hint="eastAsia" w:ascii="宋体" w:hAnsi="宋体" w:eastAsia="宋体" w:cs="宋体"/>
                <w:kern w:val="0"/>
                <w:sz w:val="21"/>
                <w:szCs w:val="21"/>
              </w:rPr>
              <w:t>开展随迁老年人社区融入的各类团体或社区活动。促进老年人自我价值发挥、服务和融入社区。</w:t>
            </w:r>
          </w:p>
        </w:tc>
      </w:tr>
      <w:tr w14:paraId="277EAB3E">
        <w:trPr>
          <w:trHeight w:val="342" w:hRule="atLeast"/>
          <w:jc w:val="center"/>
        </w:trPr>
        <w:tc>
          <w:tcPr>
            <w:tcW w:w="1983" w:type="dxa"/>
            <w:vMerge w:val="continue"/>
            <w:tcBorders>
              <w:top w:val="nil"/>
              <w:left w:val="single" w:color="auto" w:sz="4" w:space="0"/>
              <w:bottom w:val="single" w:color="auto" w:sz="4" w:space="0"/>
              <w:right w:val="single" w:color="auto" w:sz="4" w:space="0"/>
            </w:tcBorders>
            <w:vAlign w:val="center"/>
          </w:tcPr>
          <w:p w14:paraId="23E23150">
            <w:pPr>
              <w:adjustRightInd w:val="0"/>
              <w:snapToGrid w:val="0"/>
              <w:rPr>
                <w:rFonts w:hint="eastAsia" w:ascii="宋体" w:hAnsi="宋体" w:eastAsia="宋体" w:cs="宋体"/>
                <w:sz w:val="21"/>
                <w:szCs w:val="21"/>
              </w:rPr>
            </w:pPr>
          </w:p>
        </w:tc>
        <w:tc>
          <w:tcPr>
            <w:tcW w:w="2564" w:type="dxa"/>
            <w:vMerge w:val="continue"/>
            <w:tcBorders>
              <w:top w:val="nil"/>
              <w:left w:val="single" w:color="auto" w:sz="4" w:space="0"/>
              <w:bottom w:val="single" w:color="auto" w:sz="4" w:space="0"/>
              <w:right w:val="single" w:color="auto" w:sz="4" w:space="0"/>
            </w:tcBorders>
            <w:vAlign w:val="center"/>
          </w:tcPr>
          <w:p w14:paraId="010AE760">
            <w:pPr>
              <w:adjustRightInd w:val="0"/>
              <w:snapToGrid w:val="0"/>
              <w:rPr>
                <w:rFonts w:hint="eastAsia" w:ascii="宋体" w:hAnsi="宋体" w:eastAsia="宋体" w:cs="宋体"/>
                <w:sz w:val="21"/>
                <w:szCs w:val="21"/>
              </w:rPr>
            </w:pPr>
          </w:p>
        </w:tc>
        <w:tc>
          <w:tcPr>
            <w:tcW w:w="5781" w:type="dxa"/>
            <w:tcBorders>
              <w:top w:val="nil"/>
              <w:left w:val="nil"/>
              <w:bottom w:val="single" w:color="auto" w:sz="4" w:space="0"/>
              <w:right w:val="single" w:color="auto" w:sz="4" w:space="0"/>
            </w:tcBorders>
            <w:vAlign w:val="center"/>
          </w:tcPr>
          <w:p w14:paraId="22765355">
            <w:pPr>
              <w:adjustRightInd w:val="0"/>
              <w:snapToGrid w:val="0"/>
              <w:rPr>
                <w:rFonts w:hint="eastAsia" w:ascii="宋体" w:hAnsi="宋体" w:eastAsia="宋体" w:cs="宋体"/>
                <w:kern w:val="0"/>
                <w:sz w:val="21"/>
                <w:szCs w:val="21"/>
              </w:rPr>
            </w:pPr>
            <w:r>
              <w:rPr>
                <w:rFonts w:hint="eastAsia" w:ascii="宋体" w:hAnsi="宋体" w:eastAsia="宋体" w:cs="宋体"/>
                <w:kern w:val="0"/>
                <w:sz w:val="21"/>
                <w:szCs w:val="21"/>
              </w:rPr>
              <w:t>老年人家庭支持及社区互助网络建设，老年人社会交往及再社会化服务。</w:t>
            </w:r>
          </w:p>
        </w:tc>
      </w:tr>
      <w:tr w14:paraId="38EA80DC">
        <w:trPr>
          <w:trHeight w:val="291" w:hRule="atLeast"/>
          <w:jc w:val="center"/>
        </w:trPr>
        <w:tc>
          <w:tcPr>
            <w:tcW w:w="1983" w:type="dxa"/>
            <w:vMerge w:val="continue"/>
            <w:tcBorders>
              <w:top w:val="nil"/>
              <w:left w:val="single" w:color="auto" w:sz="4" w:space="0"/>
              <w:bottom w:val="single" w:color="auto" w:sz="4" w:space="0"/>
              <w:right w:val="single" w:color="auto" w:sz="4" w:space="0"/>
            </w:tcBorders>
            <w:vAlign w:val="center"/>
          </w:tcPr>
          <w:p w14:paraId="03FF0499">
            <w:pPr>
              <w:adjustRightInd w:val="0"/>
              <w:snapToGrid w:val="0"/>
              <w:rPr>
                <w:rFonts w:hint="eastAsia" w:ascii="宋体" w:hAnsi="宋体" w:eastAsia="宋体" w:cs="宋体"/>
                <w:sz w:val="21"/>
                <w:szCs w:val="21"/>
              </w:rPr>
            </w:pPr>
          </w:p>
        </w:tc>
        <w:tc>
          <w:tcPr>
            <w:tcW w:w="2564" w:type="dxa"/>
            <w:vMerge w:val="continue"/>
            <w:tcBorders>
              <w:top w:val="nil"/>
              <w:left w:val="single" w:color="auto" w:sz="4" w:space="0"/>
              <w:bottom w:val="single" w:color="auto" w:sz="4" w:space="0"/>
              <w:right w:val="single" w:color="auto" w:sz="4" w:space="0"/>
            </w:tcBorders>
            <w:vAlign w:val="center"/>
          </w:tcPr>
          <w:p w14:paraId="2F9834A4">
            <w:pPr>
              <w:adjustRightInd w:val="0"/>
              <w:snapToGrid w:val="0"/>
              <w:rPr>
                <w:rFonts w:hint="eastAsia" w:ascii="宋体" w:hAnsi="宋体" w:eastAsia="宋体" w:cs="宋体"/>
                <w:sz w:val="21"/>
                <w:szCs w:val="21"/>
              </w:rPr>
            </w:pPr>
          </w:p>
        </w:tc>
        <w:tc>
          <w:tcPr>
            <w:tcW w:w="5781" w:type="dxa"/>
            <w:tcBorders>
              <w:top w:val="single" w:color="auto" w:sz="4" w:space="0"/>
              <w:left w:val="nil"/>
              <w:bottom w:val="single" w:color="auto" w:sz="4" w:space="0"/>
              <w:right w:val="single" w:color="auto" w:sz="4" w:space="0"/>
            </w:tcBorders>
            <w:vAlign w:val="center"/>
          </w:tcPr>
          <w:p w14:paraId="2DDB0713">
            <w:pPr>
              <w:adjustRightInd w:val="0"/>
              <w:snapToGrid w:val="0"/>
              <w:rPr>
                <w:rFonts w:hint="eastAsia" w:ascii="宋体" w:hAnsi="宋体" w:eastAsia="宋体" w:cs="宋体"/>
                <w:kern w:val="0"/>
                <w:sz w:val="21"/>
                <w:szCs w:val="21"/>
              </w:rPr>
            </w:pPr>
            <w:r>
              <w:rPr>
                <w:rFonts w:hint="eastAsia" w:ascii="宋体" w:hAnsi="宋体" w:eastAsia="宋体" w:cs="宋体"/>
                <w:kern w:val="0"/>
                <w:sz w:val="21"/>
                <w:szCs w:val="21"/>
              </w:rPr>
              <w:t>为老年人使用智能手机、电脑网络、科技助老产品等提供必要的帮助，为健康老年人参与社会活动提供支持和培训。</w:t>
            </w:r>
          </w:p>
        </w:tc>
      </w:tr>
      <w:tr w14:paraId="53BB9AF9">
        <w:trPr>
          <w:trHeight w:val="159" w:hRule="atLeast"/>
          <w:jc w:val="center"/>
        </w:trPr>
        <w:tc>
          <w:tcPr>
            <w:tcW w:w="1983" w:type="dxa"/>
            <w:vMerge w:val="continue"/>
            <w:tcBorders>
              <w:top w:val="nil"/>
              <w:left w:val="single" w:color="auto" w:sz="4" w:space="0"/>
              <w:bottom w:val="single" w:color="auto" w:sz="4" w:space="0"/>
              <w:right w:val="single" w:color="auto" w:sz="4" w:space="0"/>
            </w:tcBorders>
            <w:vAlign w:val="center"/>
          </w:tcPr>
          <w:p w14:paraId="4385C10C">
            <w:pPr>
              <w:adjustRightInd w:val="0"/>
              <w:snapToGrid w:val="0"/>
              <w:rPr>
                <w:rFonts w:hint="eastAsia" w:ascii="宋体" w:hAnsi="宋体" w:eastAsia="宋体" w:cs="宋体"/>
                <w:sz w:val="21"/>
                <w:szCs w:val="21"/>
              </w:rPr>
            </w:pPr>
          </w:p>
        </w:tc>
        <w:tc>
          <w:tcPr>
            <w:tcW w:w="2564" w:type="dxa"/>
            <w:vMerge w:val="continue"/>
            <w:tcBorders>
              <w:top w:val="nil"/>
              <w:left w:val="single" w:color="auto" w:sz="4" w:space="0"/>
              <w:bottom w:val="single" w:color="auto" w:sz="4" w:space="0"/>
              <w:right w:val="single" w:color="auto" w:sz="4" w:space="0"/>
            </w:tcBorders>
            <w:vAlign w:val="center"/>
          </w:tcPr>
          <w:p w14:paraId="0DA73D34">
            <w:pPr>
              <w:adjustRightInd w:val="0"/>
              <w:snapToGrid w:val="0"/>
              <w:rPr>
                <w:rFonts w:hint="eastAsia" w:ascii="宋体" w:hAnsi="宋体" w:eastAsia="宋体" w:cs="宋体"/>
                <w:sz w:val="21"/>
                <w:szCs w:val="21"/>
              </w:rPr>
            </w:pPr>
          </w:p>
        </w:tc>
        <w:tc>
          <w:tcPr>
            <w:tcW w:w="5781" w:type="dxa"/>
            <w:tcBorders>
              <w:top w:val="single" w:color="auto" w:sz="4" w:space="0"/>
              <w:left w:val="nil"/>
              <w:bottom w:val="single" w:color="auto" w:sz="4" w:space="0"/>
              <w:right w:val="single" w:color="auto" w:sz="4" w:space="0"/>
            </w:tcBorders>
            <w:vAlign w:val="center"/>
          </w:tcPr>
          <w:p w14:paraId="53E82980">
            <w:pPr>
              <w:adjustRightInd w:val="0"/>
              <w:snapToGrid w:val="0"/>
              <w:rPr>
                <w:rFonts w:hint="eastAsia" w:ascii="宋体" w:hAnsi="宋体" w:eastAsia="宋体" w:cs="宋体"/>
                <w:kern w:val="0"/>
                <w:sz w:val="21"/>
                <w:szCs w:val="21"/>
              </w:rPr>
            </w:pPr>
            <w:r>
              <w:rPr>
                <w:rFonts w:hint="eastAsia" w:ascii="宋体" w:hAnsi="宋体" w:eastAsia="宋体" w:cs="宋体"/>
                <w:kern w:val="0"/>
                <w:sz w:val="21"/>
                <w:szCs w:val="21"/>
              </w:rPr>
              <w:t>其他符合社区老年人需求的相关服务活动。</w:t>
            </w:r>
          </w:p>
        </w:tc>
      </w:tr>
    </w:tbl>
    <w:p w14:paraId="456D0681">
      <w:pPr>
        <w:pStyle w:val="2"/>
        <w:spacing w:line="240" w:lineRule="auto"/>
        <w:rPr>
          <w:lang w:eastAsia="zh-CN"/>
        </w:rPr>
      </w:pPr>
    </w:p>
    <w:p w14:paraId="46130306">
      <w:pPr>
        <w:adjustRightInd w:val="0"/>
        <w:snapToGrid w:val="0"/>
        <w:ind w:firstLine="420" w:firstLineChars="200"/>
        <w:outlineLvl w:val="0"/>
        <w:rPr>
          <w:rFonts w:asciiTheme="minorEastAsia" w:hAnsiTheme="minorEastAsia" w:eastAsiaTheme="minorEastAsia" w:cstheme="minorEastAsia"/>
          <w:color w:val="000000"/>
          <w:szCs w:val="21"/>
        </w:rPr>
      </w:pPr>
      <w:r>
        <w:rPr>
          <w:rFonts w:hint="eastAsia" w:asciiTheme="minorEastAsia" w:hAnsiTheme="minorEastAsia" w:eastAsiaTheme="minorEastAsia" w:cstheme="minorEastAsia"/>
          <w:color w:val="000000"/>
          <w:szCs w:val="21"/>
        </w:rPr>
        <w:t>4.2.2社区困境儿童及家庭、儿童青少年成长支持服务</w:t>
      </w:r>
    </w:p>
    <w:p w14:paraId="5DD5C8AA">
      <w:pPr>
        <w:adjustRightInd w:val="0"/>
        <w:snapToGrid w:val="0"/>
        <w:ind w:firstLine="420" w:firstLineChars="200"/>
        <w:outlineLvl w:val="0"/>
        <w:rPr>
          <w:rFonts w:asciiTheme="minorEastAsia" w:hAnsiTheme="minorEastAsia" w:eastAsiaTheme="minorEastAsia" w:cstheme="minorEastAsia"/>
          <w:color w:val="000000"/>
          <w:szCs w:val="21"/>
        </w:rPr>
      </w:pPr>
      <w:r>
        <w:rPr>
          <w:rFonts w:hint="eastAsia" w:asciiTheme="minorEastAsia" w:hAnsiTheme="minorEastAsia" w:eastAsiaTheme="minorEastAsia" w:cstheme="minorEastAsia"/>
          <w:color w:val="000000"/>
          <w:szCs w:val="21"/>
        </w:rPr>
        <w:t>困境儿童针对性服务：协助街道为社区内困境儿童（含孤儿、自身困境儿童、家庭困境儿童、安全困境儿童、临时困境儿童等五类）提供能够满足特定需求的针对性服务。</w:t>
      </w:r>
    </w:p>
    <w:p w14:paraId="0C40FAA4">
      <w:pPr>
        <w:adjustRightInd w:val="0"/>
        <w:snapToGrid w:val="0"/>
        <w:ind w:firstLine="420" w:firstLineChars="200"/>
        <w:outlineLvl w:val="0"/>
        <w:rPr>
          <w:rFonts w:asciiTheme="minorEastAsia" w:hAnsiTheme="minorEastAsia" w:eastAsiaTheme="minorEastAsia" w:cstheme="minorEastAsia"/>
          <w:color w:val="000000"/>
          <w:szCs w:val="21"/>
        </w:rPr>
      </w:pPr>
      <w:r>
        <w:rPr>
          <w:rFonts w:hint="eastAsia" w:asciiTheme="minorEastAsia" w:hAnsiTheme="minorEastAsia" w:eastAsiaTheme="minorEastAsia" w:cstheme="minorEastAsia"/>
          <w:color w:val="000000"/>
          <w:szCs w:val="21"/>
        </w:rPr>
        <w:t>儿童青少年成长支持服务：促进儿童青少年身心健康成长。</w:t>
      </w:r>
    </w:p>
    <w:p w14:paraId="72753D59"/>
    <w:tbl>
      <w:tblPr>
        <w:tblStyle w:val="4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000"/>
        <w:gridCol w:w="2514"/>
        <w:gridCol w:w="5748"/>
      </w:tblGrid>
      <w:tr w14:paraId="3177A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99" w:hRule="atLeast"/>
          <w:tblHeader/>
          <w:jc w:val="center"/>
        </w:trPr>
        <w:tc>
          <w:tcPr>
            <w:tcW w:w="2000" w:type="dxa"/>
            <w:tcBorders>
              <w:top w:val="single" w:color="auto" w:sz="4" w:space="0"/>
              <w:left w:val="single" w:color="auto" w:sz="4" w:space="0"/>
              <w:bottom w:val="single" w:color="auto" w:sz="4" w:space="0"/>
              <w:right w:val="single" w:color="auto" w:sz="4" w:space="0"/>
            </w:tcBorders>
            <w:vAlign w:val="center"/>
          </w:tcPr>
          <w:p w14:paraId="6E1EDB33">
            <w:pPr>
              <w:widowControl/>
              <w:jc w:val="center"/>
              <w:rPr>
                <w:rFonts w:ascii="宋体" w:hAnsi="宋体" w:cs="宋体"/>
                <w:b/>
                <w:kern w:val="0"/>
                <w:szCs w:val="21"/>
              </w:rPr>
            </w:pPr>
            <w:r>
              <w:rPr>
                <w:rFonts w:hint="eastAsia" w:ascii="宋体" w:hAnsi="宋体" w:cs="宋体"/>
                <w:b/>
                <w:kern w:val="0"/>
                <w:szCs w:val="21"/>
              </w:rPr>
              <w:t>服务大项</w:t>
            </w:r>
          </w:p>
        </w:tc>
        <w:tc>
          <w:tcPr>
            <w:tcW w:w="2514" w:type="dxa"/>
            <w:tcBorders>
              <w:top w:val="single" w:color="auto" w:sz="4" w:space="0"/>
              <w:left w:val="single" w:color="auto" w:sz="4" w:space="0"/>
              <w:bottom w:val="single" w:color="auto" w:sz="4" w:space="0"/>
              <w:right w:val="single" w:color="auto" w:sz="4" w:space="0"/>
            </w:tcBorders>
            <w:vAlign w:val="center"/>
          </w:tcPr>
          <w:p w14:paraId="7981EF58">
            <w:pPr>
              <w:widowControl/>
              <w:jc w:val="center"/>
              <w:rPr>
                <w:rFonts w:ascii="宋体" w:hAnsi="宋体" w:cs="宋体"/>
                <w:b/>
                <w:kern w:val="0"/>
                <w:szCs w:val="21"/>
              </w:rPr>
            </w:pPr>
            <w:r>
              <w:rPr>
                <w:rFonts w:hint="eastAsia" w:ascii="宋体" w:hAnsi="宋体" w:cs="宋体"/>
                <w:b/>
                <w:kern w:val="0"/>
                <w:szCs w:val="21"/>
              </w:rPr>
              <w:t>服务要求</w:t>
            </w:r>
          </w:p>
        </w:tc>
        <w:tc>
          <w:tcPr>
            <w:tcW w:w="5748" w:type="dxa"/>
            <w:tcBorders>
              <w:top w:val="single" w:color="auto" w:sz="4" w:space="0"/>
              <w:left w:val="single" w:color="auto" w:sz="4" w:space="0"/>
              <w:bottom w:val="single" w:color="auto" w:sz="4" w:space="0"/>
              <w:right w:val="single" w:color="auto" w:sz="4" w:space="0"/>
            </w:tcBorders>
            <w:vAlign w:val="center"/>
          </w:tcPr>
          <w:p w14:paraId="4AA98B52">
            <w:pPr>
              <w:widowControl/>
              <w:jc w:val="center"/>
              <w:rPr>
                <w:rFonts w:ascii="宋体" w:hAnsi="宋体" w:cs="宋体"/>
                <w:b/>
                <w:kern w:val="0"/>
                <w:szCs w:val="21"/>
              </w:rPr>
            </w:pPr>
            <w:r>
              <w:rPr>
                <w:rFonts w:hint="eastAsia" w:ascii="宋体" w:hAnsi="宋体" w:cs="宋体"/>
                <w:b/>
                <w:kern w:val="0"/>
                <w:szCs w:val="21"/>
              </w:rPr>
              <w:t>服务细项</w:t>
            </w:r>
          </w:p>
        </w:tc>
      </w:tr>
      <w:tr w14:paraId="11276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517" w:hRule="atLeast"/>
          <w:jc w:val="center"/>
        </w:trPr>
        <w:tc>
          <w:tcPr>
            <w:tcW w:w="2000" w:type="dxa"/>
            <w:vMerge w:val="restart"/>
            <w:tcBorders>
              <w:top w:val="single" w:color="auto" w:sz="4" w:space="0"/>
              <w:left w:val="single" w:color="auto" w:sz="4" w:space="0"/>
              <w:bottom w:val="single" w:color="auto" w:sz="4" w:space="0"/>
              <w:right w:val="single" w:color="auto" w:sz="4" w:space="0"/>
            </w:tcBorders>
            <w:vAlign w:val="center"/>
          </w:tcPr>
          <w:p w14:paraId="5E694BC6">
            <w:pPr>
              <w:adjustRightInd w:val="0"/>
              <w:snapToGrid w:val="0"/>
              <w:jc w:val="center"/>
              <w:rPr>
                <w:rFonts w:ascii="宋体" w:hAnsi="宋体" w:cs="宋体"/>
                <w:kern w:val="0"/>
                <w:szCs w:val="21"/>
              </w:rPr>
            </w:pPr>
            <w:r>
              <w:rPr>
                <w:rFonts w:hint="eastAsia" w:ascii="宋体" w:hAnsi="宋体" w:cs="宋体"/>
                <w:kern w:val="0"/>
                <w:szCs w:val="21"/>
              </w:rPr>
              <w:t>困境儿童针对性服务</w:t>
            </w:r>
          </w:p>
        </w:tc>
        <w:tc>
          <w:tcPr>
            <w:tcW w:w="2514" w:type="dxa"/>
            <w:vMerge w:val="restart"/>
            <w:tcBorders>
              <w:top w:val="single" w:color="auto" w:sz="4" w:space="0"/>
              <w:left w:val="single" w:color="auto" w:sz="4" w:space="0"/>
              <w:bottom w:val="single" w:color="auto" w:sz="4" w:space="0"/>
              <w:right w:val="single" w:color="auto" w:sz="4" w:space="0"/>
            </w:tcBorders>
            <w:vAlign w:val="center"/>
          </w:tcPr>
          <w:p w14:paraId="70584D23">
            <w:pPr>
              <w:tabs>
                <w:tab w:val="center" w:pos="4153"/>
                <w:tab w:val="right" w:pos="8306"/>
              </w:tabs>
              <w:adjustRightInd w:val="0"/>
              <w:snapToGrid w:val="0"/>
              <w:jc w:val="center"/>
              <w:rPr>
                <w:rFonts w:ascii="宋体" w:hAnsi="宋体" w:cs="宋体"/>
                <w:kern w:val="0"/>
                <w:szCs w:val="21"/>
              </w:rPr>
            </w:pPr>
            <w:r>
              <w:rPr>
                <w:rFonts w:hint="eastAsia" w:ascii="宋体" w:hAnsi="宋体" w:cs="宋体"/>
                <w:kern w:val="0"/>
                <w:szCs w:val="21"/>
              </w:rPr>
              <w:t>协助街道为社区内困境儿童（含孤儿、自身困境儿童、家庭困境儿童、安全困境儿童、临时困境儿童等五类）提供能够满足特定需求的针对性服务</w:t>
            </w:r>
          </w:p>
        </w:tc>
        <w:tc>
          <w:tcPr>
            <w:tcW w:w="5748" w:type="dxa"/>
            <w:tcBorders>
              <w:top w:val="single" w:color="auto" w:sz="4" w:space="0"/>
              <w:left w:val="single" w:color="auto" w:sz="4" w:space="0"/>
              <w:bottom w:val="single" w:color="auto" w:sz="4" w:space="0"/>
              <w:right w:val="single" w:color="auto" w:sz="4" w:space="0"/>
            </w:tcBorders>
            <w:vAlign w:val="center"/>
          </w:tcPr>
          <w:p w14:paraId="6A10BF63">
            <w:pPr>
              <w:pStyle w:val="18"/>
              <w:snapToGrid w:val="0"/>
              <w:jc w:val="both"/>
              <w:rPr>
                <w:rFonts w:hAnsi="宋体" w:eastAsia="宋体" w:cs="宋体"/>
                <w:sz w:val="21"/>
                <w:szCs w:val="21"/>
              </w:rPr>
            </w:pPr>
            <w:r>
              <w:rPr>
                <w:rFonts w:hint="eastAsia" w:hAnsi="宋体" w:eastAsia="宋体" w:cs="宋体"/>
                <w:sz w:val="21"/>
                <w:szCs w:val="21"/>
              </w:rPr>
              <w:t>协助街道组织开展信息排查，孤儿及困境儿童（含孤儿、自身困境儿童、家庭困境儿童、安全困境儿童、临时困境儿童等五类）家庭入户走访服务（走访覆盖率达到100%），及时掌握困境儿童等服务对象的生活保障、家庭监护、就学情况等基本信息，一人一档案，定期予以更新并报送。</w:t>
            </w:r>
          </w:p>
        </w:tc>
      </w:tr>
      <w:tr w14:paraId="50D16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217" w:hRule="atLeast"/>
          <w:jc w:val="center"/>
        </w:trPr>
        <w:tc>
          <w:tcPr>
            <w:tcW w:w="2000" w:type="dxa"/>
            <w:vMerge w:val="continue"/>
            <w:tcBorders>
              <w:left w:val="single" w:color="auto" w:sz="4" w:space="0"/>
              <w:right w:val="single" w:color="auto" w:sz="4" w:space="0"/>
            </w:tcBorders>
            <w:vAlign w:val="center"/>
          </w:tcPr>
          <w:p w14:paraId="0F5ACD41">
            <w:pPr>
              <w:adjustRightInd w:val="0"/>
              <w:snapToGrid w:val="0"/>
              <w:jc w:val="center"/>
              <w:rPr>
                <w:rFonts w:ascii="宋体" w:hAnsi="宋体" w:cs="宋体"/>
                <w:kern w:val="0"/>
                <w:szCs w:val="21"/>
              </w:rPr>
            </w:pPr>
          </w:p>
        </w:tc>
        <w:tc>
          <w:tcPr>
            <w:tcW w:w="2514" w:type="dxa"/>
            <w:vMerge w:val="continue"/>
            <w:tcBorders>
              <w:left w:val="single" w:color="auto" w:sz="4" w:space="0"/>
              <w:right w:val="single" w:color="auto" w:sz="4" w:space="0"/>
            </w:tcBorders>
            <w:vAlign w:val="center"/>
          </w:tcPr>
          <w:p w14:paraId="65BAA48E">
            <w:pPr>
              <w:tabs>
                <w:tab w:val="center" w:pos="4153"/>
                <w:tab w:val="right" w:pos="8306"/>
              </w:tabs>
              <w:adjustRightInd w:val="0"/>
              <w:snapToGrid w:val="0"/>
              <w:jc w:val="center"/>
              <w:rPr>
                <w:rFonts w:ascii="宋体" w:hAnsi="宋体" w:cs="宋体"/>
                <w:kern w:val="0"/>
                <w:szCs w:val="21"/>
              </w:rPr>
            </w:pPr>
          </w:p>
        </w:tc>
        <w:tc>
          <w:tcPr>
            <w:tcW w:w="5748" w:type="dxa"/>
            <w:tcBorders>
              <w:top w:val="single" w:color="auto" w:sz="4" w:space="0"/>
              <w:left w:val="single" w:color="auto" w:sz="4" w:space="0"/>
              <w:right w:val="single" w:color="auto" w:sz="4" w:space="0"/>
            </w:tcBorders>
            <w:vAlign w:val="center"/>
          </w:tcPr>
          <w:p w14:paraId="70E0DC75">
            <w:pPr>
              <w:pStyle w:val="18"/>
              <w:snapToGrid w:val="0"/>
              <w:jc w:val="both"/>
              <w:rPr>
                <w:rFonts w:hAnsi="宋体" w:eastAsia="宋体" w:cs="宋体"/>
                <w:sz w:val="21"/>
                <w:szCs w:val="21"/>
              </w:rPr>
            </w:pPr>
            <w:r>
              <w:rPr>
                <w:rFonts w:hint="eastAsia" w:hAnsi="宋体" w:eastAsia="宋体" w:cs="宋体"/>
                <w:sz w:val="21"/>
                <w:szCs w:val="21"/>
              </w:rPr>
              <w:t>协助街道做好困境儿童（含孤儿、自身困境儿童、家庭困境儿童、安全困境儿童、临时困境儿童等五类）的社区照顾、资源链接，开展亲子教育、沟通技巧训练、家庭关系调适等方面的专业监护指导服务，定期向居民委员会和儿童督导员报告工作情况。</w:t>
            </w:r>
          </w:p>
        </w:tc>
      </w:tr>
      <w:tr w14:paraId="1FEF9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19" w:hRule="atLeast"/>
          <w:jc w:val="center"/>
        </w:trPr>
        <w:tc>
          <w:tcPr>
            <w:tcW w:w="2000" w:type="dxa"/>
            <w:vMerge w:val="continue"/>
            <w:tcBorders>
              <w:top w:val="single" w:color="auto" w:sz="4" w:space="0"/>
              <w:left w:val="single" w:color="auto" w:sz="4" w:space="0"/>
              <w:bottom w:val="single" w:color="auto" w:sz="4" w:space="0"/>
              <w:right w:val="single" w:color="auto" w:sz="4" w:space="0"/>
            </w:tcBorders>
            <w:vAlign w:val="center"/>
          </w:tcPr>
          <w:p w14:paraId="4F1DB456">
            <w:pPr>
              <w:adjustRightInd w:val="0"/>
              <w:snapToGrid w:val="0"/>
              <w:jc w:val="center"/>
              <w:rPr>
                <w:rFonts w:ascii="宋体" w:hAnsi="宋体" w:cs="宋体"/>
                <w:szCs w:val="21"/>
              </w:rPr>
            </w:pPr>
          </w:p>
        </w:tc>
        <w:tc>
          <w:tcPr>
            <w:tcW w:w="2514" w:type="dxa"/>
            <w:vMerge w:val="continue"/>
            <w:tcBorders>
              <w:top w:val="single" w:color="auto" w:sz="4" w:space="0"/>
              <w:left w:val="single" w:color="auto" w:sz="4" w:space="0"/>
              <w:bottom w:val="single" w:color="auto" w:sz="4" w:space="0"/>
              <w:right w:val="single" w:color="auto" w:sz="4" w:space="0"/>
            </w:tcBorders>
            <w:vAlign w:val="center"/>
          </w:tcPr>
          <w:p w14:paraId="58E0696C">
            <w:pPr>
              <w:adjustRightInd w:val="0"/>
              <w:snapToGrid w:val="0"/>
              <w:jc w:val="center"/>
              <w:rPr>
                <w:rFonts w:ascii="宋体" w:hAnsi="宋体" w:cs="宋体"/>
                <w:szCs w:val="21"/>
              </w:rPr>
            </w:pPr>
          </w:p>
        </w:tc>
        <w:tc>
          <w:tcPr>
            <w:tcW w:w="5748" w:type="dxa"/>
            <w:tcBorders>
              <w:top w:val="single" w:color="auto" w:sz="4" w:space="0"/>
              <w:left w:val="single" w:color="auto" w:sz="4" w:space="0"/>
              <w:bottom w:val="single" w:color="auto" w:sz="4" w:space="0"/>
              <w:right w:val="single" w:color="auto" w:sz="4" w:space="0"/>
            </w:tcBorders>
            <w:vAlign w:val="center"/>
          </w:tcPr>
          <w:p w14:paraId="42E58D23">
            <w:pPr>
              <w:pStyle w:val="18"/>
              <w:snapToGrid w:val="0"/>
              <w:jc w:val="both"/>
              <w:rPr>
                <w:rFonts w:hAnsi="宋体" w:eastAsia="宋体" w:cs="宋体"/>
                <w:sz w:val="21"/>
                <w:szCs w:val="21"/>
              </w:rPr>
            </w:pPr>
            <w:r>
              <w:rPr>
                <w:rFonts w:hint="eastAsia" w:hAnsi="宋体" w:eastAsia="宋体" w:cs="宋体"/>
                <w:sz w:val="21"/>
                <w:szCs w:val="21"/>
              </w:rPr>
              <w:t>协助街道指导监护人和受委托监护人签订委托监护确认书，加强对监护人（受委托监护人）的法治宣传、监护督导和指导，督促其依法履行抚养义务和监护职责。</w:t>
            </w:r>
          </w:p>
        </w:tc>
      </w:tr>
      <w:tr w14:paraId="4D8E6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217" w:hRule="atLeast"/>
          <w:jc w:val="center"/>
        </w:trPr>
        <w:tc>
          <w:tcPr>
            <w:tcW w:w="2000" w:type="dxa"/>
            <w:vMerge w:val="continue"/>
            <w:tcBorders>
              <w:top w:val="single" w:color="auto" w:sz="4" w:space="0"/>
              <w:left w:val="single" w:color="auto" w:sz="4" w:space="0"/>
              <w:bottom w:val="single" w:color="auto" w:sz="4" w:space="0"/>
              <w:right w:val="single" w:color="auto" w:sz="4" w:space="0"/>
            </w:tcBorders>
            <w:vAlign w:val="center"/>
          </w:tcPr>
          <w:p w14:paraId="6C7779EF">
            <w:pPr>
              <w:adjustRightInd w:val="0"/>
              <w:snapToGrid w:val="0"/>
              <w:jc w:val="center"/>
              <w:rPr>
                <w:rFonts w:ascii="宋体" w:hAnsi="宋体" w:cs="宋体"/>
                <w:szCs w:val="21"/>
              </w:rPr>
            </w:pPr>
          </w:p>
        </w:tc>
        <w:tc>
          <w:tcPr>
            <w:tcW w:w="2514" w:type="dxa"/>
            <w:vMerge w:val="continue"/>
            <w:tcBorders>
              <w:top w:val="single" w:color="auto" w:sz="4" w:space="0"/>
              <w:left w:val="single" w:color="auto" w:sz="4" w:space="0"/>
              <w:bottom w:val="single" w:color="auto" w:sz="4" w:space="0"/>
              <w:right w:val="single" w:color="auto" w:sz="4" w:space="0"/>
            </w:tcBorders>
            <w:vAlign w:val="center"/>
          </w:tcPr>
          <w:p w14:paraId="3D1958EE">
            <w:pPr>
              <w:adjustRightInd w:val="0"/>
              <w:snapToGrid w:val="0"/>
              <w:jc w:val="center"/>
              <w:rPr>
                <w:rFonts w:ascii="宋体" w:hAnsi="宋体" w:cs="宋体"/>
                <w:szCs w:val="21"/>
              </w:rPr>
            </w:pPr>
          </w:p>
        </w:tc>
        <w:tc>
          <w:tcPr>
            <w:tcW w:w="5748" w:type="dxa"/>
            <w:tcBorders>
              <w:top w:val="single" w:color="auto" w:sz="4" w:space="0"/>
              <w:left w:val="single" w:color="auto" w:sz="4" w:space="0"/>
              <w:bottom w:val="single" w:color="auto" w:sz="4" w:space="0"/>
              <w:right w:val="single" w:color="auto" w:sz="4" w:space="0"/>
            </w:tcBorders>
            <w:vAlign w:val="center"/>
          </w:tcPr>
          <w:p w14:paraId="2ABDBAA6">
            <w:pPr>
              <w:pStyle w:val="18"/>
              <w:snapToGrid w:val="0"/>
              <w:jc w:val="both"/>
              <w:rPr>
                <w:rFonts w:hAnsi="宋体" w:eastAsia="宋体" w:cs="宋体"/>
                <w:sz w:val="21"/>
                <w:szCs w:val="21"/>
              </w:rPr>
            </w:pPr>
            <w:r>
              <w:rPr>
                <w:rFonts w:hint="eastAsia" w:hAnsi="宋体" w:eastAsia="宋体" w:cs="宋体"/>
                <w:sz w:val="21"/>
                <w:szCs w:val="21"/>
              </w:rPr>
              <w:t>协助街道开展困境儿童危机事件强制报告、转介帮扶，及时向公安机关及其派出机构报告儿童脱离监护单独居住生活或失踪、监护人丧失监护能力或不履行监护责任、疑似遭受家庭暴力或不法侵害等情况，并协助为儿童本人及家庭提供有关支持。</w:t>
            </w:r>
          </w:p>
        </w:tc>
      </w:tr>
      <w:tr w14:paraId="16B7A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504" w:hRule="atLeast"/>
          <w:jc w:val="center"/>
        </w:trPr>
        <w:tc>
          <w:tcPr>
            <w:tcW w:w="2000" w:type="dxa"/>
            <w:vMerge w:val="continue"/>
            <w:tcBorders>
              <w:top w:val="single" w:color="auto" w:sz="4" w:space="0"/>
              <w:left w:val="single" w:color="auto" w:sz="4" w:space="0"/>
              <w:bottom w:val="single" w:color="auto" w:sz="4" w:space="0"/>
              <w:right w:val="single" w:color="auto" w:sz="4" w:space="0"/>
            </w:tcBorders>
            <w:vAlign w:val="center"/>
          </w:tcPr>
          <w:p w14:paraId="157F927B">
            <w:pPr>
              <w:adjustRightInd w:val="0"/>
              <w:snapToGrid w:val="0"/>
              <w:jc w:val="center"/>
              <w:rPr>
                <w:rFonts w:ascii="宋体" w:hAnsi="宋体" w:cs="宋体"/>
                <w:szCs w:val="21"/>
              </w:rPr>
            </w:pPr>
          </w:p>
        </w:tc>
        <w:tc>
          <w:tcPr>
            <w:tcW w:w="2514" w:type="dxa"/>
            <w:vMerge w:val="continue"/>
            <w:tcBorders>
              <w:top w:val="single" w:color="auto" w:sz="4" w:space="0"/>
              <w:left w:val="single" w:color="auto" w:sz="4" w:space="0"/>
              <w:bottom w:val="single" w:color="auto" w:sz="4" w:space="0"/>
              <w:right w:val="single" w:color="auto" w:sz="4" w:space="0"/>
            </w:tcBorders>
            <w:vAlign w:val="center"/>
          </w:tcPr>
          <w:p w14:paraId="4A10BA7B">
            <w:pPr>
              <w:adjustRightInd w:val="0"/>
              <w:snapToGrid w:val="0"/>
              <w:jc w:val="center"/>
              <w:rPr>
                <w:rFonts w:ascii="宋体" w:hAnsi="宋体" w:cs="宋体"/>
                <w:szCs w:val="21"/>
              </w:rPr>
            </w:pPr>
          </w:p>
        </w:tc>
        <w:tc>
          <w:tcPr>
            <w:tcW w:w="5748" w:type="dxa"/>
            <w:tcBorders>
              <w:top w:val="single" w:color="auto" w:sz="4" w:space="0"/>
              <w:left w:val="single" w:color="auto" w:sz="4" w:space="0"/>
              <w:bottom w:val="single" w:color="auto" w:sz="4" w:space="0"/>
              <w:right w:val="single" w:color="auto" w:sz="4" w:space="0"/>
            </w:tcBorders>
            <w:vAlign w:val="center"/>
          </w:tcPr>
          <w:p w14:paraId="0B09E1D1">
            <w:pPr>
              <w:pStyle w:val="18"/>
              <w:snapToGrid w:val="0"/>
              <w:jc w:val="both"/>
              <w:rPr>
                <w:rFonts w:hAnsi="宋体" w:eastAsia="宋体" w:cs="宋体"/>
                <w:sz w:val="21"/>
                <w:szCs w:val="21"/>
              </w:rPr>
            </w:pPr>
            <w:r>
              <w:rPr>
                <w:rFonts w:hint="eastAsia" w:hAnsi="宋体" w:eastAsia="宋体" w:cs="宋体"/>
                <w:sz w:val="21"/>
                <w:szCs w:val="21"/>
              </w:rPr>
              <w:t>协助街道定期随访监护情况较差、失学辍学、无户籍以及患病、残疾等重点儿童，协助提供监护指导、精神关怀、返校复学、落实户籍等关爱服务；对符合社会救助的儿童及家庭，告知具体内容及申请程序，并协助申请救助；协助开展弱势儿童青少年维权、权益保障服务。</w:t>
            </w:r>
          </w:p>
        </w:tc>
      </w:tr>
      <w:tr w14:paraId="5518A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19" w:hRule="atLeast"/>
          <w:jc w:val="center"/>
        </w:trPr>
        <w:tc>
          <w:tcPr>
            <w:tcW w:w="2000" w:type="dxa"/>
            <w:vMerge w:val="continue"/>
            <w:tcBorders>
              <w:top w:val="single" w:color="auto" w:sz="4" w:space="0"/>
              <w:left w:val="single" w:color="auto" w:sz="4" w:space="0"/>
              <w:bottom w:val="single" w:color="auto" w:sz="4" w:space="0"/>
              <w:right w:val="single" w:color="auto" w:sz="4" w:space="0"/>
            </w:tcBorders>
            <w:vAlign w:val="center"/>
          </w:tcPr>
          <w:p w14:paraId="24FCFA9C">
            <w:pPr>
              <w:adjustRightInd w:val="0"/>
              <w:snapToGrid w:val="0"/>
              <w:jc w:val="center"/>
              <w:rPr>
                <w:rFonts w:ascii="宋体" w:hAnsi="宋体" w:cs="宋体"/>
                <w:szCs w:val="21"/>
              </w:rPr>
            </w:pPr>
          </w:p>
        </w:tc>
        <w:tc>
          <w:tcPr>
            <w:tcW w:w="2514" w:type="dxa"/>
            <w:vMerge w:val="continue"/>
            <w:tcBorders>
              <w:top w:val="single" w:color="auto" w:sz="4" w:space="0"/>
              <w:left w:val="single" w:color="auto" w:sz="4" w:space="0"/>
              <w:bottom w:val="single" w:color="auto" w:sz="4" w:space="0"/>
              <w:right w:val="single" w:color="auto" w:sz="4" w:space="0"/>
            </w:tcBorders>
            <w:vAlign w:val="center"/>
          </w:tcPr>
          <w:p w14:paraId="30F93926">
            <w:pPr>
              <w:adjustRightInd w:val="0"/>
              <w:snapToGrid w:val="0"/>
              <w:jc w:val="center"/>
              <w:rPr>
                <w:rFonts w:ascii="宋体" w:hAnsi="宋体" w:cs="宋体"/>
                <w:szCs w:val="21"/>
              </w:rPr>
            </w:pPr>
          </w:p>
        </w:tc>
        <w:tc>
          <w:tcPr>
            <w:tcW w:w="5748" w:type="dxa"/>
            <w:tcBorders>
              <w:top w:val="single" w:color="auto" w:sz="4" w:space="0"/>
              <w:left w:val="single" w:color="auto" w:sz="4" w:space="0"/>
              <w:bottom w:val="single" w:color="auto" w:sz="4" w:space="0"/>
              <w:right w:val="single" w:color="auto" w:sz="4" w:space="0"/>
            </w:tcBorders>
            <w:vAlign w:val="center"/>
          </w:tcPr>
          <w:p w14:paraId="08FCA50C">
            <w:pPr>
              <w:pStyle w:val="18"/>
              <w:snapToGrid w:val="0"/>
              <w:jc w:val="both"/>
              <w:rPr>
                <w:rFonts w:hAnsi="宋体" w:eastAsia="宋体" w:cs="宋体"/>
                <w:sz w:val="21"/>
                <w:szCs w:val="21"/>
              </w:rPr>
            </w:pPr>
            <w:r>
              <w:rPr>
                <w:rFonts w:hint="eastAsia" w:hAnsi="宋体" w:eastAsia="宋体" w:cs="宋体"/>
                <w:sz w:val="21"/>
                <w:szCs w:val="21"/>
              </w:rPr>
              <w:t>开展未成年人保护政策宣传、困境儿童政策宣传、社会资源链接、社会救助、精神慰藉等关爱服务工作。</w:t>
            </w:r>
          </w:p>
        </w:tc>
      </w:tr>
      <w:tr w14:paraId="42F83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19" w:hRule="atLeast"/>
          <w:jc w:val="center"/>
        </w:trPr>
        <w:tc>
          <w:tcPr>
            <w:tcW w:w="2000" w:type="dxa"/>
            <w:vMerge w:val="continue"/>
            <w:tcBorders>
              <w:top w:val="single" w:color="auto" w:sz="4" w:space="0"/>
              <w:left w:val="single" w:color="auto" w:sz="4" w:space="0"/>
              <w:bottom w:val="single" w:color="auto" w:sz="4" w:space="0"/>
              <w:right w:val="single" w:color="auto" w:sz="4" w:space="0"/>
            </w:tcBorders>
            <w:vAlign w:val="center"/>
          </w:tcPr>
          <w:p w14:paraId="1EC7B712">
            <w:pPr>
              <w:adjustRightInd w:val="0"/>
              <w:snapToGrid w:val="0"/>
              <w:jc w:val="center"/>
              <w:rPr>
                <w:rFonts w:ascii="宋体" w:hAnsi="宋体" w:cs="宋体"/>
                <w:szCs w:val="21"/>
              </w:rPr>
            </w:pPr>
          </w:p>
        </w:tc>
        <w:tc>
          <w:tcPr>
            <w:tcW w:w="2514" w:type="dxa"/>
            <w:vMerge w:val="continue"/>
            <w:tcBorders>
              <w:top w:val="single" w:color="auto" w:sz="4" w:space="0"/>
              <w:left w:val="single" w:color="auto" w:sz="4" w:space="0"/>
              <w:bottom w:val="single" w:color="auto" w:sz="4" w:space="0"/>
              <w:right w:val="single" w:color="auto" w:sz="4" w:space="0"/>
            </w:tcBorders>
            <w:vAlign w:val="center"/>
          </w:tcPr>
          <w:p w14:paraId="551209FD">
            <w:pPr>
              <w:adjustRightInd w:val="0"/>
              <w:snapToGrid w:val="0"/>
              <w:jc w:val="center"/>
              <w:rPr>
                <w:rFonts w:ascii="宋体" w:hAnsi="宋体" w:cs="宋体"/>
                <w:szCs w:val="21"/>
              </w:rPr>
            </w:pPr>
          </w:p>
        </w:tc>
        <w:tc>
          <w:tcPr>
            <w:tcW w:w="5748" w:type="dxa"/>
            <w:tcBorders>
              <w:top w:val="single" w:color="auto" w:sz="4" w:space="0"/>
              <w:left w:val="single" w:color="auto" w:sz="4" w:space="0"/>
              <w:bottom w:val="single" w:color="auto" w:sz="4" w:space="0"/>
              <w:right w:val="single" w:color="auto" w:sz="4" w:space="0"/>
            </w:tcBorders>
            <w:vAlign w:val="center"/>
          </w:tcPr>
          <w:p w14:paraId="6DDBF54A">
            <w:pPr>
              <w:pStyle w:val="18"/>
              <w:snapToGrid w:val="0"/>
              <w:jc w:val="both"/>
              <w:rPr>
                <w:rFonts w:hAnsi="宋体" w:eastAsia="宋体" w:cs="宋体"/>
                <w:sz w:val="21"/>
                <w:szCs w:val="21"/>
              </w:rPr>
            </w:pPr>
            <w:r>
              <w:rPr>
                <w:rFonts w:hint="eastAsia" w:hAnsi="宋体" w:eastAsia="宋体" w:cs="宋体"/>
                <w:sz w:val="21"/>
                <w:szCs w:val="21"/>
              </w:rPr>
              <w:t>协助街道做好单亲家庭帮扶或关爱服务以及儿童青少年偏差行为矫正服务。</w:t>
            </w:r>
          </w:p>
        </w:tc>
      </w:tr>
      <w:tr w14:paraId="7B5C0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94" w:hRule="atLeast"/>
          <w:jc w:val="center"/>
        </w:trPr>
        <w:tc>
          <w:tcPr>
            <w:tcW w:w="2000" w:type="dxa"/>
            <w:vMerge w:val="continue"/>
            <w:tcBorders>
              <w:top w:val="single" w:color="auto" w:sz="4" w:space="0"/>
              <w:left w:val="single" w:color="auto" w:sz="4" w:space="0"/>
              <w:bottom w:val="single" w:color="auto" w:sz="4" w:space="0"/>
              <w:right w:val="single" w:color="auto" w:sz="4" w:space="0"/>
            </w:tcBorders>
            <w:vAlign w:val="center"/>
          </w:tcPr>
          <w:p w14:paraId="3D8CBF5D">
            <w:pPr>
              <w:adjustRightInd w:val="0"/>
              <w:snapToGrid w:val="0"/>
              <w:jc w:val="center"/>
              <w:rPr>
                <w:rFonts w:ascii="宋体" w:hAnsi="宋体" w:cs="宋体"/>
                <w:szCs w:val="21"/>
              </w:rPr>
            </w:pPr>
          </w:p>
        </w:tc>
        <w:tc>
          <w:tcPr>
            <w:tcW w:w="2514" w:type="dxa"/>
            <w:vMerge w:val="continue"/>
            <w:tcBorders>
              <w:top w:val="single" w:color="auto" w:sz="4" w:space="0"/>
              <w:left w:val="single" w:color="auto" w:sz="4" w:space="0"/>
              <w:bottom w:val="single" w:color="auto" w:sz="4" w:space="0"/>
              <w:right w:val="single" w:color="auto" w:sz="4" w:space="0"/>
            </w:tcBorders>
            <w:vAlign w:val="center"/>
          </w:tcPr>
          <w:p w14:paraId="2571C7A8">
            <w:pPr>
              <w:adjustRightInd w:val="0"/>
              <w:snapToGrid w:val="0"/>
              <w:jc w:val="center"/>
              <w:rPr>
                <w:rFonts w:ascii="宋体" w:hAnsi="宋体" w:cs="宋体"/>
                <w:szCs w:val="21"/>
              </w:rPr>
            </w:pPr>
          </w:p>
        </w:tc>
        <w:tc>
          <w:tcPr>
            <w:tcW w:w="5748" w:type="dxa"/>
            <w:tcBorders>
              <w:top w:val="single" w:color="auto" w:sz="4" w:space="0"/>
              <w:left w:val="single" w:color="auto" w:sz="4" w:space="0"/>
              <w:bottom w:val="single" w:color="auto" w:sz="4" w:space="0"/>
              <w:right w:val="single" w:color="auto" w:sz="4" w:space="0"/>
            </w:tcBorders>
            <w:vAlign w:val="center"/>
          </w:tcPr>
          <w:p w14:paraId="03CB21EF">
            <w:pPr>
              <w:pStyle w:val="18"/>
              <w:snapToGrid w:val="0"/>
              <w:jc w:val="both"/>
              <w:rPr>
                <w:rFonts w:hAnsi="宋体" w:eastAsia="宋体" w:cs="宋体"/>
                <w:sz w:val="21"/>
                <w:szCs w:val="21"/>
              </w:rPr>
            </w:pPr>
            <w:r>
              <w:rPr>
                <w:rFonts w:hint="eastAsia" w:hAnsi="宋体" w:eastAsia="宋体" w:cs="宋体"/>
                <w:sz w:val="21"/>
                <w:szCs w:val="21"/>
              </w:rPr>
              <w:t>协助街道做好反家暴服务，及时报告家庭暴力或疑似家庭暴力案件，辅助反家暴或妇女儿童服务领域的社工为家庭暴力受害人提供紧急救助、临时庇护、情绪疏导、精神关爱、资源链接和社会支持等服务。</w:t>
            </w:r>
          </w:p>
        </w:tc>
      </w:tr>
      <w:tr w14:paraId="6DEA9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2" w:hRule="atLeast"/>
          <w:jc w:val="center"/>
        </w:trPr>
        <w:tc>
          <w:tcPr>
            <w:tcW w:w="2000" w:type="dxa"/>
            <w:vMerge w:val="continue"/>
            <w:tcBorders>
              <w:left w:val="single" w:color="auto" w:sz="4" w:space="0"/>
              <w:bottom w:val="single" w:color="auto" w:sz="4" w:space="0"/>
              <w:right w:val="single" w:color="auto" w:sz="4" w:space="0"/>
            </w:tcBorders>
            <w:vAlign w:val="center"/>
          </w:tcPr>
          <w:p w14:paraId="21C12E95">
            <w:pPr>
              <w:adjustRightInd w:val="0"/>
              <w:snapToGrid w:val="0"/>
              <w:jc w:val="center"/>
              <w:rPr>
                <w:rFonts w:ascii="宋体" w:hAnsi="宋体" w:cs="宋体"/>
                <w:szCs w:val="21"/>
              </w:rPr>
            </w:pPr>
          </w:p>
        </w:tc>
        <w:tc>
          <w:tcPr>
            <w:tcW w:w="2514" w:type="dxa"/>
            <w:vMerge w:val="continue"/>
            <w:tcBorders>
              <w:left w:val="single" w:color="auto" w:sz="4" w:space="0"/>
              <w:bottom w:val="single" w:color="auto" w:sz="4" w:space="0"/>
              <w:right w:val="single" w:color="auto" w:sz="4" w:space="0"/>
            </w:tcBorders>
            <w:vAlign w:val="center"/>
          </w:tcPr>
          <w:p w14:paraId="65C97706">
            <w:pPr>
              <w:adjustRightInd w:val="0"/>
              <w:snapToGrid w:val="0"/>
              <w:jc w:val="center"/>
              <w:rPr>
                <w:rFonts w:ascii="宋体" w:hAnsi="宋体" w:cs="宋体"/>
                <w:szCs w:val="21"/>
              </w:rPr>
            </w:pPr>
          </w:p>
        </w:tc>
        <w:tc>
          <w:tcPr>
            <w:tcW w:w="5748" w:type="dxa"/>
            <w:tcBorders>
              <w:top w:val="single" w:color="auto" w:sz="4" w:space="0"/>
              <w:left w:val="single" w:color="auto" w:sz="4" w:space="0"/>
              <w:bottom w:val="single" w:color="auto" w:sz="4" w:space="0"/>
              <w:right w:val="single" w:color="auto" w:sz="4" w:space="0"/>
            </w:tcBorders>
            <w:vAlign w:val="center"/>
          </w:tcPr>
          <w:p w14:paraId="733FA178">
            <w:pPr>
              <w:adjustRightInd w:val="0"/>
              <w:snapToGrid w:val="0"/>
              <w:rPr>
                <w:rFonts w:ascii="宋体" w:hAnsi="宋体" w:cs="宋体"/>
                <w:kern w:val="0"/>
                <w:szCs w:val="21"/>
              </w:rPr>
            </w:pPr>
            <w:r>
              <w:rPr>
                <w:rFonts w:hint="eastAsia" w:ascii="宋体" w:hAnsi="宋体" w:cs="宋体"/>
                <w:kern w:val="0"/>
                <w:szCs w:val="21"/>
              </w:rPr>
              <w:t>协助街道、社区管理居民委员会儿童关爱服务场所，支持配合相关部门和社会力量开展关爱服务活动。</w:t>
            </w:r>
          </w:p>
        </w:tc>
      </w:tr>
      <w:tr w14:paraId="123CA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59" w:hRule="atLeast"/>
          <w:jc w:val="center"/>
        </w:trPr>
        <w:tc>
          <w:tcPr>
            <w:tcW w:w="2000" w:type="dxa"/>
            <w:vMerge w:val="restart"/>
            <w:tcBorders>
              <w:top w:val="single" w:color="auto" w:sz="4" w:space="0"/>
              <w:left w:val="single" w:color="auto" w:sz="4" w:space="0"/>
              <w:bottom w:val="single" w:color="auto" w:sz="4" w:space="0"/>
              <w:right w:val="single" w:color="auto" w:sz="4" w:space="0"/>
            </w:tcBorders>
            <w:vAlign w:val="center"/>
          </w:tcPr>
          <w:p w14:paraId="02451BA3">
            <w:pPr>
              <w:adjustRightInd w:val="0"/>
              <w:snapToGrid w:val="0"/>
              <w:jc w:val="center"/>
              <w:rPr>
                <w:rFonts w:ascii="宋体" w:hAnsi="宋体" w:cs="宋体"/>
                <w:b/>
                <w:kern w:val="0"/>
                <w:szCs w:val="21"/>
              </w:rPr>
            </w:pPr>
            <w:r>
              <w:rPr>
                <w:rFonts w:hint="eastAsia" w:ascii="宋体" w:hAnsi="宋体" w:cs="宋体"/>
                <w:kern w:val="0"/>
                <w:szCs w:val="21"/>
              </w:rPr>
              <w:t>儿童青少年成长支持服务</w:t>
            </w:r>
          </w:p>
        </w:tc>
        <w:tc>
          <w:tcPr>
            <w:tcW w:w="2514" w:type="dxa"/>
            <w:vMerge w:val="restart"/>
            <w:tcBorders>
              <w:top w:val="single" w:color="auto" w:sz="4" w:space="0"/>
              <w:left w:val="single" w:color="auto" w:sz="4" w:space="0"/>
              <w:bottom w:val="single" w:color="auto" w:sz="4" w:space="0"/>
              <w:right w:val="single" w:color="auto" w:sz="4" w:space="0"/>
            </w:tcBorders>
            <w:vAlign w:val="center"/>
          </w:tcPr>
          <w:p w14:paraId="5BEBE539">
            <w:pPr>
              <w:adjustRightInd w:val="0"/>
              <w:snapToGrid w:val="0"/>
              <w:jc w:val="center"/>
              <w:rPr>
                <w:rFonts w:ascii="宋体" w:hAnsi="宋体" w:cs="宋体"/>
                <w:b/>
                <w:kern w:val="0"/>
                <w:szCs w:val="21"/>
              </w:rPr>
            </w:pPr>
            <w:r>
              <w:rPr>
                <w:rFonts w:hint="eastAsia" w:ascii="宋体" w:hAnsi="宋体" w:cs="宋体"/>
                <w:kern w:val="0"/>
                <w:szCs w:val="21"/>
              </w:rPr>
              <w:t>促进儿童青少年身心健康成长</w:t>
            </w:r>
          </w:p>
        </w:tc>
        <w:tc>
          <w:tcPr>
            <w:tcW w:w="5748" w:type="dxa"/>
            <w:tcBorders>
              <w:top w:val="single" w:color="auto" w:sz="4" w:space="0"/>
              <w:left w:val="single" w:color="auto" w:sz="4" w:space="0"/>
              <w:bottom w:val="single" w:color="auto" w:sz="4" w:space="0"/>
              <w:right w:val="single" w:color="auto" w:sz="4" w:space="0"/>
            </w:tcBorders>
            <w:vAlign w:val="center"/>
          </w:tcPr>
          <w:p w14:paraId="2D27051B">
            <w:pPr>
              <w:pStyle w:val="18"/>
              <w:snapToGrid w:val="0"/>
              <w:jc w:val="both"/>
              <w:rPr>
                <w:rFonts w:hAnsi="宋体" w:eastAsia="宋体" w:cs="宋体"/>
                <w:sz w:val="21"/>
                <w:szCs w:val="21"/>
              </w:rPr>
            </w:pPr>
            <w:r>
              <w:rPr>
                <w:rFonts w:hint="eastAsia" w:hAnsi="宋体" w:eastAsia="宋体" w:cs="宋体"/>
                <w:sz w:val="21"/>
                <w:szCs w:val="21"/>
              </w:rPr>
              <w:t>开展青少年社会心理关爱服务，开展卫生健康与安全教育活动。建立儿童青少年朋辈群体互助与支持网络。</w:t>
            </w:r>
          </w:p>
        </w:tc>
      </w:tr>
      <w:tr w14:paraId="01B89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71" w:hRule="atLeast"/>
          <w:jc w:val="center"/>
        </w:trPr>
        <w:tc>
          <w:tcPr>
            <w:tcW w:w="2000" w:type="dxa"/>
            <w:vMerge w:val="continue"/>
            <w:tcBorders>
              <w:top w:val="single" w:color="auto" w:sz="4" w:space="0"/>
              <w:left w:val="single" w:color="auto" w:sz="4" w:space="0"/>
              <w:bottom w:val="single" w:color="auto" w:sz="4" w:space="0"/>
              <w:right w:val="single" w:color="auto" w:sz="4" w:space="0"/>
            </w:tcBorders>
            <w:vAlign w:val="center"/>
          </w:tcPr>
          <w:p w14:paraId="1093FCDC">
            <w:pPr>
              <w:adjustRightInd w:val="0"/>
              <w:snapToGrid w:val="0"/>
              <w:rPr>
                <w:rFonts w:ascii="宋体" w:hAnsi="宋体" w:cs="宋体"/>
                <w:szCs w:val="21"/>
              </w:rPr>
            </w:pPr>
          </w:p>
        </w:tc>
        <w:tc>
          <w:tcPr>
            <w:tcW w:w="2514" w:type="dxa"/>
            <w:vMerge w:val="continue"/>
            <w:tcBorders>
              <w:top w:val="single" w:color="auto" w:sz="4" w:space="0"/>
              <w:left w:val="single" w:color="auto" w:sz="4" w:space="0"/>
              <w:bottom w:val="single" w:color="auto" w:sz="4" w:space="0"/>
              <w:right w:val="single" w:color="auto" w:sz="4" w:space="0"/>
            </w:tcBorders>
            <w:vAlign w:val="center"/>
          </w:tcPr>
          <w:p w14:paraId="2BD034A7">
            <w:pPr>
              <w:adjustRightInd w:val="0"/>
              <w:snapToGrid w:val="0"/>
              <w:rPr>
                <w:rFonts w:ascii="宋体" w:hAnsi="宋体" w:cs="宋体"/>
                <w:szCs w:val="21"/>
              </w:rPr>
            </w:pPr>
          </w:p>
        </w:tc>
        <w:tc>
          <w:tcPr>
            <w:tcW w:w="5748" w:type="dxa"/>
            <w:tcBorders>
              <w:top w:val="single" w:color="auto" w:sz="4" w:space="0"/>
              <w:left w:val="single" w:color="auto" w:sz="4" w:space="0"/>
              <w:bottom w:val="single" w:color="auto" w:sz="4" w:space="0"/>
              <w:right w:val="single" w:color="auto" w:sz="4" w:space="0"/>
            </w:tcBorders>
            <w:vAlign w:val="center"/>
          </w:tcPr>
          <w:p w14:paraId="47352446">
            <w:pPr>
              <w:adjustRightInd w:val="0"/>
              <w:snapToGrid w:val="0"/>
              <w:rPr>
                <w:rFonts w:ascii="宋体" w:hAnsi="宋体" w:cs="宋体"/>
                <w:kern w:val="0"/>
                <w:szCs w:val="21"/>
              </w:rPr>
            </w:pPr>
            <w:r>
              <w:rPr>
                <w:rFonts w:hint="eastAsia" w:ascii="宋体" w:hAnsi="宋体" w:cs="宋体"/>
                <w:kern w:val="0"/>
                <w:szCs w:val="21"/>
              </w:rPr>
              <w:t>协助做好儿童青少年的社区照顾、资源链接，开展亲职教育、沟通技巧训练、家庭关系调适等方面的专业监护指导服务。</w:t>
            </w:r>
          </w:p>
        </w:tc>
      </w:tr>
      <w:tr w14:paraId="01479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274" w:hRule="atLeast"/>
          <w:jc w:val="center"/>
        </w:trPr>
        <w:tc>
          <w:tcPr>
            <w:tcW w:w="2000" w:type="dxa"/>
            <w:vMerge w:val="continue"/>
            <w:tcBorders>
              <w:top w:val="single" w:color="auto" w:sz="4" w:space="0"/>
              <w:left w:val="single" w:color="auto" w:sz="4" w:space="0"/>
              <w:bottom w:val="single" w:color="auto" w:sz="4" w:space="0"/>
              <w:right w:val="single" w:color="auto" w:sz="4" w:space="0"/>
            </w:tcBorders>
            <w:vAlign w:val="center"/>
          </w:tcPr>
          <w:p w14:paraId="0AFD2398">
            <w:pPr>
              <w:adjustRightInd w:val="0"/>
              <w:snapToGrid w:val="0"/>
              <w:rPr>
                <w:rFonts w:ascii="宋体" w:hAnsi="宋体" w:cs="宋体"/>
                <w:szCs w:val="21"/>
              </w:rPr>
            </w:pPr>
          </w:p>
        </w:tc>
        <w:tc>
          <w:tcPr>
            <w:tcW w:w="2514" w:type="dxa"/>
            <w:vMerge w:val="continue"/>
            <w:tcBorders>
              <w:top w:val="single" w:color="auto" w:sz="4" w:space="0"/>
              <w:left w:val="single" w:color="auto" w:sz="4" w:space="0"/>
              <w:bottom w:val="single" w:color="auto" w:sz="4" w:space="0"/>
              <w:right w:val="single" w:color="auto" w:sz="4" w:space="0"/>
            </w:tcBorders>
            <w:vAlign w:val="center"/>
          </w:tcPr>
          <w:p w14:paraId="59D786FE">
            <w:pPr>
              <w:adjustRightInd w:val="0"/>
              <w:snapToGrid w:val="0"/>
              <w:rPr>
                <w:rFonts w:ascii="宋体" w:hAnsi="宋体" w:cs="宋体"/>
                <w:szCs w:val="21"/>
              </w:rPr>
            </w:pPr>
          </w:p>
        </w:tc>
        <w:tc>
          <w:tcPr>
            <w:tcW w:w="5748" w:type="dxa"/>
            <w:tcBorders>
              <w:top w:val="single" w:color="auto" w:sz="4" w:space="0"/>
              <w:left w:val="single" w:color="auto" w:sz="4" w:space="0"/>
              <w:right w:val="single" w:color="auto" w:sz="4" w:space="0"/>
            </w:tcBorders>
            <w:vAlign w:val="center"/>
          </w:tcPr>
          <w:p w14:paraId="16B9B926">
            <w:pPr>
              <w:adjustRightInd w:val="0"/>
              <w:snapToGrid w:val="0"/>
              <w:rPr>
                <w:rFonts w:ascii="宋体" w:hAnsi="宋体" w:cs="宋体"/>
                <w:kern w:val="0"/>
                <w:szCs w:val="21"/>
              </w:rPr>
            </w:pPr>
            <w:r>
              <w:rPr>
                <w:rFonts w:hint="eastAsia" w:ascii="宋体" w:hAnsi="宋体" w:cs="宋体"/>
                <w:kern w:val="0"/>
                <w:szCs w:val="21"/>
              </w:rPr>
              <w:t>协助宣传未成年人保护方面的法律法规，协助街道未成年保护站等儿童保护机构做好儿童青少年权益保护。</w:t>
            </w:r>
          </w:p>
        </w:tc>
      </w:tr>
    </w:tbl>
    <w:p w14:paraId="71142290">
      <w:pPr>
        <w:pStyle w:val="2"/>
        <w:spacing w:line="240" w:lineRule="auto"/>
        <w:rPr>
          <w:rFonts w:eastAsiaTheme="minorEastAsia"/>
          <w:lang w:eastAsia="zh-CN"/>
        </w:rPr>
      </w:pPr>
    </w:p>
    <w:p w14:paraId="786A672C">
      <w:pPr>
        <w:adjustRightInd w:val="0"/>
        <w:snapToGrid w:val="0"/>
        <w:ind w:firstLine="420" w:firstLineChars="200"/>
        <w:outlineLvl w:val="0"/>
        <w:rPr>
          <w:rFonts w:asciiTheme="minorEastAsia" w:hAnsiTheme="minorEastAsia" w:eastAsiaTheme="minorEastAsia" w:cstheme="minorEastAsia"/>
          <w:color w:val="000000"/>
          <w:szCs w:val="21"/>
        </w:rPr>
      </w:pPr>
      <w:r>
        <w:rPr>
          <w:rFonts w:hint="eastAsia" w:asciiTheme="minorEastAsia" w:hAnsiTheme="minorEastAsia" w:eastAsiaTheme="minorEastAsia" w:cstheme="minorEastAsia"/>
          <w:color w:val="000000"/>
          <w:szCs w:val="21"/>
        </w:rPr>
        <w:t>4.2.3低保、低边、特困人群、残疾人服务和流浪乞讨救助服务、困境妇女服务</w:t>
      </w:r>
    </w:p>
    <w:p w14:paraId="0610490B">
      <w:pPr>
        <w:adjustRightInd w:val="0"/>
        <w:snapToGrid w:val="0"/>
        <w:ind w:firstLine="420" w:firstLineChars="200"/>
        <w:outlineLvl w:val="0"/>
        <w:rPr>
          <w:rFonts w:asciiTheme="minorEastAsia" w:hAnsiTheme="minorEastAsia" w:eastAsiaTheme="minorEastAsia" w:cstheme="minorEastAsia"/>
          <w:color w:val="000000"/>
          <w:szCs w:val="21"/>
        </w:rPr>
      </w:pPr>
      <w:r>
        <w:rPr>
          <w:rFonts w:hint="eastAsia" w:asciiTheme="minorEastAsia" w:hAnsiTheme="minorEastAsia" w:eastAsiaTheme="minorEastAsia" w:cstheme="minorEastAsia"/>
          <w:color w:val="000000"/>
          <w:szCs w:val="21"/>
        </w:rPr>
        <w:t>协助街道为低保、低边、特困人员，残疾人、流浪乞讨人员以及困境妇女等提供必要的救助服务，整合社区资源，提供物质、经济等援助，在制度性救助之外，发挥社区救助主体作用，开展能力提升、生机发展、关系调适、社会融入等服务。</w:t>
      </w:r>
    </w:p>
    <w:tbl>
      <w:tblPr>
        <w:tblStyle w:val="4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979"/>
        <w:gridCol w:w="2517"/>
        <w:gridCol w:w="5750"/>
      </w:tblGrid>
      <w:tr w14:paraId="20BF8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570" w:hRule="atLeast"/>
          <w:tblHeader/>
          <w:jc w:val="center"/>
        </w:trPr>
        <w:tc>
          <w:tcPr>
            <w:tcW w:w="1979" w:type="dxa"/>
            <w:tcBorders>
              <w:top w:val="single" w:color="auto" w:sz="4" w:space="0"/>
              <w:left w:val="single" w:color="auto" w:sz="4" w:space="0"/>
              <w:bottom w:val="single" w:color="auto" w:sz="4" w:space="0"/>
              <w:right w:val="single" w:color="auto" w:sz="4" w:space="0"/>
            </w:tcBorders>
            <w:vAlign w:val="center"/>
          </w:tcPr>
          <w:p w14:paraId="1EADEF2F">
            <w:pPr>
              <w:widowControl/>
              <w:jc w:val="center"/>
              <w:rPr>
                <w:rFonts w:ascii="宋体" w:hAnsi="宋体" w:cs="宋体"/>
                <w:b/>
                <w:kern w:val="0"/>
                <w:szCs w:val="21"/>
              </w:rPr>
            </w:pPr>
            <w:r>
              <w:rPr>
                <w:rFonts w:hint="eastAsia" w:ascii="宋体" w:hAnsi="宋体" w:cs="宋体"/>
                <w:b/>
                <w:kern w:val="0"/>
                <w:szCs w:val="21"/>
              </w:rPr>
              <w:t>服务大项</w:t>
            </w:r>
          </w:p>
        </w:tc>
        <w:tc>
          <w:tcPr>
            <w:tcW w:w="2517" w:type="dxa"/>
            <w:tcBorders>
              <w:top w:val="single" w:color="auto" w:sz="4" w:space="0"/>
              <w:left w:val="single" w:color="auto" w:sz="4" w:space="0"/>
              <w:bottom w:val="single" w:color="auto" w:sz="4" w:space="0"/>
              <w:right w:val="single" w:color="auto" w:sz="4" w:space="0"/>
            </w:tcBorders>
            <w:vAlign w:val="center"/>
          </w:tcPr>
          <w:p w14:paraId="16F4F20B">
            <w:pPr>
              <w:widowControl/>
              <w:jc w:val="center"/>
              <w:rPr>
                <w:rFonts w:ascii="宋体" w:hAnsi="宋体" w:cs="宋体"/>
                <w:b/>
                <w:kern w:val="0"/>
                <w:szCs w:val="21"/>
              </w:rPr>
            </w:pPr>
            <w:r>
              <w:rPr>
                <w:rFonts w:hint="eastAsia" w:ascii="宋体" w:hAnsi="宋体" w:cs="宋体"/>
                <w:b/>
                <w:kern w:val="0"/>
                <w:szCs w:val="21"/>
              </w:rPr>
              <w:t>服务要求</w:t>
            </w:r>
          </w:p>
        </w:tc>
        <w:tc>
          <w:tcPr>
            <w:tcW w:w="5750" w:type="dxa"/>
            <w:tcBorders>
              <w:top w:val="single" w:color="auto" w:sz="4" w:space="0"/>
              <w:left w:val="single" w:color="auto" w:sz="4" w:space="0"/>
              <w:bottom w:val="single" w:color="auto" w:sz="4" w:space="0"/>
              <w:right w:val="single" w:color="auto" w:sz="4" w:space="0"/>
            </w:tcBorders>
            <w:vAlign w:val="center"/>
          </w:tcPr>
          <w:p w14:paraId="72079DCA">
            <w:pPr>
              <w:widowControl/>
              <w:jc w:val="center"/>
              <w:rPr>
                <w:rFonts w:ascii="宋体" w:hAnsi="宋体" w:cs="宋体"/>
                <w:b/>
                <w:kern w:val="0"/>
                <w:szCs w:val="21"/>
              </w:rPr>
            </w:pPr>
            <w:r>
              <w:rPr>
                <w:rFonts w:hint="eastAsia" w:ascii="宋体" w:hAnsi="宋体" w:cs="宋体"/>
                <w:b/>
                <w:kern w:val="0"/>
                <w:szCs w:val="21"/>
              </w:rPr>
              <w:t>服务细项</w:t>
            </w:r>
          </w:p>
        </w:tc>
      </w:tr>
      <w:tr w14:paraId="2CDC4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1007" w:hRule="atLeast"/>
          <w:jc w:val="center"/>
        </w:trPr>
        <w:tc>
          <w:tcPr>
            <w:tcW w:w="1979" w:type="dxa"/>
            <w:vMerge w:val="restart"/>
            <w:tcBorders>
              <w:top w:val="single" w:color="auto" w:sz="4" w:space="0"/>
              <w:left w:val="single" w:color="auto" w:sz="4" w:space="0"/>
              <w:bottom w:val="single" w:color="auto" w:sz="4" w:space="0"/>
              <w:right w:val="single" w:color="auto" w:sz="4" w:space="0"/>
            </w:tcBorders>
            <w:vAlign w:val="center"/>
          </w:tcPr>
          <w:p w14:paraId="34A93E4C">
            <w:pPr>
              <w:adjustRightInd w:val="0"/>
              <w:snapToGrid w:val="0"/>
              <w:rPr>
                <w:rFonts w:ascii="宋体" w:hAnsi="宋体" w:cs="宋体"/>
                <w:kern w:val="0"/>
                <w:szCs w:val="21"/>
              </w:rPr>
            </w:pPr>
            <w:r>
              <w:rPr>
                <w:rFonts w:hint="eastAsia" w:ascii="宋体" w:hAnsi="宋体" w:cs="宋体"/>
                <w:spacing w:val="10"/>
                <w:kern w:val="0"/>
                <w:szCs w:val="21"/>
              </w:rPr>
              <w:t>低保、低边、特困人员，残疾人服务和流浪乞讨人员救助服务、困境妇女服务</w:t>
            </w:r>
          </w:p>
        </w:tc>
        <w:tc>
          <w:tcPr>
            <w:tcW w:w="2517" w:type="dxa"/>
            <w:vMerge w:val="restart"/>
            <w:tcBorders>
              <w:top w:val="single" w:color="auto" w:sz="4" w:space="0"/>
              <w:left w:val="single" w:color="auto" w:sz="4" w:space="0"/>
              <w:bottom w:val="single" w:color="auto" w:sz="4" w:space="0"/>
              <w:right w:val="single" w:color="auto" w:sz="4" w:space="0"/>
            </w:tcBorders>
            <w:vAlign w:val="center"/>
          </w:tcPr>
          <w:p w14:paraId="13CD7E6E">
            <w:pPr>
              <w:adjustRightInd w:val="0"/>
              <w:snapToGrid w:val="0"/>
              <w:rPr>
                <w:rFonts w:ascii="宋体" w:hAnsi="宋体" w:cs="宋体"/>
                <w:kern w:val="0"/>
                <w:szCs w:val="21"/>
              </w:rPr>
            </w:pPr>
            <w:r>
              <w:rPr>
                <w:rFonts w:hint="eastAsia" w:ascii="宋体" w:hAnsi="宋体" w:cs="宋体"/>
                <w:kern w:val="0"/>
                <w:szCs w:val="21"/>
              </w:rPr>
              <w:t>协助街道为</w:t>
            </w:r>
            <w:r>
              <w:rPr>
                <w:rFonts w:hint="eastAsia" w:ascii="宋体" w:hAnsi="宋体" w:cs="宋体"/>
                <w:spacing w:val="10"/>
                <w:kern w:val="0"/>
                <w:szCs w:val="21"/>
              </w:rPr>
              <w:t>低保、低边、特困人员，残疾人、流浪乞讨人员以及困境妇女等</w:t>
            </w:r>
            <w:r>
              <w:rPr>
                <w:rFonts w:hint="eastAsia" w:ascii="宋体" w:hAnsi="宋体" w:cs="宋体"/>
                <w:kern w:val="0"/>
                <w:szCs w:val="21"/>
              </w:rPr>
              <w:t>提供必要的救助服务，整合社区资源，提供物质、经济等援助，在制度性救助之外，发挥社区救助主体作用，开展能力提升、生机发展、关系调适、社会融入等服务</w:t>
            </w:r>
          </w:p>
        </w:tc>
        <w:tc>
          <w:tcPr>
            <w:tcW w:w="5750" w:type="dxa"/>
            <w:tcBorders>
              <w:top w:val="single" w:color="auto" w:sz="4" w:space="0"/>
              <w:left w:val="single" w:color="auto" w:sz="4" w:space="0"/>
              <w:bottom w:val="single" w:color="auto" w:sz="4" w:space="0"/>
              <w:right w:val="single" w:color="auto" w:sz="4" w:space="0"/>
            </w:tcBorders>
            <w:vAlign w:val="center"/>
          </w:tcPr>
          <w:p w14:paraId="1267C7B8">
            <w:pPr>
              <w:adjustRightInd w:val="0"/>
              <w:snapToGrid w:val="0"/>
              <w:rPr>
                <w:rFonts w:ascii="宋体" w:hAnsi="宋体" w:cs="宋体"/>
                <w:kern w:val="0"/>
                <w:szCs w:val="21"/>
              </w:rPr>
            </w:pPr>
            <w:r>
              <w:rPr>
                <w:rFonts w:hint="eastAsia" w:ascii="宋体" w:hAnsi="宋体" w:cs="宋体"/>
                <w:spacing w:val="10"/>
                <w:kern w:val="0"/>
                <w:szCs w:val="21"/>
              </w:rPr>
              <w:t>协助街道开展低保、低边、特困人员、残疾人、流浪乞讨人员和留守妇女核查等，协助社区（村）对困难群众进行入户家访，建立残疾人等困难群众和特殊群体台帐，策划救助帮扶方案，做到“一户一档”“一人一案”。</w:t>
            </w:r>
          </w:p>
        </w:tc>
      </w:tr>
      <w:tr w14:paraId="4CA09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73" w:hRule="atLeast"/>
          <w:jc w:val="center"/>
        </w:trPr>
        <w:tc>
          <w:tcPr>
            <w:tcW w:w="1979" w:type="dxa"/>
            <w:vMerge w:val="continue"/>
            <w:tcBorders>
              <w:top w:val="single" w:color="auto" w:sz="4" w:space="0"/>
              <w:left w:val="single" w:color="auto" w:sz="4" w:space="0"/>
              <w:bottom w:val="single" w:color="auto" w:sz="4" w:space="0"/>
              <w:right w:val="single" w:color="auto" w:sz="4" w:space="0"/>
            </w:tcBorders>
            <w:vAlign w:val="center"/>
          </w:tcPr>
          <w:p w14:paraId="40110AE1">
            <w:pPr>
              <w:adjustRightInd w:val="0"/>
              <w:snapToGrid w:val="0"/>
              <w:rPr>
                <w:rFonts w:ascii="宋体" w:hAnsi="宋体" w:cs="宋体"/>
                <w:szCs w:val="21"/>
              </w:rPr>
            </w:pPr>
          </w:p>
        </w:tc>
        <w:tc>
          <w:tcPr>
            <w:tcW w:w="2517" w:type="dxa"/>
            <w:vMerge w:val="continue"/>
            <w:tcBorders>
              <w:top w:val="single" w:color="auto" w:sz="4" w:space="0"/>
              <w:left w:val="single" w:color="auto" w:sz="4" w:space="0"/>
              <w:bottom w:val="single" w:color="auto" w:sz="4" w:space="0"/>
              <w:right w:val="single" w:color="auto" w:sz="4" w:space="0"/>
            </w:tcBorders>
            <w:vAlign w:val="center"/>
          </w:tcPr>
          <w:p w14:paraId="4E132D30">
            <w:pPr>
              <w:adjustRightInd w:val="0"/>
              <w:snapToGrid w:val="0"/>
              <w:rPr>
                <w:rFonts w:ascii="宋体" w:hAnsi="宋体" w:cs="宋体"/>
                <w:szCs w:val="21"/>
              </w:rPr>
            </w:pPr>
          </w:p>
        </w:tc>
        <w:tc>
          <w:tcPr>
            <w:tcW w:w="5750" w:type="dxa"/>
            <w:tcBorders>
              <w:top w:val="single" w:color="auto" w:sz="4" w:space="0"/>
              <w:left w:val="single" w:color="auto" w:sz="4" w:space="0"/>
              <w:bottom w:val="single" w:color="auto" w:sz="4" w:space="0"/>
              <w:right w:val="single" w:color="auto" w:sz="4" w:space="0"/>
            </w:tcBorders>
            <w:vAlign w:val="center"/>
          </w:tcPr>
          <w:p w14:paraId="7C460B2E">
            <w:pPr>
              <w:adjustRightInd w:val="0"/>
              <w:snapToGrid w:val="0"/>
              <w:rPr>
                <w:rFonts w:ascii="宋体" w:hAnsi="宋体" w:cs="宋体"/>
                <w:kern w:val="0"/>
                <w:szCs w:val="21"/>
              </w:rPr>
            </w:pPr>
            <w:r>
              <w:rPr>
                <w:rFonts w:hint="eastAsia" w:ascii="宋体" w:hAnsi="宋体" w:cs="宋体"/>
                <w:kern w:val="0"/>
                <w:szCs w:val="21"/>
              </w:rPr>
              <w:t>协助街道做好</w:t>
            </w:r>
            <w:r>
              <w:rPr>
                <w:rFonts w:hint="eastAsia" w:ascii="宋体" w:hAnsi="宋体" w:cs="宋体"/>
                <w:spacing w:val="10"/>
                <w:kern w:val="0"/>
                <w:szCs w:val="21"/>
              </w:rPr>
              <w:t>低保、低边、特困人群与残疾人</w:t>
            </w:r>
            <w:r>
              <w:rPr>
                <w:rFonts w:hint="eastAsia" w:ascii="宋体" w:hAnsi="宋体" w:cs="宋体"/>
                <w:bCs/>
                <w:kern w:val="0"/>
                <w:szCs w:val="21"/>
              </w:rPr>
              <w:t>入户家访，提供家计调查、社会资源链接、扶贫帮困、公益关爱等服务</w:t>
            </w:r>
            <w:r>
              <w:rPr>
                <w:rFonts w:hint="eastAsia" w:ascii="宋体" w:hAnsi="宋体" w:cs="宋体"/>
                <w:kern w:val="0"/>
                <w:szCs w:val="21"/>
              </w:rPr>
              <w:t>；同时协助社区上门为残疾人或缺乏自理能力的困难群众办理相关救助、补贴申请。</w:t>
            </w:r>
          </w:p>
        </w:tc>
      </w:tr>
      <w:tr w14:paraId="633A5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22" w:hRule="atLeast"/>
          <w:jc w:val="center"/>
        </w:trPr>
        <w:tc>
          <w:tcPr>
            <w:tcW w:w="1979" w:type="dxa"/>
            <w:vMerge w:val="continue"/>
            <w:tcBorders>
              <w:top w:val="single" w:color="auto" w:sz="4" w:space="0"/>
              <w:left w:val="single" w:color="auto" w:sz="4" w:space="0"/>
              <w:bottom w:val="single" w:color="auto" w:sz="4" w:space="0"/>
              <w:right w:val="single" w:color="auto" w:sz="4" w:space="0"/>
            </w:tcBorders>
            <w:vAlign w:val="center"/>
          </w:tcPr>
          <w:p w14:paraId="64492B00">
            <w:pPr>
              <w:adjustRightInd w:val="0"/>
              <w:snapToGrid w:val="0"/>
              <w:rPr>
                <w:rFonts w:ascii="宋体" w:hAnsi="宋体" w:cs="宋体"/>
                <w:szCs w:val="21"/>
              </w:rPr>
            </w:pPr>
          </w:p>
        </w:tc>
        <w:tc>
          <w:tcPr>
            <w:tcW w:w="2517" w:type="dxa"/>
            <w:vMerge w:val="continue"/>
            <w:tcBorders>
              <w:top w:val="single" w:color="auto" w:sz="4" w:space="0"/>
              <w:left w:val="single" w:color="auto" w:sz="4" w:space="0"/>
              <w:bottom w:val="single" w:color="auto" w:sz="4" w:space="0"/>
              <w:right w:val="single" w:color="auto" w:sz="4" w:space="0"/>
            </w:tcBorders>
            <w:vAlign w:val="center"/>
          </w:tcPr>
          <w:p w14:paraId="0FAAA6EF">
            <w:pPr>
              <w:adjustRightInd w:val="0"/>
              <w:snapToGrid w:val="0"/>
              <w:rPr>
                <w:rFonts w:ascii="宋体" w:hAnsi="宋体" w:cs="宋体"/>
                <w:szCs w:val="21"/>
              </w:rPr>
            </w:pPr>
          </w:p>
        </w:tc>
        <w:tc>
          <w:tcPr>
            <w:tcW w:w="5750" w:type="dxa"/>
            <w:tcBorders>
              <w:top w:val="single" w:color="auto" w:sz="4" w:space="0"/>
              <w:left w:val="single" w:color="auto" w:sz="4" w:space="0"/>
              <w:bottom w:val="single" w:color="auto" w:sz="4" w:space="0"/>
              <w:right w:val="single" w:color="auto" w:sz="4" w:space="0"/>
            </w:tcBorders>
            <w:vAlign w:val="center"/>
          </w:tcPr>
          <w:p w14:paraId="4A0F5F05">
            <w:pPr>
              <w:adjustRightInd w:val="0"/>
              <w:snapToGrid w:val="0"/>
              <w:rPr>
                <w:rFonts w:ascii="宋体" w:hAnsi="宋体" w:cs="宋体"/>
                <w:kern w:val="0"/>
                <w:szCs w:val="21"/>
              </w:rPr>
            </w:pPr>
            <w:r>
              <w:rPr>
                <w:rFonts w:hint="eastAsia" w:ascii="宋体" w:hAnsi="宋体" w:cs="宋体"/>
                <w:kern w:val="0"/>
                <w:szCs w:val="21"/>
              </w:rPr>
              <w:t>协助街道做好经济援助及紧急支援；协助社区发现社区内流浪乞讨人员，发放基本生活物资。</w:t>
            </w:r>
          </w:p>
        </w:tc>
      </w:tr>
      <w:tr w14:paraId="1DD09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90" w:hRule="atLeast"/>
          <w:jc w:val="center"/>
        </w:trPr>
        <w:tc>
          <w:tcPr>
            <w:tcW w:w="1979" w:type="dxa"/>
            <w:vMerge w:val="continue"/>
            <w:tcBorders>
              <w:top w:val="single" w:color="auto" w:sz="4" w:space="0"/>
              <w:left w:val="single" w:color="auto" w:sz="4" w:space="0"/>
              <w:bottom w:val="single" w:color="auto" w:sz="4" w:space="0"/>
              <w:right w:val="single" w:color="auto" w:sz="4" w:space="0"/>
            </w:tcBorders>
            <w:vAlign w:val="center"/>
          </w:tcPr>
          <w:p w14:paraId="0C32D96B">
            <w:pPr>
              <w:adjustRightInd w:val="0"/>
              <w:snapToGrid w:val="0"/>
              <w:rPr>
                <w:rFonts w:ascii="宋体" w:hAnsi="宋体" w:cs="宋体"/>
                <w:szCs w:val="21"/>
              </w:rPr>
            </w:pPr>
          </w:p>
        </w:tc>
        <w:tc>
          <w:tcPr>
            <w:tcW w:w="2517" w:type="dxa"/>
            <w:vMerge w:val="continue"/>
            <w:tcBorders>
              <w:top w:val="single" w:color="auto" w:sz="4" w:space="0"/>
              <w:left w:val="single" w:color="auto" w:sz="4" w:space="0"/>
              <w:bottom w:val="single" w:color="auto" w:sz="4" w:space="0"/>
              <w:right w:val="single" w:color="auto" w:sz="4" w:space="0"/>
            </w:tcBorders>
            <w:vAlign w:val="center"/>
          </w:tcPr>
          <w:p w14:paraId="57DAC401">
            <w:pPr>
              <w:adjustRightInd w:val="0"/>
              <w:snapToGrid w:val="0"/>
              <w:rPr>
                <w:rFonts w:ascii="宋体" w:hAnsi="宋体" w:cs="宋体"/>
                <w:szCs w:val="21"/>
              </w:rPr>
            </w:pPr>
          </w:p>
        </w:tc>
        <w:tc>
          <w:tcPr>
            <w:tcW w:w="5750" w:type="dxa"/>
            <w:tcBorders>
              <w:top w:val="single" w:color="auto" w:sz="4" w:space="0"/>
              <w:left w:val="single" w:color="auto" w:sz="4" w:space="0"/>
              <w:bottom w:val="single" w:color="auto" w:sz="4" w:space="0"/>
              <w:right w:val="single" w:color="auto" w:sz="4" w:space="0"/>
            </w:tcBorders>
            <w:vAlign w:val="center"/>
          </w:tcPr>
          <w:p w14:paraId="5E4B0AAD">
            <w:pPr>
              <w:adjustRightInd w:val="0"/>
              <w:snapToGrid w:val="0"/>
              <w:rPr>
                <w:rFonts w:ascii="宋体" w:hAnsi="宋体" w:cs="宋体"/>
                <w:kern w:val="0"/>
                <w:szCs w:val="21"/>
              </w:rPr>
            </w:pPr>
            <w:r>
              <w:rPr>
                <w:rFonts w:hint="eastAsia" w:ascii="宋体" w:hAnsi="宋体" w:cs="宋体"/>
                <w:kern w:val="0"/>
                <w:szCs w:val="21"/>
              </w:rPr>
              <w:t>社会救助政策宣传、讲解与咨询，组织开展社会支援服务。</w:t>
            </w:r>
          </w:p>
        </w:tc>
      </w:tr>
      <w:tr w14:paraId="30253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922" w:hRule="atLeast"/>
          <w:jc w:val="center"/>
        </w:trPr>
        <w:tc>
          <w:tcPr>
            <w:tcW w:w="1979" w:type="dxa"/>
            <w:vMerge w:val="continue"/>
            <w:tcBorders>
              <w:top w:val="single" w:color="auto" w:sz="4" w:space="0"/>
              <w:left w:val="single" w:color="auto" w:sz="4" w:space="0"/>
              <w:bottom w:val="single" w:color="auto" w:sz="4" w:space="0"/>
              <w:right w:val="single" w:color="auto" w:sz="4" w:space="0"/>
            </w:tcBorders>
            <w:vAlign w:val="center"/>
          </w:tcPr>
          <w:p w14:paraId="52A48351">
            <w:pPr>
              <w:adjustRightInd w:val="0"/>
              <w:snapToGrid w:val="0"/>
              <w:rPr>
                <w:rFonts w:ascii="宋体" w:hAnsi="宋体" w:cs="宋体"/>
                <w:szCs w:val="21"/>
              </w:rPr>
            </w:pPr>
          </w:p>
        </w:tc>
        <w:tc>
          <w:tcPr>
            <w:tcW w:w="2517" w:type="dxa"/>
            <w:vMerge w:val="continue"/>
            <w:tcBorders>
              <w:top w:val="single" w:color="auto" w:sz="4" w:space="0"/>
              <w:left w:val="single" w:color="auto" w:sz="4" w:space="0"/>
              <w:bottom w:val="single" w:color="auto" w:sz="4" w:space="0"/>
              <w:right w:val="single" w:color="auto" w:sz="4" w:space="0"/>
            </w:tcBorders>
            <w:vAlign w:val="center"/>
          </w:tcPr>
          <w:p w14:paraId="710B2394">
            <w:pPr>
              <w:adjustRightInd w:val="0"/>
              <w:snapToGrid w:val="0"/>
              <w:rPr>
                <w:rFonts w:ascii="宋体" w:hAnsi="宋体" w:cs="宋体"/>
                <w:szCs w:val="21"/>
              </w:rPr>
            </w:pPr>
          </w:p>
        </w:tc>
        <w:tc>
          <w:tcPr>
            <w:tcW w:w="5750" w:type="dxa"/>
            <w:tcBorders>
              <w:top w:val="single" w:color="auto" w:sz="4" w:space="0"/>
              <w:left w:val="single" w:color="auto" w:sz="4" w:space="0"/>
              <w:bottom w:val="single" w:color="auto" w:sz="4" w:space="0"/>
              <w:right w:val="single" w:color="auto" w:sz="4" w:space="0"/>
            </w:tcBorders>
            <w:vAlign w:val="center"/>
          </w:tcPr>
          <w:p w14:paraId="2DD5E6A7">
            <w:pPr>
              <w:adjustRightInd w:val="0"/>
              <w:snapToGrid w:val="0"/>
              <w:rPr>
                <w:rFonts w:ascii="宋体" w:hAnsi="宋体" w:cs="宋体"/>
                <w:kern w:val="0"/>
                <w:szCs w:val="21"/>
              </w:rPr>
            </w:pPr>
            <w:r>
              <w:rPr>
                <w:rFonts w:hint="eastAsia" w:ascii="宋体" w:hAnsi="宋体" w:cs="宋体"/>
                <w:kern w:val="0"/>
                <w:szCs w:val="21"/>
              </w:rPr>
              <w:t>家庭探访及个案管理服务，为低保、低边及特困人员建立救助服务档案，定期评估生活状况、身体状况等困难程度，实时更新基本信息和生活状态，制定服务计划；</w:t>
            </w:r>
            <w:r>
              <w:rPr>
                <w:rFonts w:hint="eastAsia" w:ascii="宋体" w:hAnsi="宋体" w:cs="宋体"/>
                <w:bCs/>
                <w:kern w:val="0"/>
                <w:szCs w:val="21"/>
              </w:rPr>
              <w:t>每周一次走访探视分散供养特困人员及</w:t>
            </w:r>
            <w:r>
              <w:rPr>
                <w:rFonts w:hint="eastAsia" w:ascii="宋体" w:hAnsi="宋体" w:cs="宋体"/>
                <w:kern w:val="0"/>
                <w:szCs w:val="21"/>
              </w:rPr>
              <w:t>贫困重度残疾人。</w:t>
            </w:r>
          </w:p>
        </w:tc>
      </w:tr>
      <w:tr w14:paraId="43C12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132" w:hRule="atLeast"/>
          <w:jc w:val="center"/>
        </w:trPr>
        <w:tc>
          <w:tcPr>
            <w:tcW w:w="1979" w:type="dxa"/>
            <w:vMerge w:val="continue"/>
            <w:tcBorders>
              <w:top w:val="single" w:color="auto" w:sz="4" w:space="0"/>
              <w:left w:val="single" w:color="auto" w:sz="4" w:space="0"/>
              <w:bottom w:val="single" w:color="auto" w:sz="4" w:space="0"/>
              <w:right w:val="single" w:color="auto" w:sz="4" w:space="0"/>
            </w:tcBorders>
            <w:vAlign w:val="center"/>
          </w:tcPr>
          <w:p w14:paraId="5C156EC0">
            <w:pPr>
              <w:adjustRightInd w:val="0"/>
              <w:snapToGrid w:val="0"/>
              <w:rPr>
                <w:rFonts w:ascii="宋体" w:hAnsi="宋体" w:cs="宋体"/>
                <w:szCs w:val="21"/>
              </w:rPr>
            </w:pPr>
          </w:p>
        </w:tc>
        <w:tc>
          <w:tcPr>
            <w:tcW w:w="2517" w:type="dxa"/>
            <w:vMerge w:val="continue"/>
            <w:tcBorders>
              <w:top w:val="single" w:color="auto" w:sz="4" w:space="0"/>
              <w:left w:val="single" w:color="auto" w:sz="4" w:space="0"/>
              <w:bottom w:val="single" w:color="auto" w:sz="4" w:space="0"/>
              <w:right w:val="single" w:color="auto" w:sz="4" w:space="0"/>
            </w:tcBorders>
            <w:vAlign w:val="center"/>
          </w:tcPr>
          <w:p w14:paraId="689C2A5E">
            <w:pPr>
              <w:adjustRightInd w:val="0"/>
              <w:snapToGrid w:val="0"/>
              <w:rPr>
                <w:rFonts w:ascii="宋体" w:hAnsi="宋体" w:cs="宋体"/>
                <w:szCs w:val="21"/>
              </w:rPr>
            </w:pPr>
          </w:p>
        </w:tc>
        <w:tc>
          <w:tcPr>
            <w:tcW w:w="5750" w:type="dxa"/>
            <w:tcBorders>
              <w:top w:val="single" w:color="auto" w:sz="4" w:space="0"/>
              <w:left w:val="single" w:color="auto" w:sz="4" w:space="0"/>
              <w:bottom w:val="single" w:color="auto" w:sz="4" w:space="0"/>
              <w:right w:val="single" w:color="auto" w:sz="4" w:space="0"/>
            </w:tcBorders>
            <w:vAlign w:val="center"/>
          </w:tcPr>
          <w:p w14:paraId="2D349543">
            <w:pPr>
              <w:adjustRightInd w:val="0"/>
              <w:snapToGrid w:val="0"/>
              <w:rPr>
                <w:rFonts w:ascii="宋体" w:hAnsi="宋体" w:cs="宋体"/>
                <w:kern w:val="0"/>
                <w:szCs w:val="21"/>
              </w:rPr>
            </w:pPr>
            <w:r>
              <w:rPr>
                <w:rFonts w:hint="eastAsia" w:ascii="宋体" w:hAnsi="宋体" w:cs="宋体"/>
                <w:kern w:val="0"/>
                <w:szCs w:val="21"/>
              </w:rPr>
              <w:t>失业困难人员就业技能培训与辅导。</w:t>
            </w:r>
          </w:p>
        </w:tc>
      </w:tr>
      <w:tr w14:paraId="215ED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336" w:hRule="atLeast"/>
          <w:jc w:val="center"/>
        </w:trPr>
        <w:tc>
          <w:tcPr>
            <w:tcW w:w="1979" w:type="dxa"/>
            <w:vMerge w:val="continue"/>
            <w:tcBorders>
              <w:top w:val="single" w:color="auto" w:sz="4" w:space="0"/>
              <w:left w:val="single" w:color="auto" w:sz="4" w:space="0"/>
              <w:bottom w:val="single" w:color="auto" w:sz="4" w:space="0"/>
              <w:right w:val="single" w:color="auto" w:sz="4" w:space="0"/>
            </w:tcBorders>
            <w:vAlign w:val="center"/>
          </w:tcPr>
          <w:p w14:paraId="1E368F26">
            <w:pPr>
              <w:adjustRightInd w:val="0"/>
              <w:snapToGrid w:val="0"/>
              <w:rPr>
                <w:rFonts w:ascii="宋体" w:hAnsi="宋体" w:cs="宋体"/>
                <w:szCs w:val="21"/>
              </w:rPr>
            </w:pPr>
          </w:p>
        </w:tc>
        <w:tc>
          <w:tcPr>
            <w:tcW w:w="2517" w:type="dxa"/>
            <w:vMerge w:val="continue"/>
            <w:tcBorders>
              <w:top w:val="single" w:color="auto" w:sz="4" w:space="0"/>
              <w:left w:val="single" w:color="auto" w:sz="4" w:space="0"/>
              <w:bottom w:val="single" w:color="auto" w:sz="4" w:space="0"/>
              <w:right w:val="single" w:color="auto" w:sz="4" w:space="0"/>
            </w:tcBorders>
            <w:vAlign w:val="center"/>
          </w:tcPr>
          <w:p w14:paraId="502F7D8F">
            <w:pPr>
              <w:adjustRightInd w:val="0"/>
              <w:snapToGrid w:val="0"/>
              <w:rPr>
                <w:rFonts w:ascii="宋体" w:hAnsi="宋体" w:cs="宋体"/>
                <w:szCs w:val="21"/>
              </w:rPr>
            </w:pPr>
          </w:p>
        </w:tc>
        <w:tc>
          <w:tcPr>
            <w:tcW w:w="5750" w:type="dxa"/>
            <w:tcBorders>
              <w:top w:val="single" w:color="auto" w:sz="4" w:space="0"/>
              <w:left w:val="single" w:color="auto" w:sz="4" w:space="0"/>
              <w:bottom w:val="single" w:color="auto" w:sz="4" w:space="0"/>
              <w:right w:val="single" w:color="auto" w:sz="4" w:space="0"/>
            </w:tcBorders>
            <w:vAlign w:val="center"/>
          </w:tcPr>
          <w:p w14:paraId="27C1D3BE">
            <w:pPr>
              <w:adjustRightInd w:val="0"/>
              <w:snapToGrid w:val="0"/>
              <w:rPr>
                <w:rFonts w:ascii="宋体" w:hAnsi="宋体" w:cs="宋体"/>
                <w:kern w:val="0"/>
                <w:szCs w:val="21"/>
              </w:rPr>
            </w:pPr>
            <w:r>
              <w:rPr>
                <w:rFonts w:hint="eastAsia" w:ascii="宋体" w:hAnsi="宋体" w:cs="宋体"/>
                <w:kern w:val="0"/>
                <w:szCs w:val="21"/>
              </w:rPr>
              <w:t>情绪疏导、心理抚慰、精神关爱及危机紧急干预。</w:t>
            </w:r>
          </w:p>
        </w:tc>
      </w:tr>
      <w:tr w14:paraId="7A8D8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90" w:hRule="atLeast"/>
          <w:jc w:val="center"/>
        </w:trPr>
        <w:tc>
          <w:tcPr>
            <w:tcW w:w="1979" w:type="dxa"/>
            <w:vMerge w:val="continue"/>
            <w:tcBorders>
              <w:top w:val="single" w:color="auto" w:sz="4" w:space="0"/>
              <w:left w:val="single" w:color="auto" w:sz="4" w:space="0"/>
              <w:bottom w:val="single" w:color="auto" w:sz="4" w:space="0"/>
              <w:right w:val="single" w:color="auto" w:sz="4" w:space="0"/>
            </w:tcBorders>
            <w:vAlign w:val="center"/>
          </w:tcPr>
          <w:p w14:paraId="499B026E">
            <w:pPr>
              <w:adjustRightInd w:val="0"/>
              <w:snapToGrid w:val="0"/>
              <w:rPr>
                <w:rFonts w:ascii="宋体" w:hAnsi="宋体" w:cs="宋体"/>
                <w:szCs w:val="21"/>
              </w:rPr>
            </w:pPr>
          </w:p>
        </w:tc>
        <w:tc>
          <w:tcPr>
            <w:tcW w:w="2517" w:type="dxa"/>
            <w:vMerge w:val="continue"/>
            <w:tcBorders>
              <w:top w:val="single" w:color="auto" w:sz="4" w:space="0"/>
              <w:left w:val="single" w:color="auto" w:sz="4" w:space="0"/>
              <w:bottom w:val="single" w:color="auto" w:sz="4" w:space="0"/>
              <w:right w:val="single" w:color="auto" w:sz="4" w:space="0"/>
            </w:tcBorders>
            <w:vAlign w:val="center"/>
          </w:tcPr>
          <w:p w14:paraId="4C04A541">
            <w:pPr>
              <w:adjustRightInd w:val="0"/>
              <w:snapToGrid w:val="0"/>
              <w:rPr>
                <w:rFonts w:ascii="宋体" w:hAnsi="宋体" w:cs="宋体"/>
                <w:szCs w:val="21"/>
              </w:rPr>
            </w:pPr>
          </w:p>
        </w:tc>
        <w:tc>
          <w:tcPr>
            <w:tcW w:w="5750" w:type="dxa"/>
            <w:tcBorders>
              <w:top w:val="single" w:color="auto" w:sz="4" w:space="0"/>
              <w:left w:val="single" w:color="auto" w:sz="4" w:space="0"/>
              <w:bottom w:val="single" w:color="auto" w:sz="4" w:space="0"/>
              <w:right w:val="single" w:color="auto" w:sz="4" w:space="0"/>
            </w:tcBorders>
            <w:vAlign w:val="center"/>
          </w:tcPr>
          <w:p w14:paraId="2AFCE3A3">
            <w:pPr>
              <w:adjustRightInd w:val="0"/>
              <w:snapToGrid w:val="0"/>
              <w:rPr>
                <w:rFonts w:ascii="宋体" w:hAnsi="宋体" w:cs="宋体"/>
                <w:kern w:val="0"/>
                <w:szCs w:val="21"/>
              </w:rPr>
            </w:pPr>
            <w:r>
              <w:rPr>
                <w:rFonts w:hint="eastAsia" w:ascii="宋体" w:hAnsi="宋体" w:cs="宋体"/>
                <w:kern w:val="0"/>
                <w:szCs w:val="21"/>
              </w:rPr>
              <w:t>精神病患者及其家属服务。</w:t>
            </w:r>
          </w:p>
        </w:tc>
      </w:tr>
      <w:tr w14:paraId="795FB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248" w:hRule="atLeast"/>
          <w:jc w:val="center"/>
        </w:trPr>
        <w:tc>
          <w:tcPr>
            <w:tcW w:w="1979" w:type="dxa"/>
            <w:vMerge w:val="continue"/>
            <w:tcBorders>
              <w:top w:val="single" w:color="auto" w:sz="4" w:space="0"/>
              <w:left w:val="single" w:color="auto" w:sz="4" w:space="0"/>
              <w:bottom w:val="single" w:color="auto" w:sz="4" w:space="0"/>
              <w:right w:val="single" w:color="auto" w:sz="4" w:space="0"/>
            </w:tcBorders>
            <w:vAlign w:val="center"/>
          </w:tcPr>
          <w:p w14:paraId="4C2CEC01">
            <w:pPr>
              <w:adjustRightInd w:val="0"/>
              <w:snapToGrid w:val="0"/>
              <w:rPr>
                <w:rFonts w:ascii="宋体" w:hAnsi="宋体" w:cs="宋体"/>
                <w:szCs w:val="21"/>
              </w:rPr>
            </w:pPr>
          </w:p>
        </w:tc>
        <w:tc>
          <w:tcPr>
            <w:tcW w:w="2517" w:type="dxa"/>
            <w:vMerge w:val="continue"/>
            <w:tcBorders>
              <w:top w:val="single" w:color="auto" w:sz="4" w:space="0"/>
              <w:left w:val="single" w:color="auto" w:sz="4" w:space="0"/>
              <w:bottom w:val="single" w:color="auto" w:sz="4" w:space="0"/>
              <w:right w:val="single" w:color="auto" w:sz="4" w:space="0"/>
            </w:tcBorders>
            <w:vAlign w:val="center"/>
          </w:tcPr>
          <w:p w14:paraId="62CB253E">
            <w:pPr>
              <w:adjustRightInd w:val="0"/>
              <w:snapToGrid w:val="0"/>
              <w:rPr>
                <w:rFonts w:ascii="宋体" w:hAnsi="宋体" w:cs="宋体"/>
                <w:szCs w:val="21"/>
              </w:rPr>
            </w:pPr>
          </w:p>
        </w:tc>
        <w:tc>
          <w:tcPr>
            <w:tcW w:w="5750" w:type="dxa"/>
            <w:tcBorders>
              <w:top w:val="single" w:color="auto" w:sz="4" w:space="0"/>
              <w:left w:val="single" w:color="auto" w:sz="4" w:space="0"/>
              <w:bottom w:val="single" w:color="auto" w:sz="4" w:space="0"/>
              <w:right w:val="single" w:color="auto" w:sz="4" w:space="0"/>
            </w:tcBorders>
            <w:vAlign w:val="center"/>
          </w:tcPr>
          <w:p w14:paraId="26528FDB">
            <w:pPr>
              <w:adjustRightInd w:val="0"/>
              <w:snapToGrid w:val="0"/>
              <w:rPr>
                <w:rFonts w:ascii="宋体" w:hAnsi="宋体" w:cs="宋体"/>
                <w:kern w:val="0"/>
                <w:szCs w:val="21"/>
              </w:rPr>
            </w:pPr>
            <w:r>
              <w:rPr>
                <w:rFonts w:hint="eastAsia" w:ascii="宋体" w:hAnsi="宋体" w:cs="宋体"/>
                <w:kern w:val="0"/>
                <w:szCs w:val="21"/>
              </w:rPr>
              <w:t>协助街道、社区建立群体资源支持系统，对社区社工点的特殊、重大个案开展精准服务，为有需要的个人提供转介服务。</w:t>
            </w:r>
          </w:p>
        </w:tc>
      </w:tr>
      <w:tr w14:paraId="4B14B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298" w:hRule="atLeast"/>
          <w:jc w:val="center"/>
        </w:trPr>
        <w:tc>
          <w:tcPr>
            <w:tcW w:w="1979" w:type="dxa"/>
            <w:vMerge w:val="continue"/>
            <w:tcBorders>
              <w:top w:val="single" w:color="auto" w:sz="4" w:space="0"/>
              <w:left w:val="single" w:color="auto" w:sz="4" w:space="0"/>
              <w:bottom w:val="single" w:color="auto" w:sz="4" w:space="0"/>
              <w:right w:val="single" w:color="auto" w:sz="4" w:space="0"/>
            </w:tcBorders>
            <w:vAlign w:val="center"/>
          </w:tcPr>
          <w:p w14:paraId="3DCD5208">
            <w:pPr>
              <w:adjustRightInd w:val="0"/>
              <w:snapToGrid w:val="0"/>
              <w:rPr>
                <w:rFonts w:ascii="宋体" w:hAnsi="宋体" w:cs="宋体"/>
                <w:szCs w:val="21"/>
              </w:rPr>
            </w:pPr>
          </w:p>
        </w:tc>
        <w:tc>
          <w:tcPr>
            <w:tcW w:w="2517" w:type="dxa"/>
            <w:vMerge w:val="continue"/>
            <w:tcBorders>
              <w:top w:val="single" w:color="auto" w:sz="4" w:space="0"/>
              <w:left w:val="single" w:color="auto" w:sz="4" w:space="0"/>
              <w:bottom w:val="single" w:color="auto" w:sz="4" w:space="0"/>
              <w:right w:val="single" w:color="auto" w:sz="4" w:space="0"/>
            </w:tcBorders>
            <w:vAlign w:val="center"/>
          </w:tcPr>
          <w:p w14:paraId="49DB639D">
            <w:pPr>
              <w:adjustRightInd w:val="0"/>
              <w:snapToGrid w:val="0"/>
              <w:rPr>
                <w:rFonts w:ascii="宋体" w:hAnsi="宋体" w:cs="宋体"/>
                <w:szCs w:val="21"/>
              </w:rPr>
            </w:pPr>
          </w:p>
        </w:tc>
        <w:tc>
          <w:tcPr>
            <w:tcW w:w="5750" w:type="dxa"/>
            <w:tcBorders>
              <w:top w:val="single" w:color="auto" w:sz="4" w:space="0"/>
              <w:left w:val="single" w:color="auto" w:sz="4" w:space="0"/>
              <w:bottom w:val="single" w:color="auto" w:sz="4" w:space="0"/>
              <w:right w:val="single" w:color="auto" w:sz="4" w:space="0"/>
            </w:tcBorders>
            <w:vAlign w:val="center"/>
          </w:tcPr>
          <w:p w14:paraId="2399DE0E">
            <w:pPr>
              <w:adjustRightInd w:val="0"/>
              <w:snapToGrid w:val="0"/>
              <w:rPr>
                <w:rFonts w:ascii="宋体" w:hAnsi="宋体" w:cs="宋体"/>
                <w:kern w:val="0"/>
                <w:szCs w:val="21"/>
              </w:rPr>
            </w:pPr>
            <w:r>
              <w:rPr>
                <w:rFonts w:hint="eastAsia" w:ascii="宋体" w:hAnsi="宋体" w:cs="宋体"/>
                <w:kern w:val="0"/>
                <w:szCs w:val="21"/>
              </w:rPr>
              <w:t>为特困人员及无自理能力人员提供生活照料、送医陪护链接服务资源。</w:t>
            </w:r>
          </w:p>
        </w:tc>
      </w:tr>
      <w:tr w14:paraId="7552A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90" w:hRule="atLeast"/>
          <w:jc w:val="center"/>
        </w:trPr>
        <w:tc>
          <w:tcPr>
            <w:tcW w:w="1979" w:type="dxa"/>
            <w:vMerge w:val="continue"/>
            <w:tcBorders>
              <w:top w:val="single" w:color="auto" w:sz="4" w:space="0"/>
              <w:left w:val="single" w:color="auto" w:sz="4" w:space="0"/>
              <w:bottom w:val="single" w:color="auto" w:sz="4" w:space="0"/>
              <w:right w:val="single" w:color="auto" w:sz="4" w:space="0"/>
            </w:tcBorders>
            <w:vAlign w:val="center"/>
          </w:tcPr>
          <w:p w14:paraId="5CCC93DC">
            <w:pPr>
              <w:adjustRightInd w:val="0"/>
              <w:snapToGrid w:val="0"/>
              <w:rPr>
                <w:rFonts w:ascii="宋体" w:hAnsi="宋体" w:cs="宋体"/>
                <w:szCs w:val="21"/>
              </w:rPr>
            </w:pPr>
          </w:p>
        </w:tc>
        <w:tc>
          <w:tcPr>
            <w:tcW w:w="2517" w:type="dxa"/>
            <w:vMerge w:val="continue"/>
            <w:tcBorders>
              <w:top w:val="single" w:color="auto" w:sz="4" w:space="0"/>
              <w:left w:val="single" w:color="auto" w:sz="4" w:space="0"/>
              <w:bottom w:val="single" w:color="auto" w:sz="4" w:space="0"/>
              <w:right w:val="single" w:color="auto" w:sz="4" w:space="0"/>
            </w:tcBorders>
            <w:vAlign w:val="center"/>
          </w:tcPr>
          <w:p w14:paraId="5CC8F8AC">
            <w:pPr>
              <w:adjustRightInd w:val="0"/>
              <w:snapToGrid w:val="0"/>
              <w:rPr>
                <w:rFonts w:ascii="宋体" w:hAnsi="宋体" w:cs="宋体"/>
                <w:szCs w:val="21"/>
              </w:rPr>
            </w:pPr>
          </w:p>
        </w:tc>
        <w:tc>
          <w:tcPr>
            <w:tcW w:w="5750" w:type="dxa"/>
            <w:tcBorders>
              <w:top w:val="single" w:color="auto" w:sz="4" w:space="0"/>
              <w:left w:val="single" w:color="auto" w:sz="4" w:space="0"/>
              <w:bottom w:val="single" w:color="auto" w:sz="4" w:space="0"/>
              <w:right w:val="single" w:color="auto" w:sz="4" w:space="0"/>
            </w:tcBorders>
            <w:vAlign w:val="center"/>
          </w:tcPr>
          <w:p w14:paraId="3CD5E39D">
            <w:pPr>
              <w:adjustRightInd w:val="0"/>
              <w:snapToGrid w:val="0"/>
              <w:rPr>
                <w:rFonts w:ascii="宋体" w:hAnsi="宋体" w:cs="宋体"/>
                <w:kern w:val="0"/>
                <w:szCs w:val="21"/>
              </w:rPr>
            </w:pPr>
            <w:r>
              <w:rPr>
                <w:rFonts w:hint="eastAsia" w:ascii="宋体" w:hAnsi="宋体" w:cs="宋体"/>
                <w:kern w:val="0"/>
                <w:szCs w:val="21"/>
              </w:rPr>
              <w:t>协助街道发现困难群体，协助排查监测贫困边缘人员家庭状况，引导、协助其及时提出救助申请并跟踪困难解决进度。</w:t>
            </w:r>
          </w:p>
        </w:tc>
      </w:tr>
      <w:tr w14:paraId="4DB17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116" w:hRule="atLeast"/>
          <w:jc w:val="center"/>
        </w:trPr>
        <w:tc>
          <w:tcPr>
            <w:tcW w:w="1979" w:type="dxa"/>
            <w:vMerge w:val="continue"/>
            <w:tcBorders>
              <w:top w:val="single" w:color="auto" w:sz="4" w:space="0"/>
              <w:left w:val="single" w:color="auto" w:sz="4" w:space="0"/>
              <w:bottom w:val="single" w:color="auto" w:sz="4" w:space="0"/>
              <w:right w:val="single" w:color="auto" w:sz="4" w:space="0"/>
            </w:tcBorders>
            <w:vAlign w:val="center"/>
          </w:tcPr>
          <w:p w14:paraId="34C2DB70">
            <w:pPr>
              <w:adjustRightInd w:val="0"/>
              <w:snapToGrid w:val="0"/>
              <w:rPr>
                <w:rFonts w:ascii="宋体" w:hAnsi="宋体" w:cs="宋体"/>
                <w:szCs w:val="21"/>
              </w:rPr>
            </w:pPr>
          </w:p>
        </w:tc>
        <w:tc>
          <w:tcPr>
            <w:tcW w:w="2517" w:type="dxa"/>
            <w:vMerge w:val="continue"/>
            <w:tcBorders>
              <w:top w:val="single" w:color="auto" w:sz="4" w:space="0"/>
              <w:left w:val="single" w:color="auto" w:sz="4" w:space="0"/>
              <w:bottom w:val="single" w:color="auto" w:sz="4" w:space="0"/>
              <w:right w:val="single" w:color="auto" w:sz="4" w:space="0"/>
            </w:tcBorders>
            <w:vAlign w:val="center"/>
          </w:tcPr>
          <w:p w14:paraId="04258D27">
            <w:pPr>
              <w:adjustRightInd w:val="0"/>
              <w:snapToGrid w:val="0"/>
              <w:rPr>
                <w:rFonts w:ascii="宋体" w:hAnsi="宋体" w:cs="宋体"/>
                <w:szCs w:val="21"/>
              </w:rPr>
            </w:pPr>
          </w:p>
        </w:tc>
        <w:tc>
          <w:tcPr>
            <w:tcW w:w="5750" w:type="dxa"/>
            <w:tcBorders>
              <w:top w:val="single" w:color="auto" w:sz="4" w:space="0"/>
              <w:left w:val="single" w:color="auto" w:sz="4" w:space="0"/>
              <w:bottom w:val="single" w:color="auto" w:sz="4" w:space="0"/>
              <w:right w:val="single" w:color="auto" w:sz="4" w:space="0"/>
            </w:tcBorders>
            <w:vAlign w:val="center"/>
          </w:tcPr>
          <w:p w14:paraId="26C0242F">
            <w:pPr>
              <w:adjustRightInd w:val="0"/>
              <w:snapToGrid w:val="0"/>
              <w:rPr>
                <w:rFonts w:ascii="宋体" w:hAnsi="宋体" w:cs="宋体"/>
                <w:kern w:val="0"/>
                <w:szCs w:val="21"/>
              </w:rPr>
            </w:pPr>
            <w:r>
              <w:rPr>
                <w:rFonts w:hint="eastAsia" w:ascii="宋体" w:hAnsi="宋体" w:cs="宋体"/>
                <w:kern w:val="0"/>
                <w:szCs w:val="21"/>
              </w:rPr>
              <w:t>家庭及社区支持网络建设，政策倡导与社区环境改善。</w:t>
            </w:r>
          </w:p>
        </w:tc>
      </w:tr>
    </w:tbl>
    <w:p w14:paraId="6A0228F5">
      <w:pPr>
        <w:pStyle w:val="2"/>
        <w:spacing w:line="240" w:lineRule="auto"/>
        <w:rPr>
          <w:lang w:eastAsia="zh-CN"/>
        </w:rPr>
      </w:pPr>
    </w:p>
    <w:p w14:paraId="073B2354">
      <w:pPr>
        <w:adjustRightInd w:val="0"/>
        <w:snapToGrid w:val="0"/>
        <w:ind w:firstLine="420" w:firstLineChars="200"/>
        <w:outlineLvl w:val="0"/>
        <w:rPr>
          <w:rFonts w:asciiTheme="minorEastAsia" w:hAnsiTheme="minorEastAsia" w:eastAsiaTheme="minorEastAsia" w:cstheme="minorEastAsia"/>
          <w:color w:val="000000"/>
          <w:szCs w:val="21"/>
        </w:rPr>
      </w:pPr>
      <w:r>
        <w:rPr>
          <w:rFonts w:hint="eastAsia" w:asciiTheme="minorEastAsia" w:hAnsiTheme="minorEastAsia" w:eastAsiaTheme="minorEastAsia" w:cstheme="minorEastAsia"/>
          <w:color w:val="000000"/>
          <w:szCs w:val="21"/>
        </w:rPr>
        <w:t>4.3社区治理项目（基础）</w:t>
      </w:r>
    </w:p>
    <w:p w14:paraId="34F28959">
      <w:pPr>
        <w:adjustRightInd w:val="0"/>
        <w:snapToGrid w:val="0"/>
        <w:ind w:firstLine="420" w:firstLineChars="200"/>
        <w:outlineLvl w:val="0"/>
        <w:rPr>
          <w:rFonts w:asciiTheme="minorEastAsia" w:hAnsiTheme="minorEastAsia" w:eastAsiaTheme="minorEastAsia" w:cstheme="minorEastAsia"/>
          <w:color w:val="000000"/>
          <w:szCs w:val="21"/>
        </w:rPr>
      </w:pPr>
      <w:r>
        <w:rPr>
          <w:rFonts w:hint="eastAsia" w:asciiTheme="minorEastAsia" w:hAnsiTheme="minorEastAsia" w:eastAsiaTheme="minorEastAsia" w:cstheme="minorEastAsia"/>
          <w:color w:val="000000"/>
          <w:szCs w:val="21"/>
        </w:rPr>
        <w:t>4.3.1扩大社区参与服务</w:t>
      </w:r>
    </w:p>
    <w:p w14:paraId="106F0858">
      <w:pPr>
        <w:adjustRightInd w:val="0"/>
        <w:snapToGrid w:val="0"/>
        <w:ind w:firstLine="420" w:firstLineChars="200"/>
        <w:outlineLvl w:val="0"/>
        <w:rPr>
          <w:rFonts w:asciiTheme="minorEastAsia" w:hAnsiTheme="minorEastAsia" w:eastAsiaTheme="minorEastAsia" w:cstheme="minorEastAsia"/>
          <w:color w:val="000000"/>
          <w:szCs w:val="21"/>
        </w:rPr>
      </w:pPr>
      <w:r>
        <w:rPr>
          <w:rFonts w:hint="eastAsia" w:asciiTheme="minorEastAsia" w:hAnsiTheme="minorEastAsia" w:eastAsiaTheme="minorEastAsia" w:cstheme="minorEastAsia"/>
          <w:color w:val="000000"/>
          <w:szCs w:val="21"/>
        </w:rPr>
        <w:t>扩大社区参与渠道和途径，协助社区党组织和社区居民自治组织，开展社区需求调查，推动服务项目和活动落实。不断激发社区居民参与社区事务协商的热情，提升参与协商议事的能力。建立社区志愿者队伍，鼓励居民积极参与志愿服务。</w:t>
      </w:r>
    </w:p>
    <w:tbl>
      <w:tblPr>
        <w:tblStyle w:val="4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929"/>
        <w:gridCol w:w="2550"/>
        <w:gridCol w:w="5713"/>
      </w:tblGrid>
      <w:tr w14:paraId="222D6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19" w:hRule="atLeast"/>
          <w:tblHeader/>
          <w:jc w:val="center"/>
        </w:trPr>
        <w:tc>
          <w:tcPr>
            <w:tcW w:w="1929" w:type="dxa"/>
            <w:tcBorders>
              <w:top w:val="single" w:color="auto" w:sz="4" w:space="0"/>
              <w:left w:val="single" w:color="auto" w:sz="4" w:space="0"/>
              <w:bottom w:val="single" w:color="auto" w:sz="4" w:space="0"/>
              <w:right w:val="single" w:color="auto" w:sz="4" w:space="0"/>
            </w:tcBorders>
            <w:vAlign w:val="center"/>
          </w:tcPr>
          <w:p w14:paraId="7181F49E">
            <w:pPr>
              <w:widowControl/>
              <w:jc w:val="center"/>
              <w:rPr>
                <w:rFonts w:ascii="宋体" w:hAnsi="宋体" w:cs="宋体"/>
                <w:b/>
                <w:kern w:val="0"/>
                <w:szCs w:val="21"/>
              </w:rPr>
            </w:pPr>
            <w:r>
              <w:rPr>
                <w:rFonts w:hint="eastAsia" w:ascii="宋体" w:hAnsi="宋体" w:cs="宋体"/>
                <w:b/>
                <w:kern w:val="0"/>
                <w:szCs w:val="21"/>
              </w:rPr>
              <w:t>服务大项</w:t>
            </w:r>
          </w:p>
        </w:tc>
        <w:tc>
          <w:tcPr>
            <w:tcW w:w="2550" w:type="dxa"/>
            <w:tcBorders>
              <w:top w:val="single" w:color="auto" w:sz="4" w:space="0"/>
              <w:left w:val="single" w:color="auto" w:sz="4" w:space="0"/>
              <w:bottom w:val="single" w:color="auto" w:sz="4" w:space="0"/>
              <w:right w:val="single" w:color="auto" w:sz="4" w:space="0"/>
            </w:tcBorders>
            <w:vAlign w:val="center"/>
          </w:tcPr>
          <w:p w14:paraId="318795C2">
            <w:pPr>
              <w:widowControl/>
              <w:jc w:val="center"/>
              <w:rPr>
                <w:rFonts w:ascii="宋体" w:hAnsi="宋体" w:cs="宋体"/>
                <w:b/>
                <w:kern w:val="0"/>
                <w:szCs w:val="21"/>
              </w:rPr>
            </w:pPr>
            <w:r>
              <w:rPr>
                <w:rFonts w:hint="eastAsia" w:ascii="宋体" w:hAnsi="宋体" w:cs="宋体"/>
                <w:b/>
                <w:kern w:val="0"/>
                <w:szCs w:val="21"/>
              </w:rPr>
              <w:t>服务要求</w:t>
            </w:r>
          </w:p>
        </w:tc>
        <w:tc>
          <w:tcPr>
            <w:tcW w:w="5713" w:type="dxa"/>
            <w:tcBorders>
              <w:top w:val="single" w:color="auto" w:sz="4" w:space="0"/>
              <w:left w:val="single" w:color="auto" w:sz="4" w:space="0"/>
              <w:bottom w:val="single" w:color="auto" w:sz="4" w:space="0"/>
              <w:right w:val="single" w:color="auto" w:sz="4" w:space="0"/>
            </w:tcBorders>
            <w:vAlign w:val="center"/>
          </w:tcPr>
          <w:p w14:paraId="4683A6CA">
            <w:pPr>
              <w:widowControl/>
              <w:jc w:val="center"/>
              <w:rPr>
                <w:rFonts w:ascii="宋体" w:hAnsi="宋体" w:cs="宋体"/>
                <w:b/>
                <w:kern w:val="0"/>
                <w:szCs w:val="21"/>
              </w:rPr>
            </w:pPr>
            <w:r>
              <w:rPr>
                <w:rFonts w:hint="eastAsia" w:ascii="宋体" w:hAnsi="宋体" w:cs="宋体"/>
                <w:b/>
                <w:kern w:val="0"/>
                <w:szCs w:val="21"/>
              </w:rPr>
              <w:t>服务细项</w:t>
            </w:r>
          </w:p>
        </w:tc>
      </w:tr>
      <w:tr w14:paraId="639D9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jc w:val="center"/>
        </w:trPr>
        <w:tc>
          <w:tcPr>
            <w:tcW w:w="1929" w:type="dxa"/>
            <w:vMerge w:val="restart"/>
            <w:tcBorders>
              <w:top w:val="single" w:color="auto" w:sz="4" w:space="0"/>
              <w:left w:val="single" w:color="auto" w:sz="4" w:space="0"/>
              <w:right w:val="single" w:color="auto" w:sz="4" w:space="0"/>
            </w:tcBorders>
            <w:vAlign w:val="center"/>
          </w:tcPr>
          <w:p w14:paraId="17033055">
            <w:pPr>
              <w:adjustRightInd w:val="0"/>
              <w:snapToGrid w:val="0"/>
              <w:jc w:val="center"/>
              <w:rPr>
                <w:rFonts w:ascii="宋体" w:hAnsi="宋体" w:cs="宋体"/>
                <w:bCs/>
                <w:kern w:val="0"/>
                <w:szCs w:val="21"/>
              </w:rPr>
            </w:pPr>
            <w:r>
              <w:rPr>
                <w:rFonts w:hint="eastAsia" w:ascii="宋体" w:hAnsi="宋体" w:cs="宋体"/>
                <w:bCs/>
                <w:kern w:val="0"/>
                <w:szCs w:val="21"/>
              </w:rPr>
              <w:t>扩大社区参与渠道和途径</w:t>
            </w:r>
          </w:p>
        </w:tc>
        <w:tc>
          <w:tcPr>
            <w:tcW w:w="2550" w:type="dxa"/>
            <w:vMerge w:val="restart"/>
            <w:tcBorders>
              <w:top w:val="single" w:color="auto" w:sz="4" w:space="0"/>
              <w:left w:val="single" w:color="auto" w:sz="4" w:space="0"/>
              <w:right w:val="single" w:color="auto" w:sz="4" w:space="0"/>
            </w:tcBorders>
            <w:vAlign w:val="center"/>
          </w:tcPr>
          <w:p w14:paraId="76FB5841">
            <w:pPr>
              <w:adjustRightInd w:val="0"/>
              <w:snapToGrid w:val="0"/>
              <w:jc w:val="center"/>
              <w:rPr>
                <w:rFonts w:ascii="宋体" w:hAnsi="宋体" w:cs="宋体"/>
                <w:bCs/>
                <w:kern w:val="0"/>
                <w:szCs w:val="21"/>
              </w:rPr>
            </w:pPr>
            <w:r>
              <w:rPr>
                <w:rFonts w:hint="eastAsia" w:ascii="宋体" w:hAnsi="宋体" w:cs="宋体"/>
                <w:bCs/>
                <w:kern w:val="0"/>
                <w:szCs w:val="21"/>
              </w:rPr>
              <w:t>协助社区党组织和社区居民自治组织，开展社区需求调查，推动服务项目和活动落实。不断激发社区居民参与社区事务协商的热情，提升参与协商议事的能力。</w:t>
            </w:r>
            <w:r>
              <w:rPr>
                <w:rFonts w:hint="eastAsia" w:ascii="宋体" w:hAnsi="宋体" w:cs="宋体"/>
                <w:kern w:val="0"/>
                <w:szCs w:val="21"/>
              </w:rPr>
              <w:t>建立社区志愿者队伍，鼓励居民积极参与志愿服务</w:t>
            </w:r>
          </w:p>
        </w:tc>
        <w:tc>
          <w:tcPr>
            <w:tcW w:w="5713" w:type="dxa"/>
            <w:tcBorders>
              <w:top w:val="single" w:color="auto" w:sz="4" w:space="0"/>
              <w:left w:val="single" w:color="auto" w:sz="4" w:space="0"/>
              <w:bottom w:val="single" w:color="auto" w:sz="4" w:space="0"/>
              <w:right w:val="single" w:color="auto" w:sz="4" w:space="0"/>
            </w:tcBorders>
            <w:vAlign w:val="center"/>
          </w:tcPr>
          <w:p w14:paraId="6A7EE561">
            <w:pPr>
              <w:adjustRightInd w:val="0"/>
              <w:snapToGrid w:val="0"/>
              <w:rPr>
                <w:rFonts w:ascii="宋体" w:hAnsi="宋体" w:cs="宋体"/>
                <w:bCs/>
                <w:kern w:val="0"/>
                <w:szCs w:val="21"/>
              </w:rPr>
            </w:pPr>
            <w:r>
              <w:rPr>
                <w:rFonts w:hint="eastAsia" w:ascii="宋体" w:hAnsi="宋体" w:cs="宋体"/>
                <w:bCs/>
                <w:kern w:val="0"/>
                <w:szCs w:val="21"/>
              </w:rPr>
              <w:t>组织开展社区需求调查，策划、执行、评估社区服务项目。</w:t>
            </w:r>
          </w:p>
        </w:tc>
      </w:tr>
      <w:tr w14:paraId="3FB67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82" w:hRule="atLeast"/>
          <w:jc w:val="center"/>
        </w:trPr>
        <w:tc>
          <w:tcPr>
            <w:tcW w:w="1929" w:type="dxa"/>
            <w:vMerge w:val="continue"/>
            <w:tcBorders>
              <w:left w:val="single" w:color="auto" w:sz="4" w:space="0"/>
              <w:right w:val="single" w:color="auto" w:sz="4" w:space="0"/>
            </w:tcBorders>
            <w:vAlign w:val="center"/>
          </w:tcPr>
          <w:p w14:paraId="00E3C043">
            <w:pPr>
              <w:adjustRightInd w:val="0"/>
              <w:snapToGrid w:val="0"/>
              <w:rPr>
                <w:rFonts w:ascii="宋体" w:hAnsi="宋体" w:cs="宋体"/>
                <w:szCs w:val="21"/>
              </w:rPr>
            </w:pPr>
          </w:p>
        </w:tc>
        <w:tc>
          <w:tcPr>
            <w:tcW w:w="2550" w:type="dxa"/>
            <w:vMerge w:val="continue"/>
            <w:tcBorders>
              <w:left w:val="single" w:color="auto" w:sz="4" w:space="0"/>
              <w:right w:val="single" w:color="auto" w:sz="4" w:space="0"/>
            </w:tcBorders>
            <w:vAlign w:val="center"/>
          </w:tcPr>
          <w:p w14:paraId="6DD5FFE1">
            <w:pPr>
              <w:adjustRightInd w:val="0"/>
              <w:snapToGrid w:val="0"/>
              <w:rPr>
                <w:rFonts w:ascii="宋体" w:hAnsi="宋体" w:cs="宋体"/>
                <w:szCs w:val="21"/>
              </w:rPr>
            </w:pPr>
          </w:p>
        </w:tc>
        <w:tc>
          <w:tcPr>
            <w:tcW w:w="5713" w:type="dxa"/>
            <w:tcBorders>
              <w:top w:val="single" w:color="auto" w:sz="4" w:space="0"/>
              <w:left w:val="single" w:color="auto" w:sz="4" w:space="0"/>
              <w:bottom w:val="single" w:color="auto" w:sz="4" w:space="0"/>
              <w:right w:val="single" w:color="auto" w:sz="4" w:space="0"/>
            </w:tcBorders>
            <w:vAlign w:val="center"/>
          </w:tcPr>
          <w:p w14:paraId="7E674F2B">
            <w:pPr>
              <w:adjustRightInd w:val="0"/>
              <w:snapToGrid w:val="0"/>
              <w:rPr>
                <w:rFonts w:ascii="宋体" w:hAnsi="宋体" w:cs="宋体"/>
                <w:bCs/>
                <w:kern w:val="0"/>
                <w:szCs w:val="21"/>
              </w:rPr>
            </w:pPr>
            <w:r>
              <w:rPr>
                <w:rFonts w:hint="eastAsia" w:ascii="宋体" w:hAnsi="宋体" w:cs="宋体"/>
                <w:bCs/>
                <w:kern w:val="0"/>
                <w:szCs w:val="21"/>
              </w:rPr>
              <w:t>联同社区居委会开展“进楼入户”活动，动员和组织社区居民参与社区协商。</w:t>
            </w:r>
          </w:p>
        </w:tc>
      </w:tr>
      <w:tr w14:paraId="6E496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65" w:hRule="atLeast"/>
          <w:jc w:val="center"/>
        </w:trPr>
        <w:tc>
          <w:tcPr>
            <w:tcW w:w="1929" w:type="dxa"/>
            <w:vMerge w:val="continue"/>
            <w:tcBorders>
              <w:left w:val="single" w:color="auto" w:sz="4" w:space="0"/>
              <w:right w:val="single" w:color="auto" w:sz="4" w:space="0"/>
            </w:tcBorders>
            <w:vAlign w:val="center"/>
          </w:tcPr>
          <w:p w14:paraId="6898F160">
            <w:pPr>
              <w:adjustRightInd w:val="0"/>
              <w:snapToGrid w:val="0"/>
              <w:rPr>
                <w:rFonts w:ascii="宋体" w:hAnsi="宋体" w:cs="宋体"/>
                <w:szCs w:val="21"/>
              </w:rPr>
            </w:pPr>
          </w:p>
        </w:tc>
        <w:tc>
          <w:tcPr>
            <w:tcW w:w="2550" w:type="dxa"/>
            <w:vMerge w:val="continue"/>
            <w:tcBorders>
              <w:left w:val="single" w:color="auto" w:sz="4" w:space="0"/>
              <w:right w:val="single" w:color="auto" w:sz="4" w:space="0"/>
            </w:tcBorders>
            <w:vAlign w:val="center"/>
          </w:tcPr>
          <w:p w14:paraId="404FDBAD">
            <w:pPr>
              <w:adjustRightInd w:val="0"/>
              <w:snapToGrid w:val="0"/>
              <w:rPr>
                <w:rFonts w:ascii="宋体" w:hAnsi="宋体" w:cs="宋体"/>
                <w:szCs w:val="21"/>
              </w:rPr>
            </w:pPr>
          </w:p>
        </w:tc>
        <w:tc>
          <w:tcPr>
            <w:tcW w:w="5713" w:type="dxa"/>
            <w:tcBorders>
              <w:top w:val="single" w:color="auto" w:sz="4" w:space="0"/>
              <w:left w:val="single" w:color="auto" w:sz="4" w:space="0"/>
              <w:bottom w:val="single" w:color="auto" w:sz="4" w:space="0"/>
              <w:right w:val="single" w:color="auto" w:sz="4" w:space="0"/>
            </w:tcBorders>
            <w:vAlign w:val="center"/>
          </w:tcPr>
          <w:p w14:paraId="6B2B5012">
            <w:pPr>
              <w:adjustRightInd w:val="0"/>
              <w:snapToGrid w:val="0"/>
              <w:rPr>
                <w:rFonts w:ascii="宋体" w:hAnsi="宋体" w:cs="宋体"/>
                <w:bCs/>
                <w:kern w:val="0"/>
                <w:szCs w:val="21"/>
              </w:rPr>
            </w:pPr>
            <w:r>
              <w:rPr>
                <w:rFonts w:hint="eastAsia" w:ascii="宋体" w:hAnsi="宋体" w:cs="宋体"/>
                <w:bCs/>
                <w:kern w:val="0"/>
                <w:szCs w:val="21"/>
              </w:rPr>
              <w:t>培养社区居民参与社区公共事务的意愿、提升参与能力、拓展参与空间、建立参与机制。</w:t>
            </w:r>
          </w:p>
        </w:tc>
      </w:tr>
      <w:tr w14:paraId="3A628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81" w:hRule="atLeast"/>
          <w:jc w:val="center"/>
        </w:trPr>
        <w:tc>
          <w:tcPr>
            <w:tcW w:w="1929" w:type="dxa"/>
            <w:vMerge w:val="continue"/>
            <w:tcBorders>
              <w:left w:val="single" w:color="auto" w:sz="4" w:space="0"/>
              <w:right w:val="single" w:color="auto" w:sz="4" w:space="0"/>
            </w:tcBorders>
            <w:vAlign w:val="center"/>
          </w:tcPr>
          <w:p w14:paraId="0A58AC13">
            <w:pPr>
              <w:adjustRightInd w:val="0"/>
              <w:snapToGrid w:val="0"/>
              <w:rPr>
                <w:rFonts w:ascii="宋体" w:hAnsi="宋体" w:cs="宋体"/>
                <w:szCs w:val="21"/>
              </w:rPr>
            </w:pPr>
          </w:p>
        </w:tc>
        <w:tc>
          <w:tcPr>
            <w:tcW w:w="2550" w:type="dxa"/>
            <w:vMerge w:val="continue"/>
            <w:tcBorders>
              <w:left w:val="single" w:color="auto" w:sz="4" w:space="0"/>
              <w:right w:val="single" w:color="auto" w:sz="4" w:space="0"/>
            </w:tcBorders>
            <w:vAlign w:val="center"/>
          </w:tcPr>
          <w:p w14:paraId="471546A8">
            <w:pPr>
              <w:adjustRightInd w:val="0"/>
              <w:snapToGrid w:val="0"/>
              <w:rPr>
                <w:rFonts w:ascii="宋体" w:hAnsi="宋体" w:cs="宋体"/>
                <w:szCs w:val="21"/>
              </w:rPr>
            </w:pPr>
          </w:p>
        </w:tc>
        <w:tc>
          <w:tcPr>
            <w:tcW w:w="5713" w:type="dxa"/>
            <w:tcBorders>
              <w:top w:val="single" w:color="auto" w:sz="4" w:space="0"/>
              <w:left w:val="single" w:color="auto" w:sz="4" w:space="0"/>
              <w:bottom w:val="single" w:color="auto" w:sz="4" w:space="0"/>
              <w:right w:val="single" w:color="auto" w:sz="4" w:space="0"/>
            </w:tcBorders>
            <w:vAlign w:val="center"/>
          </w:tcPr>
          <w:p w14:paraId="23457A41">
            <w:pPr>
              <w:adjustRightInd w:val="0"/>
              <w:snapToGrid w:val="0"/>
              <w:rPr>
                <w:rFonts w:ascii="宋体" w:hAnsi="宋体" w:cs="宋体"/>
                <w:bCs/>
                <w:kern w:val="0"/>
                <w:szCs w:val="21"/>
              </w:rPr>
            </w:pPr>
            <w:r>
              <w:rPr>
                <w:rFonts w:hint="eastAsia" w:ascii="宋体" w:hAnsi="宋体" w:cs="宋体"/>
                <w:bCs/>
                <w:kern w:val="0"/>
                <w:szCs w:val="21"/>
              </w:rPr>
              <w:t>培育社区社会组织和社区骨干，提供咨询、培训、能力建设等服务。重点</w:t>
            </w:r>
            <w:r>
              <w:rPr>
                <w:rFonts w:hint="eastAsia" w:ascii="宋体" w:hAnsi="宋体" w:cs="宋体"/>
                <w:kern w:val="0"/>
                <w:szCs w:val="21"/>
              </w:rPr>
              <w:t>培育兜底民生服务对象提供服务的社会组织。</w:t>
            </w:r>
          </w:p>
        </w:tc>
      </w:tr>
      <w:tr w14:paraId="77383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11" w:hRule="atLeast"/>
          <w:jc w:val="center"/>
        </w:trPr>
        <w:tc>
          <w:tcPr>
            <w:tcW w:w="1929" w:type="dxa"/>
            <w:vMerge w:val="continue"/>
            <w:tcBorders>
              <w:left w:val="single" w:color="auto" w:sz="4" w:space="0"/>
              <w:right w:val="single" w:color="auto" w:sz="4" w:space="0"/>
            </w:tcBorders>
            <w:vAlign w:val="center"/>
          </w:tcPr>
          <w:p w14:paraId="5E45DD50">
            <w:pPr>
              <w:adjustRightInd w:val="0"/>
              <w:snapToGrid w:val="0"/>
              <w:rPr>
                <w:rFonts w:ascii="宋体" w:hAnsi="宋体" w:cs="宋体"/>
                <w:szCs w:val="21"/>
              </w:rPr>
            </w:pPr>
          </w:p>
        </w:tc>
        <w:tc>
          <w:tcPr>
            <w:tcW w:w="2550" w:type="dxa"/>
            <w:vMerge w:val="continue"/>
            <w:tcBorders>
              <w:left w:val="single" w:color="auto" w:sz="4" w:space="0"/>
              <w:right w:val="single" w:color="auto" w:sz="4" w:space="0"/>
            </w:tcBorders>
            <w:vAlign w:val="center"/>
          </w:tcPr>
          <w:p w14:paraId="54D3BED9">
            <w:pPr>
              <w:adjustRightInd w:val="0"/>
              <w:snapToGrid w:val="0"/>
              <w:rPr>
                <w:rFonts w:ascii="宋体" w:hAnsi="宋体" w:cs="宋体"/>
                <w:szCs w:val="21"/>
              </w:rPr>
            </w:pPr>
          </w:p>
        </w:tc>
        <w:tc>
          <w:tcPr>
            <w:tcW w:w="5713" w:type="dxa"/>
            <w:tcBorders>
              <w:top w:val="single" w:color="auto" w:sz="4" w:space="0"/>
              <w:left w:val="single" w:color="auto" w:sz="4" w:space="0"/>
              <w:bottom w:val="single" w:color="auto" w:sz="4" w:space="0"/>
              <w:right w:val="single" w:color="auto" w:sz="4" w:space="0"/>
            </w:tcBorders>
          </w:tcPr>
          <w:p w14:paraId="7446AC10">
            <w:pPr>
              <w:adjustRightInd w:val="0"/>
              <w:snapToGrid w:val="0"/>
              <w:rPr>
                <w:rFonts w:ascii="宋体" w:hAnsi="宋体" w:cs="宋体"/>
                <w:kern w:val="0"/>
                <w:szCs w:val="21"/>
              </w:rPr>
            </w:pPr>
            <w:r>
              <w:rPr>
                <w:rFonts w:hint="eastAsia" w:ascii="宋体" w:hAnsi="宋体" w:cs="宋体"/>
                <w:kern w:val="0"/>
                <w:szCs w:val="21"/>
              </w:rPr>
              <w:t>协助社区“两委”开展志愿者动员、招募、培训、使用、登记注册、服务记录与证明等工作。发展壮大志愿者队伍，策划、组织实施志愿者服务项目，引导社区居民参与困难群众救助、困境儿童关爱、老年人关爱等社区志愿服务，形成有效的志愿者管理机制。做好志愿者督导、激励与评估。为社区内其它社会组织提供志愿者资源对接服务。</w:t>
            </w:r>
          </w:p>
        </w:tc>
      </w:tr>
      <w:tr w14:paraId="142A7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00" w:hRule="atLeast"/>
          <w:jc w:val="center"/>
        </w:trPr>
        <w:tc>
          <w:tcPr>
            <w:tcW w:w="1929" w:type="dxa"/>
            <w:vMerge w:val="continue"/>
            <w:tcBorders>
              <w:left w:val="single" w:color="auto" w:sz="4" w:space="0"/>
              <w:bottom w:val="single" w:color="auto" w:sz="4" w:space="0"/>
              <w:right w:val="single" w:color="auto" w:sz="4" w:space="0"/>
            </w:tcBorders>
            <w:vAlign w:val="center"/>
          </w:tcPr>
          <w:p w14:paraId="7B58D61F">
            <w:pPr>
              <w:adjustRightInd w:val="0"/>
              <w:snapToGrid w:val="0"/>
              <w:rPr>
                <w:rFonts w:ascii="宋体" w:hAnsi="宋体" w:cs="宋体"/>
                <w:kern w:val="0"/>
                <w:szCs w:val="21"/>
              </w:rPr>
            </w:pPr>
          </w:p>
        </w:tc>
        <w:tc>
          <w:tcPr>
            <w:tcW w:w="2550" w:type="dxa"/>
            <w:vMerge w:val="continue"/>
            <w:tcBorders>
              <w:left w:val="single" w:color="auto" w:sz="4" w:space="0"/>
              <w:bottom w:val="single" w:color="auto" w:sz="4" w:space="0"/>
              <w:right w:val="single" w:color="auto" w:sz="4" w:space="0"/>
            </w:tcBorders>
            <w:vAlign w:val="center"/>
          </w:tcPr>
          <w:p w14:paraId="55FA9F93">
            <w:pPr>
              <w:adjustRightInd w:val="0"/>
              <w:snapToGrid w:val="0"/>
              <w:rPr>
                <w:rFonts w:ascii="宋体" w:hAnsi="宋体" w:cs="宋体"/>
                <w:kern w:val="0"/>
                <w:szCs w:val="21"/>
              </w:rPr>
            </w:pPr>
          </w:p>
        </w:tc>
        <w:tc>
          <w:tcPr>
            <w:tcW w:w="5713" w:type="dxa"/>
            <w:tcBorders>
              <w:top w:val="single" w:color="auto" w:sz="4" w:space="0"/>
              <w:left w:val="single" w:color="auto" w:sz="4" w:space="0"/>
              <w:bottom w:val="single" w:color="auto" w:sz="4" w:space="0"/>
              <w:right w:val="single" w:color="auto" w:sz="4" w:space="0"/>
            </w:tcBorders>
            <w:vAlign w:val="center"/>
          </w:tcPr>
          <w:p w14:paraId="6B56B3C2">
            <w:pPr>
              <w:adjustRightInd w:val="0"/>
              <w:snapToGrid w:val="0"/>
              <w:rPr>
                <w:rFonts w:ascii="宋体" w:hAnsi="宋体" w:cs="宋体"/>
                <w:b/>
                <w:kern w:val="0"/>
                <w:szCs w:val="21"/>
              </w:rPr>
            </w:pPr>
            <w:r>
              <w:rPr>
                <w:rFonts w:hint="eastAsia" w:ascii="宋体" w:hAnsi="宋体" w:cs="宋体"/>
                <w:kern w:val="0"/>
                <w:szCs w:val="21"/>
              </w:rPr>
              <w:t>围绕“五社联动”，引导居民和社会力量有序参与社区治理，打造“五社”融合特色的服务品牌和项目。</w:t>
            </w:r>
          </w:p>
        </w:tc>
      </w:tr>
    </w:tbl>
    <w:p w14:paraId="25D64317">
      <w:pPr>
        <w:pStyle w:val="2"/>
        <w:spacing w:line="240" w:lineRule="auto"/>
        <w:rPr>
          <w:lang w:eastAsia="zh-CN"/>
        </w:rPr>
      </w:pPr>
    </w:p>
    <w:p w14:paraId="6835D966">
      <w:pPr>
        <w:adjustRightInd w:val="0"/>
        <w:snapToGrid w:val="0"/>
        <w:ind w:firstLine="420" w:firstLineChars="200"/>
        <w:outlineLvl w:val="0"/>
        <w:rPr>
          <w:rFonts w:asciiTheme="minorEastAsia" w:hAnsiTheme="minorEastAsia" w:eastAsiaTheme="minorEastAsia" w:cstheme="minorEastAsia"/>
          <w:color w:val="000000"/>
          <w:szCs w:val="21"/>
        </w:rPr>
      </w:pPr>
      <w:r>
        <w:rPr>
          <w:rFonts w:hint="eastAsia" w:asciiTheme="minorEastAsia" w:hAnsiTheme="minorEastAsia" w:eastAsiaTheme="minorEastAsia" w:cstheme="minorEastAsia"/>
          <w:color w:val="000000"/>
          <w:szCs w:val="21"/>
        </w:rPr>
        <w:t>4.3.2促进社区融合服务</w:t>
      </w:r>
    </w:p>
    <w:p w14:paraId="38D584B7">
      <w:pPr>
        <w:adjustRightInd w:val="0"/>
        <w:snapToGrid w:val="0"/>
        <w:ind w:firstLine="420" w:firstLineChars="200"/>
        <w:outlineLvl w:val="0"/>
        <w:rPr>
          <w:rFonts w:asciiTheme="minorEastAsia" w:hAnsiTheme="minorEastAsia" w:eastAsiaTheme="minorEastAsia" w:cstheme="minorEastAsia"/>
          <w:color w:val="000000"/>
          <w:szCs w:val="21"/>
        </w:rPr>
      </w:pPr>
      <w:r>
        <w:rPr>
          <w:rFonts w:hint="eastAsia" w:asciiTheme="minorEastAsia" w:hAnsiTheme="minorEastAsia" w:eastAsiaTheme="minorEastAsia" w:cstheme="minorEastAsia"/>
          <w:color w:val="000000"/>
          <w:szCs w:val="21"/>
        </w:rPr>
        <w:t>社区团结、融合与互助，培养社区居民的互助意识，形成守望相助的社区氛围，弘扬、倡导社区公共意识，协调社区各类关系，推动各类主体参与社区治理，促进全体居民，特别是来深建设者及其家庭成员对社区和城市的融合与适应，促进社区和谐，增加社区团结。</w:t>
      </w:r>
    </w:p>
    <w:tbl>
      <w:tblPr>
        <w:tblStyle w:val="48"/>
        <w:tblW w:w="0" w:type="auto"/>
        <w:jc w:val="center"/>
        <w:tblLayout w:type="fixed"/>
        <w:tblCellMar>
          <w:top w:w="0" w:type="dxa"/>
          <w:left w:w="0" w:type="dxa"/>
          <w:bottom w:w="0" w:type="dxa"/>
          <w:right w:w="0" w:type="dxa"/>
        </w:tblCellMar>
      </w:tblPr>
      <w:tblGrid>
        <w:gridCol w:w="1949"/>
        <w:gridCol w:w="2550"/>
        <w:gridCol w:w="5732"/>
      </w:tblGrid>
      <w:tr w14:paraId="539DF162">
        <w:trPr>
          <w:trHeight w:val="597" w:hRule="atLeast"/>
          <w:jc w:val="center"/>
        </w:trPr>
        <w:tc>
          <w:tcPr>
            <w:tcW w:w="1949" w:type="dxa"/>
            <w:tcBorders>
              <w:top w:val="single" w:color="auto" w:sz="4" w:space="0"/>
              <w:left w:val="single" w:color="auto" w:sz="4" w:space="0"/>
              <w:bottom w:val="single" w:color="auto" w:sz="4" w:space="0"/>
              <w:right w:val="single" w:color="auto" w:sz="4" w:space="0"/>
            </w:tcBorders>
            <w:vAlign w:val="center"/>
          </w:tcPr>
          <w:p w14:paraId="3FC80118">
            <w:pPr>
              <w:widowControl/>
              <w:jc w:val="center"/>
              <w:rPr>
                <w:rFonts w:ascii="宋体" w:hAnsi="宋体" w:cs="宋体"/>
                <w:b/>
                <w:kern w:val="0"/>
                <w:szCs w:val="21"/>
              </w:rPr>
            </w:pPr>
            <w:r>
              <w:rPr>
                <w:rFonts w:hint="eastAsia" w:ascii="宋体" w:hAnsi="宋体" w:cs="宋体"/>
                <w:b/>
                <w:kern w:val="0"/>
                <w:szCs w:val="21"/>
              </w:rPr>
              <w:t>服务大项</w:t>
            </w:r>
          </w:p>
        </w:tc>
        <w:tc>
          <w:tcPr>
            <w:tcW w:w="2550" w:type="dxa"/>
            <w:tcBorders>
              <w:top w:val="single" w:color="auto" w:sz="4" w:space="0"/>
              <w:left w:val="nil"/>
              <w:bottom w:val="single" w:color="auto" w:sz="4" w:space="0"/>
              <w:right w:val="single" w:color="auto" w:sz="4" w:space="0"/>
            </w:tcBorders>
            <w:vAlign w:val="center"/>
          </w:tcPr>
          <w:p w14:paraId="1AEC7FAA">
            <w:pPr>
              <w:widowControl/>
              <w:jc w:val="center"/>
              <w:rPr>
                <w:rFonts w:ascii="宋体" w:hAnsi="宋体" w:cs="宋体"/>
                <w:b/>
                <w:kern w:val="0"/>
                <w:szCs w:val="21"/>
              </w:rPr>
            </w:pPr>
            <w:r>
              <w:rPr>
                <w:rFonts w:hint="eastAsia" w:ascii="宋体" w:hAnsi="宋体" w:cs="宋体"/>
                <w:b/>
                <w:kern w:val="0"/>
                <w:szCs w:val="21"/>
              </w:rPr>
              <w:t>服务要求</w:t>
            </w:r>
          </w:p>
        </w:tc>
        <w:tc>
          <w:tcPr>
            <w:tcW w:w="5732" w:type="dxa"/>
            <w:tcBorders>
              <w:top w:val="single" w:color="auto" w:sz="4" w:space="0"/>
              <w:left w:val="nil"/>
              <w:bottom w:val="single" w:color="auto" w:sz="4" w:space="0"/>
              <w:right w:val="single" w:color="auto" w:sz="4" w:space="0"/>
            </w:tcBorders>
            <w:vAlign w:val="center"/>
          </w:tcPr>
          <w:p w14:paraId="3B208DF9">
            <w:pPr>
              <w:widowControl/>
              <w:jc w:val="center"/>
              <w:rPr>
                <w:rFonts w:ascii="宋体" w:hAnsi="宋体" w:cs="宋体"/>
                <w:b/>
                <w:kern w:val="0"/>
                <w:szCs w:val="21"/>
              </w:rPr>
            </w:pPr>
            <w:r>
              <w:rPr>
                <w:rFonts w:hint="eastAsia" w:ascii="宋体" w:hAnsi="宋体" w:cs="宋体"/>
                <w:b/>
                <w:kern w:val="0"/>
                <w:szCs w:val="21"/>
              </w:rPr>
              <w:t>服务细项</w:t>
            </w:r>
          </w:p>
        </w:tc>
      </w:tr>
      <w:tr w14:paraId="245F052C">
        <w:trPr>
          <w:cantSplit/>
          <w:trHeight w:val="763" w:hRule="atLeast"/>
          <w:jc w:val="center"/>
        </w:trPr>
        <w:tc>
          <w:tcPr>
            <w:tcW w:w="1949" w:type="dxa"/>
            <w:vMerge w:val="restart"/>
            <w:tcBorders>
              <w:top w:val="nil"/>
              <w:left w:val="single" w:color="auto" w:sz="4" w:space="0"/>
              <w:bottom w:val="single" w:color="auto" w:sz="4" w:space="0"/>
              <w:right w:val="single" w:color="auto" w:sz="4" w:space="0"/>
            </w:tcBorders>
            <w:vAlign w:val="center"/>
          </w:tcPr>
          <w:p w14:paraId="684CA68D">
            <w:pPr>
              <w:adjustRightInd w:val="0"/>
              <w:snapToGrid w:val="0"/>
              <w:jc w:val="center"/>
              <w:rPr>
                <w:rFonts w:ascii="宋体" w:hAnsi="宋体" w:cs="宋体"/>
                <w:kern w:val="0"/>
                <w:szCs w:val="21"/>
              </w:rPr>
            </w:pPr>
            <w:r>
              <w:rPr>
                <w:rFonts w:hint="eastAsia" w:ascii="宋体" w:hAnsi="宋体" w:cs="宋体"/>
                <w:kern w:val="0"/>
                <w:szCs w:val="21"/>
              </w:rPr>
              <w:t>社区团结、融合与互助</w:t>
            </w:r>
          </w:p>
        </w:tc>
        <w:tc>
          <w:tcPr>
            <w:tcW w:w="2550" w:type="dxa"/>
            <w:vMerge w:val="restart"/>
            <w:tcBorders>
              <w:top w:val="nil"/>
              <w:left w:val="single" w:color="auto" w:sz="4" w:space="0"/>
              <w:bottom w:val="single" w:color="auto" w:sz="4" w:space="0"/>
              <w:right w:val="single" w:color="auto" w:sz="4" w:space="0"/>
            </w:tcBorders>
            <w:vAlign w:val="center"/>
          </w:tcPr>
          <w:p w14:paraId="08EEE966">
            <w:pPr>
              <w:adjustRightInd w:val="0"/>
              <w:snapToGrid w:val="0"/>
              <w:jc w:val="center"/>
              <w:rPr>
                <w:rFonts w:ascii="宋体" w:hAnsi="宋体" w:cs="宋体"/>
                <w:kern w:val="0"/>
                <w:szCs w:val="21"/>
              </w:rPr>
            </w:pPr>
            <w:r>
              <w:rPr>
                <w:rFonts w:hint="eastAsia" w:ascii="宋体" w:hAnsi="宋体" w:cs="宋体"/>
                <w:kern w:val="0"/>
                <w:szCs w:val="21"/>
              </w:rPr>
              <w:t>培养社区居民的互助意识，形成守望相助的社区氛围，弘扬、倡导社区公共意识，协调社区各类关系，推动各类主体参与社区治理，促进全体居民，特别是来深建设者及其家庭成员对社区和城市的融合与适应，促进社区和谐，增加社区团结</w:t>
            </w:r>
          </w:p>
        </w:tc>
        <w:tc>
          <w:tcPr>
            <w:tcW w:w="5732" w:type="dxa"/>
            <w:tcBorders>
              <w:top w:val="nil"/>
              <w:left w:val="nil"/>
              <w:bottom w:val="single" w:color="auto" w:sz="4" w:space="0"/>
              <w:right w:val="single" w:color="auto" w:sz="4" w:space="0"/>
            </w:tcBorders>
            <w:vAlign w:val="center"/>
          </w:tcPr>
          <w:p w14:paraId="239B9CB5">
            <w:pPr>
              <w:adjustRightInd w:val="0"/>
              <w:snapToGrid w:val="0"/>
              <w:rPr>
                <w:rFonts w:ascii="宋体" w:hAnsi="宋体" w:cs="宋体"/>
                <w:kern w:val="0"/>
                <w:szCs w:val="21"/>
              </w:rPr>
            </w:pPr>
            <w:r>
              <w:rPr>
                <w:rFonts w:hint="eastAsia" w:ascii="宋体" w:hAnsi="宋体" w:cs="宋体"/>
                <w:kern w:val="0"/>
                <w:szCs w:val="21"/>
              </w:rPr>
              <w:t>协助社区党委和社区居民自治组织建立本社区与相关政府部门、社会组织、驻区单位、业主委员会和物业公司等单位之间的良好协作关系，推动各类主体参与社区治理。</w:t>
            </w:r>
          </w:p>
        </w:tc>
      </w:tr>
      <w:tr w14:paraId="2B2A5C49">
        <w:trPr>
          <w:cantSplit/>
          <w:trHeight w:val="396" w:hRule="atLeast"/>
          <w:jc w:val="center"/>
        </w:trPr>
        <w:tc>
          <w:tcPr>
            <w:tcW w:w="1949" w:type="dxa"/>
            <w:vMerge w:val="continue"/>
            <w:tcBorders>
              <w:top w:val="nil"/>
              <w:left w:val="single" w:color="auto" w:sz="4" w:space="0"/>
              <w:bottom w:val="single" w:color="auto" w:sz="4" w:space="0"/>
              <w:right w:val="single" w:color="auto" w:sz="4" w:space="0"/>
            </w:tcBorders>
            <w:vAlign w:val="center"/>
          </w:tcPr>
          <w:p w14:paraId="30F64200">
            <w:pPr>
              <w:adjustRightInd w:val="0"/>
              <w:snapToGrid w:val="0"/>
              <w:rPr>
                <w:rFonts w:ascii="宋体" w:hAnsi="宋体" w:cs="宋体"/>
                <w:szCs w:val="21"/>
              </w:rPr>
            </w:pPr>
          </w:p>
        </w:tc>
        <w:tc>
          <w:tcPr>
            <w:tcW w:w="2550" w:type="dxa"/>
            <w:vMerge w:val="continue"/>
            <w:tcBorders>
              <w:top w:val="nil"/>
              <w:left w:val="single" w:color="auto" w:sz="4" w:space="0"/>
              <w:bottom w:val="single" w:color="auto" w:sz="4" w:space="0"/>
              <w:right w:val="single" w:color="auto" w:sz="4" w:space="0"/>
            </w:tcBorders>
            <w:vAlign w:val="center"/>
          </w:tcPr>
          <w:p w14:paraId="3EC7E984">
            <w:pPr>
              <w:adjustRightInd w:val="0"/>
              <w:snapToGrid w:val="0"/>
              <w:rPr>
                <w:rFonts w:ascii="宋体" w:hAnsi="宋体" w:cs="宋体"/>
                <w:b/>
                <w:bCs/>
                <w:szCs w:val="21"/>
              </w:rPr>
            </w:pPr>
          </w:p>
        </w:tc>
        <w:tc>
          <w:tcPr>
            <w:tcW w:w="5732" w:type="dxa"/>
            <w:tcBorders>
              <w:top w:val="nil"/>
              <w:left w:val="nil"/>
              <w:bottom w:val="single" w:color="auto" w:sz="4" w:space="0"/>
              <w:right w:val="single" w:color="auto" w:sz="4" w:space="0"/>
            </w:tcBorders>
            <w:vAlign w:val="center"/>
          </w:tcPr>
          <w:p w14:paraId="2688B5E3">
            <w:pPr>
              <w:adjustRightInd w:val="0"/>
              <w:snapToGrid w:val="0"/>
              <w:rPr>
                <w:rFonts w:ascii="宋体" w:hAnsi="宋体" w:cs="宋体"/>
                <w:kern w:val="0"/>
                <w:szCs w:val="21"/>
              </w:rPr>
            </w:pPr>
            <w:r>
              <w:rPr>
                <w:rFonts w:hint="eastAsia" w:ascii="宋体" w:hAnsi="宋体" w:cs="宋体"/>
                <w:kern w:val="0"/>
                <w:szCs w:val="21"/>
              </w:rPr>
              <w:t>邻里关系协调；社区各类群体间关系协调；组织开展邻里交流、关爱活动。</w:t>
            </w:r>
          </w:p>
        </w:tc>
      </w:tr>
      <w:tr w14:paraId="05322A01">
        <w:trPr>
          <w:cantSplit/>
          <w:trHeight w:val="263" w:hRule="atLeast"/>
          <w:jc w:val="center"/>
        </w:trPr>
        <w:tc>
          <w:tcPr>
            <w:tcW w:w="1949" w:type="dxa"/>
            <w:vMerge w:val="continue"/>
            <w:tcBorders>
              <w:top w:val="nil"/>
              <w:left w:val="single" w:color="auto" w:sz="4" w:space="0"/>
              <w:bottom w:val="single" w:color="auto" w:sz="4" w:space="0"/>
              <w:right w:val="single" w:color="auto" w:sz="4" w:space="0"/>
            </w:tcBorders>
            <w:vAlign w:val="center"/>
          </w:tcPr>
          <w:p w14:paraId="2B9516DA">
            <w:pPr>
              <w:adjustRightInd w:val="0"/>
              <w:snapToGrid w:val="0"/>
              <w:rPr>
                <w:rFonts w:ascii="宋体" w:hAnsi="宋体" w:cs="宋体"/>
                <w:szCs w:val="21"/>
              </w:rPr>
            </w:pPr>
          </w:p>
        </w:tc>
        <w:tc>
          <w:tcPr>
            <w:tcW w:w="2550" w:type="dxa"/>
            <w:vMerge w:val="continue"/>
            <w:tcBorders>
              <w:top w:val="nil"/>
              <w:left w:val="single" w:color="auto" w:sz="4" w:space="0"/>
              <w:bottom w:val="single" w:color="auto" w:sz="4" w:space="0"/>
              <w:right w:val="single" w:color="auto" w:sz="4" w:space="0"/>
            </w:tcBorders>
            <w:vAlign w:val="center"/>
          </w:tcPr>
          <w:p w14:paraId="1901B88F">
            <w:pPr>
              <w:adjustRightInd w:val="0"/>
              <w:snapToGrid w:val="0"/>
              <w:rPr>
                <w:rFonts w:ascii="宋体" w:hAnsi="宋体" w:cs="宋体"/>
                <w:b/>
                <w:bCs/>
                <w:szCs w:val="21"/>
              </w:rPr>
            </w:pPr>
          </w:p>
        </w:tc>
        <w:tc>
          <w:tcPr>
            <w:tcW w:w="5732" w:type="dxa"/>
            <w:tcBorders>
              <w:top w:val="nil"/>
              <w:left w:val="nil"/>
              <w:bottom w:val="single" w:color="auto" w:sz="4" w:space="0"/>
              <w:right w:val="single" w:color="auto" w:sz="4" w:space="0"/>
            </w:tcBorders>
            <w:vAlign w:val="center"/>
          </w:tcPr>
          <w:p w14:paraId="1768358C">
            <w:pPr>
              <w:adjustRightInd w:val="0"/>
              <w:snapToGrid w:val="0"/>
              <w:rPr>
                <w:rFonts w:ascii="宋体" w:hAnsi="宋体" w:cs="宋体"/>
                <w:kern w:val="0"/>
                <w:szCs w:val="21"/>
              </w:rPr>
            </w:pPr>
            <w:r>
              <w:rPr>
                <w:rFonts w:hint="eastAsia" w:ascii="宋体" w:hAnsi="宋体" w:cs="宋体"/>
                <w:kern w:val="0"/>
                <w:szCs w:val="21"/>
              </w:rPr>
              <w:t>参与社区居民矛盾调解。</w:t>
            </w:r>
          </w:p>
        </w:tc>
      </w:tr>
      <w:tr w14:paraId="1ADDA23F">
        <w:trPr>
          <w:cantSplit/>
          <w:trHeight w:val="330" w:hRule="atLeast"/>
          <w:jc w:val="center"/>
        </w:trPr>
        <w:tc>
          <w:tcPr>
            <w:tcW w:w="1949" w:type="dxa"/>
            <w:vMerge w:val="continue"/>
            <w:tcBorders>
              <w:top w:val="nil"/>
              <w:left w:val="single" w:color="auto" w:sz="4" w:space="0"/>
              <w:bottom w:val="single" w:color="auto" w:sz="4" w:space="0"/>
              <w:right w:val="single" w:color="auto" w:sz="4" w:space="0"/>
            </w:tcBorders>
            <w:vAlign w:val="center"/>
          </w:tcPr>
          <w:p w14:paraId="1F8AD0BF">
            <w:pPr>
              <w:adjustRightInd w:val="0"/>
              <w:snapToGrid w:val="0"/>
              <w:rPr>
                <w:rFonts w:ascii="宋体" w:hAnsi="宋体" w:cs="宋体"/>
                <w:szCs w:val="21"/>
              </w:rPr>
            </w:pPr>
          </w:p>
        </w:tc>
        <w:tc>
          <w:tcPr>
            <w:tcW w:w="2550" w:type="dxa"/>
            <w:vMerge w:val="continue"/>
            <w:tcBorders>
              <w:top w:val="nil"/>
              <w:left w:val="single" w:color="auto" w:sz="4" w:space="0"/>
              <w:bottom w:val="single" w:color="auto" w:sz="4" w:space="0"/>
              <w:right w:val="single" w:color="auto" w:sz="4" w:space="0"/>
            </w:tcBorders>
            <w:vAlign w:val="center"/>
          </w:tcPr>
          <w:p w14:paraId="14D3F4F6">
            <w:pPr>
              <w:adjustRightInd w:val="0"/>
              <w:snapToGrid w:val="0"/>
              <w:rPr>
                <w:rFonts w:ascii="宋体" w:hAnsi="宋体" w:cs="宋体"/>
                <w:b/>
                <w:bCs/>
                <w:szCs w:val="21"/>
              </w:rPr>
            </w:pPr>
          </w:p>
        </w:tc>
        <w:tc>
          <w:tcPr>
            <w:tcW w:w="5732" w:type="dxa"/>
            <w:tcBorders>
              <w:top w:val="nil"/>
              <w:left w:val="nil"/>
              <w:bottom w:val="single" w:color="auto" w:sz="4" w:space="0"/>
              <w:right w:val="single" w:color="auto" w:sz="4" w:space="0"/>
            </w:tcBorders>
            <w:vAlign w:val="center"/>
          </w:tcPr>
          <w:p w14:paraId="2336F365">
            <w:pPr>
              <w:adjustRightInd w:val="0"/>
              <w:snapToGrid w:val="0"/>
              <w:rPr>
                <w:rFonts w:ascii="宋体" w:hAnsi="宋体" w:cs="宋体"/>
                <w:kern w:val="0"/>
                <w:szCs w:val="21"/>
              </w:rPr>
            </w:pPr>
            <w:r>
              <w:rPr>
                <w:rFonts w:hint="eastAsia" w:ascii="宋体" w:hAnsi="宋体" w:cs="宋体"/>
                <w:kern w:val="0"/>
                <w:szCs w:val="21"/>
              </w:rPr>
              <w:t>居民自助互助意识和能力培养。</w:t>
            </w:r>
          </w:p>
        </w:tc>
      </w:tr>
      <w:tr w14:paraId="75C39033">
        <w:trPr>
          <w:cantSplit/>
          <w:trHeight w:val="264" w:hRule="atLeast"/>
          <w:jc w:val="center"/>
        </w:trPr>
        <w:tc>
          <w:tcPr>
            <w:tcW w:w="1949" w:type="dxa"/>
            <w:vMerge w:val="continue"/>
            <w:tcBorders>
              <w:top w:val="nil"/>
              <w:left w:val="single" w:color="auto" w:sz="4" w:space="0"/>
              <w:bottom w:val="single" w:color="auto" w:sz="4" w:space="0"/>
              <w:right w:val="single" w:color="auto" w:sz="4" w:space="0"/>
            </w:tcBorders>
            <w:vAlign w:val="center"/>
          </w:tcPr>
          <w:p w14:paraId="4EB02E7A">
            <w:pPr>
              <w:adjustRightInd w:val="0"/>
              <w:snapToGrid w:val="0"/>
              <w:rPr>
                <w:rFonts w:ascii="宋体" w:hAnsi="宋体" w:cs="宋体"/>
                <w:szCs w:val="21"/>
              </w:rPr>
            </w:pPr>
          </w:p>
        </w:tc>
        <w:tc>
          <w:tcPr>
            <w:tcW w:w="2550" w:type="dxa"/>
            <w:vMerge w:val="continue"/>
            <w:tcBorders>
              <w:top w:val="nil"/>
              <w:left w:val="single" w:color="auto" w:sz="4" w:space="0"/>
              <w:bottom w:val="single" w:color="auto" w:sz="4" w:space="0"/>
              <w:right w:val="single" w:color="auto" w:sz="4" w:space="0"/>
            </w:tcBorders>
            <w:vAlign w:val="center"/>
          </w:tcPr>
          <w:p w14:paraId="3AFE160A">
            <w:pPr>
              <w:adjustRightInd w:val="0"/>
              <w:snapToGrid w:val="0"/>
              <w:rPr>
                <w:rFonts w:ascii="宋体" w:hAnsi="宋体" w:cs="宋体"/>
                <w:b/>
                <w:bCs/>
                <w:szCs w:val="21"/>
              </w:rPr>
            </w:pPr>
          </w:p>
        </w:tc>
        <w:tc>
          <w:tcPr>
            <w:tcW w:w="5732" w:type="dxa"/>
            <w:tcBorders>
              <w:top w:val="nil"/>
              <w:left w:val="nil"/>
              <w:bottom w:val="single" w:color="auto" w:sz="4" w:space="0"/>
              <w:right w:val="single" w:color="auto" w:sz="4" w:space="0"/>
            </w:tcBorders>
            <w:vAlign w:val="center"/>
          </w:tcPr>
          <w:p w14:paraId="01E3CB41">
            <w:pPr>
              <w:adjustRightInd w:val="0"/>
              <w:snapToGrid w:val="0"/>
              <w:rPr>
                <w:rFonts w:ascii="宋体" w:hAnsi="宋体" w:cs="宋体"/>
                <w:kern w:val="0"/>
                <w:szCs w:val="21"/>
              </w:rPr>
            </w:pPr>
            <w:r>
              <w:rPr>
                <w:rFonts w:hint="eastAsia" w:ascii="宋体" w:hAnsi="宋体" w:cs="宋体"/>
                <w:kern w:val="0"/>
                <w:szCs w:val="21"/>
              </w:rPr>
              <w:t>关爱来深建设者及其子女。</w:t>
            </w:r>
          </w:p>
        </w:tc>
      </w:tr>
      <w:tr w14:paraId="4FDDA029">
        <w:trPr>
          <w:cantSplit/>
          <w:trHeight w:val="249" w:hRule="atLeast"/>
          <w:jc w:val="center"/>
        </w:trPr>
        <w:tc>
          <w:tcPr>
            <w:tcW w:w="1949" w:type="dxa"/>
            <w:vMerge w:val="continue"/>
            <w:tcBorders>
              <w:top w:val="nil"/>
              <w:left w:val="single" w:color="auto" w:sz="4" w:space="0"/>
              <w:bottom w:val="single" w:color="auto" w:sz="4" w:space="0"/>
              <w:right w:val="single" w:color="auto" w:sz="4" w:space="0"/>
            </w:tcBorders>
            <w:vAlign w:val="center"/>
          </w:tcPr>
          <w:p w14:paraId="62D9BE00">
            <w:pPr>
              <w:adjustRightInd w:val="0"/>
              <w:snapToGrid w:val="0"/>
              <w:rPr>
                <w:rFonts w:ascii="宋体" w:hAnsi="宋体" w:cs="宋体"/>
                <w:szCs w:val="21"/>
              </w:rPr>
            </w:pPr>
          </w:p>
        </w:tc>
        <w:tc>
          <w:tcPr>
            <w:tcW w:w="2550" w:type="dxa"/>
            <w:vMerge w:val="continue"/>
            <w:tcBorders>
              <w:top w:val="nil"/>
              <w:left w:val="single" w:color="auto" w:sz="4" w:space="0"/>
              <w:bottom w:val="single" w:color="auto" w:sz="4" w:space="0"/>
              <w:right w:val="single" w:color="auto" w:sz="4" w:space="0"/>
            </w:tcBorders>
            <w:vAlign w:val="center"/>
          </w:tcPr>
          <w:p w14:paraId="65587742">
            <w:pPr>
              <w:adjustRightInd w:val="0"/>
              <w:snapToGrid w:val="0"/>
              <w:rPr>
                <w:rFonts w:ascii="宋体" w:hAnsi="宋体" w:cs="宋体"/>
                <w:b/>
                <w:bCs/>
                <w:szCs w:val="21"/>
              </w:rPr>
            </w:pPr>
          </w:p>
        </w:tc>
        <w:tc>
          <w:tcPr>
            <w:tcW w:w="5732" w:type="dxa"/>
            <w:tcBorders>
              <w:top w:val="nil"/>
              <w:left w:val="nil"/>
              <w:bottom w:val="single" w:color="auto" w:sz="4" w:space="0"/>
              <w:right w:val="single" w:color="auto" w:sz="4" w:space="0"/>
            </w:tcBorders>
            <w:vAlign w:val="center"/>
          </w:tcPr>
          <w:p w14:paraId="2E76A718">
            <w:pPr>
              <w:adjustRightInd w:val="0"/>
              <w:snapToGrid w:val="0"/>
              <w:rPr>
                <w:rFonts w:ascii="宋体" w:hAnsi="宋体" w:cs="宋体"/>
                <w:kern w:val="0"/>
                <w:szCs w:val="21"/>
              </w:rPr>
            </w:pPr>
            <w:r>
              <w:rPr>
                <w:rFonts w:hint="eastAsia" w:ascii="宋体" w:hAnsi="宋体" w:cs="宋体"/>
                <w:kern w:val="0"/>
                <w:szCs w:val="21"/>
              </w:rPr>
              <w:t>社区适应、融入和融合促进服务，帮助外来人口适应社区环境。</w:t>
            </w:r>
          </w:p>
        </w:tc>
      </w:tr>
    </w:tbl>
    <w:p w14:paraId="22A70A95">
      <w:pPr>
        <w:pStyle w:val="2"/>
        <w:spacing w:line="240" w:lineRule="auto"/>
        <w:rPr>
          <w:lang w:eastAsia="zh-CN"/>
        </w:rPr>
      </w:pPr>
    </w:p>
    <w:p w14:paraId="19B6864C">
      <w:pPr>
        <w:adjustRightInd w:val="0"/>
        <w:snapToGrid w:val="0"/>
        <w:ind w:firstLine="420" w:firstLineChars="200"/>
        <w:outlineLvl w:val="0"/>
        <w:rPr>
          <w:rFonts w:asciiTheme="minorEastAsia" w:hAnsiTheme="minorEastAsia" w:eastAsiaTheme="minorEastAsia" w:cstheme="minorEastAsia"/>
          <w:color w:val="000000"/>
          <w:szCs w:val="21"/>
        </w:rPr>
      </w:pPr>
      <w:r>
        <w:rPr>
          <w:rFonts w:hint="eastAsia" w:asciiTheme="minorEastAsia" w:hAnsiTheme="minorEastAsia" w:eastAsiaTheme="minorEastAsia" w:cstheme="minorEastAsia"/>
          <w:color w:val="000000"/>
          <w:szCs w:val="21"/>
        </w:rPr>
        <w:t>4.3.3推动社区发展服务</w:t>
      </w:r>
    </w:p>
    <w:p w14:paraId="39047F2B">
      <w:pPr>
        <w:adjustRightInd w:val="0"/>
        <w:snapToGrid w:val="0"/>
        <w:ind w:firstLine="420" w:firstLineChars="200"/>
        <w:outlineLvl w:val="0"/>
        <w:rPr>
          <w:rFonts w:asciiTheme="minorEastAsia" w:hAnsiTheme="minorEastAsia" w:eastAsiaTheme="minorEastAsia" w:cstheme="minorEastAsia"/>
          <w:color w:val="000000"/>
          <w:szCs w:val="21"/>
        </w:rPr>
      </w:pPr>
      <w:r>
        <w:rPr>
          <w:rFonts w:hint="eastAsia" w:asciiTheme="minorEastAsia" w:hAnsiTheme="minorEastAsia" w:eastAsiaTheme="minorEastAsia" w:cstheme="minorEastAsia"/>
          <w:color w:val="000000"/>
          <w:szCs w:val="21"/>
        </w:rPr>
        <w:t>社区营造与发展，整合资源，联合社区各种力量，促进社区发展。发挥资源平台作用，主动介入社区公共危机事件，开展应急救助。</w:t>
      </w:r>
    </w:p>
    <w:tbl>
      <w:tblPr>
        <w:tblStyle w:val="4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946"/>
        <w:gridCol w:w="2550"/>
        <w:gridCol w:w="5730"/>
      </w:tblGrid>
      <w:tr w14:paraId="11A5C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600" w:hRule="atLeast"/>
          <w:tblHeader/>
          <w:jc w:val="center"/>
        </w:trPr>
        <w:tc>
          <w:tcPr>
            <w:tcW w:w="1946" w:type="dxa"/>
            <w:tcBorders>
              <w:top w:val="single" w:color="auto" w:sz="4" w:space="0"/>
              <w:left w:val="single" w:color="auto" w:sz="4" w:space="0"/>
              <w:bottom w:val="single" w:color="auto" w:sz="4" w:space="0"/>
              <w:right w:val="single" w:color="auto" w:sz="4" w:space="0"/>
            </w:tcBorders>
            <w:vAlign w:val="center"/>
          </w:tcPr>
          <w:p w14:paraId="01A519AE">
            <w:pPr>
              <w:widowControl/>
              <w:jc w:val="center"/>
              <w:rPr>
                <w:rFonts w:ascii="宋体" w:hAnsi="宋体" w:cs="宋体"/>
                <w:b/>
                <w:kern w:val="0"/>
                <w:szCs w:val="21"/>
              </w:rPr>
            </w:pPr>
            <w:r>
              <w:rPr>
                <w:rFonts w:hint="eastAsia" w:ascii="宋体" w:hAnsi="宋体" w:cs="宋体"/>
                <w:b/>
                <w:kern w:val="0"/>
                <w:szCs w:val="21"/>
              </w:rPr>
              <w:t>服务大项</w:t>
            </w:r>
          </w:p>
        </w:tc>
        <w:tc>
          <w:tcPr>
            <w:tcW w:w="2550" w:type="dxa"/>
            <w:tcBorders>
              <w:top w:val="single" w:color="auto" w:sz="4" w:space="0"/>
              <w:left w:val="single" w:color="auto" w:sz="4" w:space="0"/>
              <w:bottom w:val="single" w:color="auto" w:sz="4" w:space="0"/>
              <w:right w:val="single" w:color="auto" w:sz="4" w:space="0"/>
            </w:tcBorders>
            <w:vAlign w:val="center"/>
          </w:tcPr>
          <w:p w14:paraId="3DF50D27">
            <w:pPr>
              <w:widowControl/>
              <w:jc w:val="center"/>
              <w:rPr>
                <w:rFonts w:ascii="宋体" w:hAnsi="宋体" w:cs="宋体"/>
                <w:b/>
                <w:kern w:val="0"/>
                <w:szCs w:val="21"/>
              </w:rPr>
            </w:pPr>
            <w:r>
              <w:rPr>
                <w:rFonts w:hint="eastAsia" w:ascii="宋体" w:hAnsi="宋体" w:cs="宋体"/>
                <w:b/>
                <w:kern w:val="0"/>
                <w:szCs w:val="21"/>
              </w:rPr>
              <w:t>服务要求</w:t>
            </w:r>
          </w:p>
        </w:tc>
        <w:tc>
          <w:tcPr>
            <w:tcW w:w="5730" w:type="dxa"/>
            <w:tcBorders>
              <w:top w:val="single" w:color="auto" w:sz="4" w:space="0"/>
              <w:left w:val="single" w:color="auto" w:sz="4" w:space="0"/>
              <w:bottom w:val="single" w:color="auto" w:sz="4" w:space="0"/>
              <w:right w:val="single" w:color="auto" w:sz="4" w:space="0"/>
            </w:tcBorders>
            <w:vAlign w:val="center"/>
          </w:tcPr>
          <w:p w14:paraId="03EEA777">
            <w:pPr>
              <w:widowControl/>
              <w:jc w:val="center"/>
              <w:rPr>
                <w:rFonts w:ascii="宋体" w:hAnsi="宋体" w:cs="宋体"/>
                <w:b/>
                <w:kern w:val="0"/>
                <w:szCs w:val="21"/>
              </w:rPr>
            </w:pPr>
            <w:r>
              <w:rPr>
                <w:rFonts w:hint="eastAsia" w:ascii="宋体" w:hAnsi="宋体" w:cs="宋体"/>
                <w:b/>
                <w:kern w:val="0"/>
                <w:szCs w:val="21"/>
              </w:rPr>
              <w:t>服务细项</w:t>
            </w:r>
          </w:p>
        </w:tc>
      </w:tr>
      <w:tr w14:paraId="4F714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398" w:hRule="atLeast"/>
          <w:jc w:val="center"/>
        </w:trPr>
        <w:tc>
          <w:tcPr>
            <w:tcW w:w="1946" w:type="dxa"/>
            <w:vMerge w:val="restart"/>
            <w:tcBorders>
              <w:top w:val="single" w:color="auto" w:sz="4" w:space="0"/>
              <w:left w:val="single" w:color="auto" w:sz="4" w:space="0"/>
              <w:bottom w:val="single" w:color="auto" w:sz="4" w:space="0"/>
              <w:right w:val="single" w:color="auto" w:sz="4" w:space="0"/>
            </w:tcBorders>
            <w:vAlign w:val="center"/>
          </w:tcPr>
          <w:p w14:paraId="570FE9EC">
            <w:pPr>
              <w:adjustRightInd w:val="0"/>
              <w:snapToGrid w:val="0"/>
              <w:jc w:val="center"/>
              <w:rPr>
                <w:rFonts w:ascii="宋体" w:hAnsi="宋体" w:cs="宋体"/>
                <w:kern w:val="0"/>
                <w:szCs w:val="21"/>
              </w:rPr>
            </w:pPr>
            <w:r>
              <w:rPr>
                <w:rFonts w:hint="eastAsia" w:ascii="宋体" w:hAnsi="宋体" w:cs="宋体"/>
                <w:kern w:val="0"/>
                <w:szCs w:val="21"/>
              </w:rPr>
              <w:t>社区营造与发展</w:t>
            </w:r>
          </w:p>
        </w:tc>
        <w:tc>
          <w:tcPr>
            <w:tcW w:w="2550" w:type="dxa"/>
            <w:vMerge w:val="restart"/>
            <w:tcBorders>
              <w:top w:val="single" w:color="auto" w:sz="4" w:space="0"/>
              <w:left w:val="single" w:color="auto" w:sz="4" w:space="0"/>
              <w:bottom w:val="single" w:color="auto" w:sz="4" w:space="0"/>
              <w:right w:val="single" w:color="auto" w:sz="4" w:space="0"/>
            </w:tcBorders>
            <w:vAlign w:val="center"/>
          </w:tcPr>
          <w:p w14:paraId="21A859DD">
            <w:pPr>
              <w:adjustRightInd w:val="0"/>
              <w:snapToGrid w:val="0"/>
              <w:jc w:val="center"/>
              <w:rPr>
                <w:rFonts w:ascii="宋体" w:hAnsi="宋体" w:cs="宋体"/>
                <w:kern w:val="0"/>
                <w:szCs w:val="21"/>
              </w:rPr>
            </w:pPr>
            <w:r>
              <w:rPr>
                <w:rFonts w:hint="eastAsia" w:ascii="宋体" w:hAnsi="宋体" w:cs="宋体"/>
                <w:kern w:val="0"/>
                <w:szCs w:val="21"/>
              </w:rPr>
              <w:t>整合资源，联合社区各种力量，促进社区发展。发挥资源平台作用，主动介入社区公共危机事件，开展应急救助</w:t>
            </w:r>
          </w:p>
        </w:tc>
        <w:tc>
          <w:tcPr>
            <w:tcW w:w="5730" w:type="dxa"/>
            <w:tcBorders>
              <w:top w:val="single" w:color="auto" w:sz="4" w:space="0"/>
              <w:left w:val="single" w:color="auto" w:sz="4" w:space="0"/>
              <w:bottom w:val="single" w:color="auto" w:sz="4" w:space="0"/>
              <w:right w:val="single" w:color="auto" w:sz="4" w:space="0"/>
            </w:tcBorders>
            <w:vAlign w:val="center"/>
          </w:tcPr>
          <w:p w14:paraId="454D8A01">
            <w:pPr>
              <w:adjustRightInd w:val="0"/>
              <w:snapToGrid w:val="0"/>
              <w:rPr>
                <w:rFonts w:ascii="宋体" w:hAnsi="宋体" w:cs="宋体"/>
                <w:kern w:val="0"/>
                <w:szCs w:val="21"/>
              </w:rPr>
            </w:pPr>
            <w:r>
              <w:rPr>
                <w:rFonts w:hint="eastAsia" w:ascii="宋体" w:hAnsi="宋体" w:cs="宋体"/>
                <w:kern w:val="0"/>
                <w:szCs w:val="21"/>
              </w:rPr>
              <w:t>协助社区党组织和社区居民自治组织发动社区居民参与制定、实施社区发展规划。</w:t>
            </w:r>
          </w:p>
        </w:tc>
      </w:tr>
      <w:tr w14:paraId="46EEE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90" w:hRule="atLeast"/>
          <w:jc w:val="center"/>
        </w:trPr>
        <w:tc>
          <w:tcPr>
            <w:tcW w:w="1946" w:type="dxa"/>
            <w:vMerge w:val="continue"/>
            <w:tcBorders>
              <w:top w:val="single" w:color="auto" w:sz="4" w:space="0"/>
              <w:left w:val="single" w:color="auto" w:sz="4" w:space="0"/>
              <w:bottom w:val="single" w:color="auto" w:sz="4" w:space="0"/>
              <w:right w:val="single" w:color="auto" w:sz="4" w:space="0"/>
            </w:tcBorders>
            <w:vAlign w:val="center"/>
          </w:tcPr>
          <w:p w14:paraId="3D4DEEA1">
            <w:pPr>
              <w:adjustRightInd w:val="0"/>
              <w:snapToGrid w:val="0"/>
              <w:rPr>
                <w:rFonts w:ascii="宋体" w:hAnsi="宋体" w:cs="宋体"/>
                <w:szCs w:val="21"/>
              </w:rPr>
            </w:pPr>
          </w:p>
        </w:tc>
        <w:tc>
          <w:tcPr>
            <w:tcW w:w="2550" w:type="dxa"/>
            <w:vMerge w:val="continue"/>
            <w:tcBorders>
              <w:top w:val="single" w:color="auto" w:sz="4" w:space="0"/>
              <w:left w:val="single" w:color="auto" w:sz="4" w:space="0"/>
              <w:bottom w:val="single" w:color="auto" w:sz="4" w:space="0"/>
              <w:right w:val="single" w:color="auto" w:sz="4" w:space="0"/>
            </w:tcBorders>
            <w:vAlign w:val="center"/>
          </w:tcPr>
          <w:p w14:paraId="0FC63708">
            <w:pPr>
              <w:adjustRightInd w:val="0"/>
              <w:snapToGrid w:val="0"/>
              <w:rPr>
                <w:rFonts w:ascii="宋体" w:hAnsi="宋体" w:cs="宋体"/>
                <w:szCs w:val="21"/>
              </w:rPr>
            </w:pPr>
          </w:p>
        </w:tc>
        <w:tc>
          <w:tcPr>
            <w:tcW w:w="5730" w:type="dxa"/>
            <w:tcBorders>
              <w:top w:val="single" w:color="auto" w:sz="4" w:space="0"/>
              <w:left w:val="single" w:color="auto" w:sz="4" w:space="0"/>
              <w:bottom w:val="single" w:color="auto" w:sz="4" w:space="0"/>
              <w:right w:val="single" w:color="auto" w:sz="4" w:space="0"/>
            </w:tcBorders>
            <w:vAlign w:val="center"/>
          </w:tcPr>
          <w:p w14:paraId="61D239E4">
            <w:pPr>
              <w:adjustRightInd w:val="0"/>
              <w:snapToGrid w:val="0"/>
              <w:rPr>
                <w:rFonts w:ascii="宋体" w:hAnsi="宋体" w:cs="宋体"/>
                <w:kern w:val="0"/>
                <w:szCs w:val="21"/>
              </w:rPr>
            </w:pPr>
            <w:r>
              <w:rPr>
                <w:rFonts w:hint="eastAsia" w:ascii="宋体" w:hAnsi="宋体" w:cs="宋体"/>
                <w:kern w:val="0"/>
                <w:szCs w:val="21"/>
              </w:rPr>
              <w:t>社区需求表达机制建设与实践。</w:t>
            </w:r>
          </w:p>
        </w:tc>
      </w:tr>
      <w:tr w14:paraId="4B78C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90" w:hRule="atLeast"/>
          <w:jc w:val="center"/>
        </w:trPr>
        <w:tc>
          <w:tcPr>
            <w:tcW w:w="1946" w:type="dxa"/>
            <w:vMerge w:val="continue"/>
            <w:tcBorders>
              <w:top w:val="single" w:color="auto" w:sz="4" w:space="0"/>
              <w:left w:val="single" w:color="auto" w:sz="4" w:space="0"/>
              <w:bottom w:val="single" w:color="auto" w:sz="4" w:space="0"/>
              <w:right w:val="single" w:color="auto" w:sz="4" w:space="0"/>
            </w:tcBorders>
            <w:vAlign w:val="center"/>
          </w:tcPr>
          <w:p w14:paraId="44268F27">
            <w:pPr>
              <w:adjustRightInd w:val="0"/>
              <w:snapToGrid w:val="0"/>
              <w:rPr>
                <w:rFonts w:ascii="宋体" w:hAnsi="宋体" w:cs="宋体"/>
                <w:szCs w:val="21"/>
              </w:rPr>
            </w:pPr>
          </w:p>
        </w:tc>
        <w:tc>
          <w:tcPr>
            <w:tcW w:w="2550" w:type="dxa"/>
            <w:vMerge w:val="continue"/>
            <w:tcBorders>
              <w:top w:val="single" w:color="auto" w:sz="4" w:space="0"/>
              <w:left w:val="single" w:color="auto" w:sz="4" w:space="0"/>
              <w:bottom w:val="single" w:color="auto" w:sz="4" w:space="0"/>
              <w:right w:val="single" w:color="auto" w:sz="4" w:space="0"/>
            </w:tcBorders>
            <w:vAlign w:val="center"/>
          </w:tcPr>
          <w:p w14:paraId="02B54F2E">
            <w:pPr>
              <w:adjustRightInd w:val="0"/>
              <w:snapToGrid w:val="0"/>
              <w:rPr>
                <w:rFonts w:ascii="宋体" w:hAnsi="宋体" w:cs="宋体"/>
                <w:szCs w:val="21"/>
              </w:rPr>
            </w:pPr>
          </w:p>
        </w:tc>
        <w:tc>
          <w:tcPr>
            <w:tcW w:w="5730" w:type="dxa"/>
            <w:tcBorders>
              <w:top w:val="single" w:color="auto" w:sz="4" w:space="0"/>
              <w:left w:val="single" w:color="auto" w:sz="4" w:space="0"/>
              <w:bottom w:val="single" w:color="auto" w:sz="4" w:space="0"/>
              <w:right w:val="single" w:color="auto" w:sz="4" w:space="0"/>
            </w:tcBorders>
            <w:vAlign w:val="center"/>
          </w:tcPr>
          <w:p w14:paraId="55C104CA">
            <w:pPr>
              <w:adjustRightInd w:val="0"/>
              <w:snapToGrid w:val="0"/>
              <w:rPr>
                <w:rFonts w:ascii="宋体" w:hAnsi="宋体" w:cs="宋体"/>
                <w:kern w:val="0"/>
                <w:szCs w:val="21"/>
              </w:rPr>
            </w:pPr>
            <w:r>
              <w:rPr>
                <w:rFonts w:hint="eastAsia" w:ascii="宋体" w:hAnsi="宋体" w:cs="宋体"/>
                <w:kern w:val="0"/>
                <w:szCs w:val="21"/>
              </w:rPr>
              <w:t>居民社区参与意识和能力培育服务，增强社区归属感和认同感。</w:t>
            </w:r>
          </w:p>
        </w:tc>
      </w:tr>
      <w:tr w14:paraId="66BAD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90" w:hRule="atLeast"/>
          <w:jc w:val="center"/>
        </w:trPr>
        <w:tc>
          <w:tcPr>
            <w:tcW w:w="1946" w:type="dxa"/>
            <w:vMerge w:val="continue"/>
            <w:tcBorders>
              <w:top w:val="single" w:color="auto" w:sz="4" w:space="0"/>
              <w:left w:val="single" w:color="auto" w:sz="4" w:space="0"/>
              <w:bottom w:val="single" w:color="auto" w:sz="4" w:space="0"/>
              <w:right w:val="single" w:color="auto" w:sz="4" w:space="0"/>
            </w:tcBorders>
            <w:vAlign w:val="center"/>
          </w:tcPr>
          <w:p w14:paraId="7E9C21BB">
            <w:pPr>
              <w:adjustRightInd w:val="0"/>
              <w:snapToGrid w:val="0"/>
              <w:rPr>
                <w:rFonts w:ascii="宋体" w:hAnsi="宋体" w:cs="宋体"/>
                <w:szCs w:val="21"/>
              </w:rPr>
            </w:pPr>
          </w:p>
        </w:tc>
        <w:tc>
          <w:tcPr>
            <w:tcW w:w="2550" w:type="dxa"/>
            <w:vMerge w:val="continue"/>
            <w:tcBorders>
              <w:top w:val="single" w:color="auto" w:sz="4" w:space="0"/>
              <w:left w:val="single" w:color="auto" w:sz="4" w:space="0"/>
              <w:bottom w:val="single" w:color="auto" w:sz="4" w:space="0"/>
              <w:right w:val="single" w:color="auto" w:sz="4" w:space="0"/>
            </w:tcBorders>
            <w:vAlign w:val="center"/>
          </w:tcPr>
          <w:p w14:paraId="5D5656E4">
            <w:pPr>
              <w:adjustRightInd w:val="0"/>
              <w:snapToGrid w:val="0"/>
              <w:rPr>
                <w:rFonts w:ascii="宋体" w:hAnsi="宋体" w:cs="宋体"/>
                <w:szCs w:val="21"/>
              </w:rPr>
            </w:pPr>
          </w:p>
        </w:tc>
        <w:tc>
          <w:tcPr>
            <w:tcW w:w="5730" w:type="dxa"/>
            <w:tcBorders>
              <w:top w:val="single" w:color="auto" w:sz="4" w:space="0"/>
              <w:left w:val="single" w:color="auto" w:sz="4" w:space="0"/>
              <w:bottom w:val="single" w:color="auto" w:sz="4" w:space="0"/>
              <w:right w:val="single" w:color="auto" w:sz="4" w:space="0"/>
            </w:tcBorders>
            <w:vAlign w:val="center"/>
          </w:tcPr>
          <w:p w14:paraId="65404830">
            <w:pPr>
              <w:adjustRightInd w:val="0"/>
              <w:snapToGrid w:val="0"/>
              <w:rPr>
                <w:rFonts w:ascii="宋体" w:hAnsi="宋体" w:cs="宋体"/>
                <w:kern w:val="0"/>
                <w:szCs w:val="21"/>
              </w:rPr>
            </w:pPr>
            <w:r>
              <w:rPr>
                <w:rFonts w:hint="eastAsia" w:ascii="宋体" w:hAnsi="宋体" w:cs="宋体"/>
                <w:kern w:val="0"/>
                <w:szCs w:val="21"/>
              </w:rPr>
              <w:t>培育社区共同体精神，开展社区居民文化素质与家庭美德、公民道德教育。</w:t>
            </w:r>
          </w:p>
        </w:tc>
      </w:tr>
      <w:tr w14:paraId="5AAB5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14" w:hRule="atLeast"/>
          <w:jc w:val="center"/>
        </w:trPr>
        <w:tc>
          <w:tcPr>
            <w:tcW w:w="1946" w:type="dxa"/>
            <w:vMerge w:val="continue"/>
            <w:tcBorders>
              <w:top w:val="single" w:color="auto" w:sz="4" w:space="0"/>
              <w:left w:val="single" w:color="auto" w:sz="4" w:space="0"/>
              <w:bottom w:val="single" w:color="auto" w:sz="4" w:space="0"/>
              <w:right w:val="single" w:color="auto" w:sz="4" w:space="0"/>
            </w:tcBorders>
            <w:vAlign w:val="center"/>
          </w:tcPr>
          <w:p w14:paraId="603DD3D7">
            <w:pPr>
              <w:adjustRightInd w:val="0"/>
              <w:snapToGrid w:val="0"/>
              <w:rPr>
                <w:rFonts w:ascii="宋体" w:hAnsi="宋体" w:cs="宋体"/>
                <w:szCs w:val="21"/>
              </w:rPr>
            </w:pPr>
          </w:p>
        </w:tc>
        <w:tc>
          <w:tcPr>
            <w:tcW w:w="2550" w:type="dxa"/>
            <w:vMerge w:val="continue"/>
            <w:tcBorders>
              <w:top w:val="single" w:color="auto" w:sz="4" w:space="0"/>
              <w:left w:val="single" w:color="auto" w:sz="4" w:space="0"/>
              <w:bottom w:val="single" w:color="auto" w:sz="4" w:space="0"/>
              <w:right w:val="single" w:color="auto" w:sz="4" w:space="0"/>
            </w:tcBorders>
            <w:vAlign w:val="center"/>
          </w:tcPr>
          <w:p w14:paraId="400B98A0">
            <w:pPr>
              <w:adjustRightInd w:val="0"/>
              <w:snapToGrid w:val="0"/>
              <w:rPr>
                <w:rFonts w:ascii="宋体" w:hAnsi="宋体" w:cs="宋体"/>
                <w:szCs w:val="21"/>
              </w:rPr>
            </w:pPr>
          </w:p>
        </w:tc>
        <w:tc>
          <w:tcPr>
            <w:tcW w:w="5730" w:type="dxa"/>
            <w:tcBorders>
              <w:top w:val="single" w:color="auto" w:sz="4" w:space="0"/>
              <w:left w:val="single" w:color="auto" w:sz="4" w:space="0"/>
              <w:bottom w:val="single" w:color="auto" w:sz="4" w:space="0"/>
              <w:right w:val="single" w:color="auto" w:sz="4" w:space="0"/>
            </w:tcBorders>
            <w:vAlign w:val="center"/>
          </w:tcPr>
          <w:p w14:paraId="602C918F">
            <w:pPr>
              <w:adjustRightInd w:val="0"/>
              <w:snapToGrid w:val="0"/>
              <w:rPr>
                <w:rFonts w:ascii="宋体" w:hAnsi="宋体" w:cs="宋体"/>
                <w:kern w:val="0"/>
                <w:szCs w:val="21"/>
              </w:rPr>
            </w:pPr>
            <w:r>
              <w:rPr>
                <w:rFonts w:hint="eastAsia" w:ascii="宋体" w:hAnsi="宋体" w:cs="宋体"/>
                <w:kern w:val="0"/>
                <w:szCs w:val="21"/>
              </w:rPr>
              <w:t>协助居委会组织居民制定完善居民公约，引导形成社区居民积极向上、共治共享的生活态度和行为规范。</w:t>
            </w:r>
          </w:p>
        </w:tc>
      </w:tr>
      <w:tr w14:paraId="694B9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909" w:hRule="atLeast"/>
          <w:jc w:val="center"/>
        </w:trPr>
        <w:tc>
          <w:tcPr>
            <w:tcW w:w="1946" w:type="dxa"/>
            <w:vMerge w:val="continue"/>
            <w:tcBorders>
              <w:top w:val="single" w:color="auto" w:sz="4" w:space="0"/>
              <w:left w:val="single" w:color="auto" w:sz="4" w:space="0"/>
              <w:bottom w:val="single" w:color="auto" w:sz="4" w:space="0"/>
              <w:right w:val="single" w:color="auto" w:sz="4" w:space="0"/>
            </w:tcBorders>
            <w:vAlign w:val="center"/>
          </w:tcPr>
          <w:p w14:paraId="68C3FCD6">
            <w:pPr>
              <w:adjustRightInd w:val="0"/>
              <w:snapToGrid w:val="0"/>
              <w:rPr>
                <w:rFonts w:ascii="宋体" w:hAnsi="宋体" w:cs="宋体"/>
                <w:szCs w:val="21"/>
              </w:rPr>
            </w:pPr>
          </w:p>
        </w:tc>
        <w:tc>
          <w:tcPr>
            <w:tcW w:w="2550" w:type="dxa"/>
            <w:vMerge w:val="continue"/>
            <w:tcBorders>
              <w:top w:val="single" w:color="auto" w:sz="4" w:space="0"/>
              <w:left w:val="single" w:color="auto" w:sz="4" w:space="0"/>
              <w:bottom w:val="single" w:color="auto" w:sz="4" w:space="0"/>
              <w:right w:val="single" w:color="auto" w:sz="4" w:space="0"/>
            </w:tcBorders>
            <w:vAlign w:val="center"/>
          </w:tcPr>
          <w:p w14:paraId="24541AE4">
            <w:pPr>
              <w:adjustRightInd w:val="0"/>
              <w:snapToGrid w:val="0"/>
              <w:rPr>
                <w:rFonts w:ascii="宋体" w:hAnsi="宋体" w:cs="宋体"/>
                <w:szCs w:val="21"/>
              </w:rPr>
            </w:pPr>
          </w:p>
        </w:tc>
        <w:tc>
          <w:tcPr>
            <w:tcW w:w="5730" w:type="dxa"/>
            <w:tcBorders>
              <w:top w:val="single" w:color="auto" w:sz="4" w:space="0"/>
              <w:left w:val="single" w:color="auto" w:sz="4" w:space="0"/>
              <w:bottom w:val="single" w:color="auto" w:sz="4" w:space="0"/>
              <w:right w:val="single" w:color="auto" w:sz="4" w:space="0"/>
            </w:tcBorders>
            <w:vAlign w:val="center"/>
          </w:tcPr>
          <w:p w14:paraId="5E77596E">
            <w:pPr>
              <w:adjustRightInd w:val="0"/>
              <w:snapToGrid w:val="0"/>
              <w:rPr>
                <w:rFonts w:ascii="宋体" w:hAnsi="宋体" w:cs="宋体"/>
                <w:kern w:val="0"/>
                <w:szCs w:val="21"/>
              </w:rPr>
            </w:pPr>
            <w:r>
              <w:rPr>
                <w:rFonts w:hint="eastAsia" w:ascii="宋体" w:hAnsi="宋体" w:cs="宋体"/>
                <w:kern w:val="0"/>
                <w:szCs w:val="21"/>
              </w:rPr>
              <w:t>利用社区资源，组织协调社区各种力量，举办文化、教育和科普等活动以及各类社区大型活动（如社区邻里节、社区文化节、社区运动会等）。</w:t>
            </w:r>
          </w:p>
        </w:tc>
      </w:tr>
      <w:tr w14:paraId="55B6C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90" w:hRule="atLeast"/>
          <w:jc w:val="center"/>
        </w:trPr>
        <w:tc>
          <w:tcPr>
            <w:tcW w:w="1946" w:type="dxa"/>
            <w:vMerge w:val="continue"/>
            <w:tcBorders>
              <w:top w:val="single" w:color="auto" w:sz="4" w:space="0"/>
              <w:left w:val="single" w:color="auto" w:sz="4" w:space="0"/>
              <w:bottom w:val="single" w:color="auto" w:sz="4" w:space="0"/>
              <w:right w:val="single" w:color="auto" w:sz="4" w:space="0"/>
            </w:tcBorders>
            <w:vAlign w:val="center"/>
          </w:tcPr>
          <w:p w14:paraId="61452768">
            <w:pPr>
              <w:adjustRightInd w:val="0"/>
              <w:snapToGrid w:val="0"/>
              <w:rPr>
                <w:rFonts w:ascii="宋体" w:hAnsi="宋体" w:cs="宋体"/>
                <w:szCs w:val="21"/>
              </w:rPr>
            </w:pPr>
          </w:p>
        </w:tc>
        <w:tc>
          <w:tcPr>
            <w:tcW w:w="2550" w:type="dxa"/>
            <w:vMerge w:val="continue"/>
            <w:tcBorders>
              <w:top w:val="single" w:color="auto" w:sz="4" w:space="0"/>
              <w:left w:val="single" w:color="auto" w:sz="4" w:space="0"/>
              <w:bottom w:val="single" w:color="auto" w:sz="4" w:space="0"/>
              <w:right w:val="single" w:color="auto" w:sz="4" w:space="0"/>
            </w:tcBorders>
            <w:vAlign w:val="center"/>
          </w:tcPr>
          <w:p w14:paraId="2F7549BC">
            <w:pPr>
              <w:adjustRightInd w:val="0"/>
              <w:snapToGrid w:val="0"/>
              <w:rPr>
                <w:rFonts w:ascii="宋体" w:hAnsi="宋体" w:cs="宋体"/>
                <w:szCs w:val="21"/>
              </w:rPr>
            </w:pPr>
          </w:p>
        </w:tc>
        <w:tc>
          <w:tcPr>
            <w:tcW w:w="5730" w:type="dxa"/>
            <w:tcBorders>
              <w:top w:val="single" w:color="auto" w:sz="4" w:space="0"/>
              <w:left w:val="single" w:color="auto" w:sz="4" w:space="0"/>
              <w:bottom w:val="single" w:color="auto" w:sz="4" w:space="0"/>
              <w:right w:val="single" w:color="auto" w:sz="4" w:space="0"/>
            </w:tcBorders>
            <w:vAlign w:val="center"/>
          </w:tcPr>
          <w:p w14:paraId="659491E0">
            <w:pPr>
              <w:adjustRightInd w:val="0"/>
              <w:snapToGrid w:val="0"/>
              <w:rPr>
                <w:rFonts w:ascii="宋体" w:hAnsi="宋体" w:cs="宋体"/>
                <w:kern w:val="0"/>
                <w:szCs w:val="21"/>
              </w:rPr>
            </w:pPr>
            <w:r>
              <w:rPr>
                <w:rFonts w:hint="eastAsia" w:ascii="宋体" w:hAnsi="宋体" w:cs="宋体"/>
                <w:kern w:val="0"/>
                <w:szCs w:val="21"/>
              </w:rPr>
              <w:t>社区发展相关的政策倡导。</w:t>
            </w:r>
          </w:p>
        </w:tc>
      </w:tr>
      <w:tr w14:paraId="3EAEA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90" w:hRule="atLeast"/>
          <w:jc w:val="center"/>
        </w:trPr>
        <w:tc>
          <w:tcPr>
            <w:tcW w:w="1946" w:type="dxa"/>
            <w:vMerge w:val="continue"/>
            <w:tcBorders>
              <w:top w:val="single" w:color="auto" w:sz="4" w:space="0"/>
              <w:left w:val="single" w:color="auto" w:sz="4" w:space="0"/>
              <w:bottom w:val="single" w:color="auto" w:sz="4" w:space="0"/>
              <w:right w:val="single" w:color="auto" w:sz="4" w:space="0"/>
            </w:tcBorders>
            <w:vAlign w:val="center"/>
          </w:tcPr>
          <w:p w14:paraId="45439EBF">
            <w:pPr>
              <w:adjustRightInd w:val="0"/>
              <w:snapToGrid w:val="0"/>
              <w:rPr>
                <w:rFonts w:ascii="宋体" w:hAnsi="宋体" w:cs="宋体"/>
                <w:szCs w:val="21"/>
              </w:rPr>
            </w:pPr>
          </w:p>
        </w:tc>
        <w:tc>
          <w:tcPr>
            <w:tcW w:w="2550" w:type="dxa"/>
            <w:vMerge w:val="continue"/>
            <w:tcBorders>
              <w:top w:val="single" w:color="auto" w:sz="4" w:space="0"/>
              <w:left w:val="single" w:color="auto" w:sz="4" w:space="0"/>
              <w:bottom w:val="single" w:color="auto" w:sz="4" w:space="0"/>
              <w:right w:val="single" w:color="auto" w:sz="4" w:space="0"/>
            </w:tcBorders>
            <w:vAlign w:val="center"/>
          </w:tcPr>
          <w:p w14:paraId="1ADB84EB">
            <w:pPr>
              <w:adjustRightInd w:val="0"/>
              <w:snapToGrid w:val="0"/>
              <w:rPr>
                <w:rFonts w:ascii="宋体" w:hAnsi="宋体" w:cs="宋体"/>
                <w:szCs w:val="21"/>
              </w:rPr>
            </w:pPr>
          </w:p>
        </w:tc>
        <w:tc>
          <w:tcPr>
            <w:tcW w:w="5730" w:type="dxa"/>
            <w:tcBorders>
              <w:top w:val="single" w:color="auto" w:sz="4" w:space="0"/>
              <w:left w:val="single" w:color="auto" w:sz="4" w:space="0"/>
              <w:bottom w:val="single" w:color="auto" w:sz="4" w:space="0"/>
              <w:right w:val="single" w:color="auto" w:sz="4" w:space="0"/>
            </w:tcBorders>
            <w:vAlign w:val="center"/>
          </w:tcPr>
          <w:p w14:paraId="6D908C1A">
            <w:pPr>
              <w:adjustRightInd w:val="0"/>
              <w:snapToGrid w:val="0"/>
              <w:rPr>
                <w:rFonts w:ascii="宋体" w:hAnsi="宋体" w:cs="宋体"/>
                <w:kern w:val="0"/>
                <w:szCs w:val="21"/>
              </w:rPr>
            </w:pPr>
            <w:r>
              <w:rPr>
                <w:rFonts w:hint="eastAsia" w:ascii="宋体" w:hAnsi="宋体" w:cs="宋体"/>
                <w:kern w:val="0"/>
                <w:szCs w:val="21"/>
              </w:rPr>
              <w:t>挖掘、培育和传承社区文化，营造社区品牌服务。</w:t>
            </w:r>
          </w:p>
        </w:tc>
      </w:tr>
      <w:tr w14:paraId="68418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277" w:hRule="atLeast"/>
          <w:jc w:val="center"/>
        </w:trPr>
        <w:tc>
          <w:tcPr>
            <w:tcW w:w="1946" w:type="dxa"/>
            <w:vMerge w:val="continue"/>
            <w:tcBorders>
              <w:top w:val="single" w:color="auto" w:sz="4" w:space="0"/>
              <w:left w:val="single" w:color="auto" w:sz="4" w:space="0"/>
              <w:bottom w:val="single" w:color="auto" w:sz="4" w:space="0"/>
              <w:right w:val="single" w:color="auto" w:sz="4" w:space="0"/>
            </w:tcBorders>
            <w:vAlign w:val="center"/>
          </w:tcPr>
          <w:p w14:paraId="527628F7">
            <w:pPr>
              <w:adjustRightInd w:val="0"/>
              <w:snapToGrid w:val="0"/>
              <w:rPr>
                <w:rFonts w:ascii="宋体" w:hAnsi="宋体" w:cs="宋体"/>
                <w:szCs w:val="21"/>
              </w:rPr>
            </w:pPr>
          </w:p>
        </w:tc>
        <w:tc>
          <w:tcPr>
            <w:tcW w:w="2550" w:type="dxa"/>
            <w:vMerge w:val="continue"/>
            <w:tcBorders>
              <w:top w:val="single" w:color="auto" w:sz="4" w:space="0"/>
              <w:left w:val="single" w:color="auto" w:sz="4" w:space="0"/>
              <w:bottom w:val="single" w:color="auto" w:sz="4" w:space="0"/>
              <w:right w:val="single" w:color="auto" w:sz="4" w:space="0"/>
            </w:tcBorders>
            <w:vAlign w:val="center"/>
          </w:tcPr>
          <w:p w14:paraId="6F2F326A">
            <w:pPr>
              <w:adjustRightInd w:val="0"/>
              <w:snapToGrid w:val="0"/>
              <w:rPr>
                <w:rFonts w:ascii="宋体" w:hAnsi="宋体" w:cs="宋体"/>
                <w:szCs w:val="21"/>
              </w:rPr>
            </w:pPr>
          </w:p>
        </w:tc>
        <w:tc>
          <w:tcPr>
            <w:tcW w:w="5730" w:type="dxa"/>
            <w:tcBorders>
              <w:top w:val="single" w:color="auto" w:sz="4" w:space="0"/>
              <w:left w:val="single" w:color="auto" w:sz="4" w:space="0"/>
              <w:bottom w:val="single" w:color="auto" w:sz="4" w:space="0"/>
              <w:right w:val="single" w:color="auto" w:sz="4" w:space="0"/>
            </w:tcBorders>
            <w:vAlign w:val="center"/>
          </w:tcPr>
          <w:p w14:paraId="5AEA071D">
            <w:pPr>
              <w:adjustRightInd w:val="0"/>
              <w:snapToGrid w:val="0"/>
              <w:rPr>
                <w:rFonts w:ascii="宋体" w:hAnsi="宋体" w:cs="宋体"/>
                <w:kern w:val="0"/>
                <w:szCs w:val="21"/>
              </w:rPr>
            </w:pPr>
            <w:r>
              <w:rPr>
                <w:rFonts w:hint="eastAsia" w:ascii="宋体" w:hAnsi="宋体" w:cs="宋体"/>
                <w:kern w:val="0"/>
                <w:szCs w:val="21"/>
              </w:rPr>
              <w:t>社区内发生的公共危机事件的评估和介入服务，并及时向相关部门报备。</w:t>
            </w:r>
          </w:p>
        </w:tc>
      </w:tr>
      <w:tr w14:paraId="0D4D7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603" w:hRule="atLeast"/>
          <w:jc w:val="center"/>
        </w:trPr>
        <w:tc>
          <w:tcPr>
            <w:tcW w:w="1946" w:type="dxa"/>
            <w:vMerge w:val="continue"/>
            <w:tcBorders>
              <w:top w:val="single" w:color="auto" w:sz="4" w:space="0"/>
              <w:left w:val="single" w:color="auto" w:sz="4" w:space="0"/>
              <w:bottom w:val="single" w:color="auto" w:sz="4" w:space="0"/>
              <w:right w:val="single" w:color="auto" w:sz="4" w:space="0"/>
            </w:tcBorders>
            <w:vAlign w:val="center"/>
          </w:tcPr>
          <w:p w14:paraId="42995004">
            <w:pPr>
              <w:adjustRightInd w:val="0"/>
              <w:snapToGrid w:val="0"/>
              <w:rPr>
                <w:rFonts w:ascii="宋体" w:hAnsi="宋体" w:cs="宋体"/>
                <w:szCs w:val="21"/>
              </w:rPr>
            </w:pPr>
          </w:p>
        </w:tc>
        <w:tc>
          <w:tcPr>
            <w:tcW w:w="2550" w:type="dxa"/>
            <w:vMerge w:val="continue"/>
            <w:tcBorders>
              <w:top w:val="single" w:color="auto" w:sz="4" w:space="0"/>
              <w:left w:val="single" w:color="auto" w:sz="4" w:space="0"/>
              <w:bottom w:val="single" w:color="auto" w:sz="4" w:space="0"/>
              <w:right w:val="single" w:color="auto" w:sz="4" w:space="0"/>
            </w:tcBorders>
            <w:vAlign w:val="center"/>
          </w:tcPr>
          <w:p w14:paraId="56CD3748">
            <w:pPr>
              <w:adjustRightInd w:val="0"/>
              <w:snapToGrid w:val="0"/>
              <w:rPr>
                <w:rFonts w:ascii="宋体" w:hAnsi="宋体" w:cs="宋体"/>
                <w:szCs w:val="21"/>
              </w:rPr>
            </w:pPr>
          </w:p>
        </w:tc>
        <w:tc>
          <w:tcPr>
            <w:tcW w:w="5730" w:type="dxa"/>
            <w:tcBorders>
              <w:top w:val="single" w:color="auto" w:sz="4" w:space="0"/>
              <w:left w:val="single" w:color="auto" w:sz="4" w:space="0"/>
              <w:bottom w:val="single" w:color="auto" w:sz="4" w:space="0"/>
              <w:right w:val="single" w:color="auto" w:sz="4" w:space="0"/>
            </w:tcBorders>
            <w:vAlign w:val="center"/>
          </w:tcPr>
          <w:p w14:paraId="4E7FF2FF">
            <w:pPr>
              <w:adjustRightInd w:val="0"/>
              <w:snapToGrid w:val="0"/>
              <w:rPr>
                <w:rFonts w:ascii="宋体" w:hAnsi="宋体" w:cs="宋体"/>
                <w:kern w:val="0"/>
                <w:szCs w:val="21"/>
              </w:rPr>
            </w:pPr>
            <w:r>
              <w:rPr>
                <w:rFonts w:hint="eastAsia" w:ascii="宋体" w:hAnsi="宋体" w:cs="宋体"/>
                <w:kern w:val="0"/>
                <w:szCs w:val="21"/>
              </w:rPr>
              <w:t>协助提供场地、设施及人力支持，发挥好社工在公共应急方面的专业作用，配合和协助有关部门做好社区公共事件的应急与援助工作。</w:t>
            </w:r>
          </w:p>
        </w:tc>
      </w:tr>
      <w:tr w14:paraId="71F62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227" w:hRule="atLeast"/>
          <w:jc w:val="center"/>
        </w:trPr>
        <w:tc>
          <w:tcPr>
            <w:tcW w:w="1946" w:type="dxa"/>
            <w:vMerge w:val="continue"/>
            <w:tcBorders>
              <w:top w:val="single" w:color="auto" w:sz="4" w:space="0"/>
              <w:left w:val="single" w:color="auto" w:sz="4" w:space="0"/>
              <w:bottom w:val="single" w:color="auto" w:sz="4" w:space="0"/>
              <w:right w:val="single" w:color="auto" w:sz="4" w:space="0"/>
            </w:tcBorders>
            <w:vAlign w:val="center"/>
          </w:tcPr>
          <w:p w14:paraId="51A5B2F2">
            <w:pPr>
              <w:adjustRightInd w:val="0"/>
              <w:snapToGrid w:val="0"/>
              <w:rPr>
                <w:rFonts w:ascii="宋体" w:hAnsi="宋体" w:cs="宋体"/>
                <w:szCs w:val="21"/>
              </w:rPr>
            </w:pPr>
          </w:p>
        </w:tc>
        <w:tc>
          <w:tcPr>
            <w:tcW w:w="2550" w:type="dxa"/>
            <w:vMerge w:val="continue"/>
            <w:tcBorders>
              <w:top w:val="single" w:color="auto" w:sz="4" w:space="0"/>
              <w:left w:val="single" w:color="auto" w:sz="4" w:space="0"/>
              <w:bottom w:val="single" w:color="auto" w:sz="4" w:space="0"/>
              <w:right w:val="single" w:color="auto" w:sz="4" w:space="0"/>
            </w:tcBorders>
            <w:vAlign w:val="center"/>
          </w:tcPr>
          <w:p w14:paraId="36A6A676">
            <w:pPr>
              <w:adjustRightInd w:val="0"/>
              <w:snapToGrid w:val="0"/>
              <w:rPr>
                <w:rFonts w:ascii="宋体" w:hAnsi="宋体" w:cs="宋体"/>
                <w:szCs w:val="21"/>
              </w:rPr>
            </w:pPr>
          </w:p>
        </w:tc>
        <w:tc>
          <w:tcPr>
            <w:tcW w:w="5730" w:type="dxa"/>
            <w:tcBorders>
              <w:top w:val="single" w:color="auto" w:sz="4" w:space="0"/>
              <w:left w:val="single" w:color="auto" w:sz="4" w:space="0"/>
              <w:bottom w:val="single" w:color="auto" w:sz="4" w:space="0"/>
              <w:right w:val="single" w:color="auto" w:sz="4" w:space="0"/>
            </w:tcBorders>
            <w:vAlign w:val="center"/>
          </w:tcPr>
          <w:p w14:paraId="615F9A3E">
            <w:pPr>
              <w:adjustRightInd w:val="0"/>
              <w:snapToGrid w:val="0"/>
              <w:rPr>
                <w:rFonts w:ascii="宋体" w:hAnsi="宋体" w:cs="宋体"/>
                <w:kern w:val="0"/>
                <w:szCs w:val="21"/>
              </w:rPr>
            </w:pPr>
            <w:r>
              <w:rPr>
                <w:rFonts w:hint="eastAsia" w:ascii="宋体" w:hAnsi="宋体" w:cs="宋体"/>
                <w:kern w:val="0"/>
                <w:szCs w:val="21"/>
              </w:rPr>
              <w:t>联合专业力量，宣传和普及社区防灾减灾知识和培养居民自我紧急救助能力。</w:t>
            </w:r>
          </w:p>
        </w:tc>
      </w:tr>
      <w:tr w14:paraId="3C7C0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228" w:hRule="atLeast"/>
          <w:jc w:val="center"/>
        </w:trPr>
        <w:tc>
          <w:tcPr>
            <w:tcW w:w="1946" w:type="dxa"/>
            <w:vMerge w:val="continue"/>
            <w:tcBorders>
              <w:top w:val="single" w:color="auto" w:sz="4" w:space="0"/>
              <w:left w:val="single" w:color="auto" w:sz="4" w:space="0"/>
              <w:bottom w:val="single" w:color="auto" w:sz="4" w:space="0"/>
              <w:right w:val="single" w:color="auto" w:sz="4" w:space="0"/>
            </w:tcBorders>
            <w:vAlign w:val="center"/>
          </w:tcPr>
          <w:p w14:paraId="479DFB1B">
            <w:pPr>
              <w:adjustRightInd w:val="0"/>
              <w:snapToGrid w:val="0"/>
              <w:rPr>
                <w:rFonts w:ascii="宋体" w:hAnsi="宋体" w:cs="宋体"/>
                <w:szCs w:val="21"/>
              </w:rPr>
            </w:pPr>
          </w:p>
        </w:tc>
        <w:tc>
          <w:tcPr>
            <w:tcW w:w="2550" w:type="dxa"/>
            <w:vMerge w:val="continue"/>
            <w:tcBorders>
              <w:top w:val="single" w:color="auto" w:sz="4" w:space="0"/>
              <w:left w:val="single" w:color="auto" w:sz="4" w:space="0"/>
              <w:bottom w:val="single" w:color="auto" w:sz="4" w:space="0"/>
              <w:right w:val="single" w:color="auto" w:sz="4" w:space="0"/>
            </w:tcBorders>
            <w:vAlign w:val="center"/>
          </w:tcPr>
          <w:p w14:paraId="1DD1EFEA">
            <w:pPr>
              <w:adjustRightInd w:val="0"/>
              <w:snapToGrid w:val="0"/>
              <w:rPr>
                <w:rFonts w:ascii="宋体" w:hAnsi="宋体" w:cs="宋体"/>
                <w:szCs w:val="21"/>
              </w:rPr>
            </w:pPr>
          </w:p>
        </w:tc>
        <w:tc>
          <w:tcPr>
            <w:tcW w:w="5730" w:type="dxa"/>
            <w:tcBorders>
              <w:top w:val="single" w:color="auto" w:sz="4" w:space="0"/>
              <w:left w:val="single" w:color="auto" w:sz="4" w:space="0"/>
              <w:bottom w:val="single" w:color="auto" w:sz="4" w:space="0"/>
              <w:right w:val="single" w:color="auto" w:sz="4" w:space="0"/>
            </w:tcBorders>
            <w:vAlign w:val="center"/>
          </w:tcPr>
          <w:p w14:paraId="4A102755">
            <w:pPr>
              <w:adjustRightInd w:val="0"/>
              <w:snapToGrid w:val="0"/>
              <w:rPr>
                <w:rFonts w:ascii="宋体" w:hAnsi="宋体" w:cs="宋体"/>
                <w:kern w:val="0"/>
                <w:szCs w:val="21"/>
              </w:rPr>
            </w:pPr>
            <w:r>
              <w:rPr>
                <w:rFonts w:hint="eastAsia" w:ascii="宋体" w:hAnsi="宋体" w:cs="宋体"/>
                <w:kern w:val="0"/>
                <w:szCs w:val="21"/>
              </w:rPr>
              <w:t>配合或协助有关部门开展社区内发生的其它紧急公共事件服务。</w:t>
            </w:r>
          </w:p>
        </w:tc>
      </w:tr>
    </w:tbl>
    <w:p w14:paraId="61A1A950">
      <w:pPr>
        <w:pStyle w:val="2"/>
        <w:spacing w:line="240" w:lineRule="auto"/>
        <w:rPr>
          <w:lang w:eastAsia="zh-CN"/>
        </w:rPr>
      </w:pPr>
    </w:p>
    <w:p w14:paraId="485537E3">
      <w:pPr>
        <w:adjustRightInd w:val="0"/>
        <w:snapToGrid w:val="0"/>
        <w:ind w:firstLine="420" w:firstLineChars="200"/>
        <w:outlineLvl w:val="0"/>
        <w:rPr>
          <w:rFonts w:asciiTheme="minorEastAsia" w:hAnsiTheme="minorEastAsia" w:eastAsiaTheme="minorEastAsia" w:cstheme="minorEastAsia"/>
          <w:color w:val="000000"/>
          <w:szCs w:val="21"/>
        </w:rPr>
      </w:pPr>
      <w:r>
        <w:rPr>
          <w:rFonts w:hint="eastAsia" w:asciiTheme="minorEastAsia" w:hAnsiTheme="minorEastAsia" w:eastAsiaTheme="minorEastAsia" w:cstheme="minorEastAsia"/>
          <w:color w:val="000000"/>
          <w:szCs w:val="21"/>
        </w:rPr>
        <w:t>4.4专项服务项目</w:t>
      </w:r>
    </w:p>
    <w:p w14:paraId="19824005">
      <w:pPr>
        <w:adjustRightInd w:val="0"/>
        <w:snapToGrid w:val="0"/>
        <w:ind w:firstLine="420" w:firstLineChars="200"/>
        <w:outlineLvl w:val="0"/>
        <w:rPr>
          <w:rFonts w:asciiTheme="minorEastAsia" w:hAnsiTheme="minorEastAsia" w:eastAsiaTheme="minorEastAsia" w:cstheme="minorEastAsia"/>
          <w:color w:val="000000"/>
          <w:szCs w:val="21"/>
        </w:rPr>
      </w:pPr>
      <w:r>
        <w:rPr>
          <w:rFonts w:hint="eastAsia" w:asciiTheme="minorEastAsia" w:hAnsiTheme="minorEastAsia" w:eastAsiaTheme="minorEastAsia" w:cstheme="minorEastAsia"/>
          <w:color w:val="000000"/>
          <w:szCs w:val="21"/>
        </w:rPr>
        <w:t>4.4.1协同支持开展专项服务</w:t>
      </w:r>
    </w:p>
    <w:p w14:paraId="432909E1">
      <w:pPr>
        <w:adjustRightInd w:val="0"/>
        <w:snapToGrid w:val="0"/>
        <w:ind w:firstLine="420" w:firstLineChars="200"/>
        <w:outlineLvl w:val="0"/>
        <w:rPr>
          <w:rFonts w:asciiTheme="minorEastAsia" w:hAnsiTheme="minorEastAsia" w:eastAsiaTheme="minorEastAsia" w:cstheme="minorEastAsia"/>
          <w:color w:val="000000"/>
          <w:szCs w:val="21"/>
        </w:rPr>
      </w:pPr>
      <w:r>
        <w:rPr>
          <w:rFonts w:hint="eastAsia" w:asciiTheme="minorEastAsia" w:hAnsiTheme="minorEastAsia" w:eastAsiaTheme="minorEastAsia" w:cstheme="minorEastAsia"/>
          <w:color w:val="000000"/>
          <w:szCs w:val="21"/>
        </w:rPr>
        <w:t>推动实施社区“民生微实事”项目：结合社区特定需求，为需要实施的社区“民生微实事”项目提供需求调查、策划设计等相关工作。</w:t>
      </w:r>
    </w:p>
    <w:p w14:paraId="013352B7">
      <w:pPr>
        <w:adjustRightInd w:val="0"/>
        <w:snapToGrid w:val="0"/>
        <w:ind w:firstLine="420" w:firstLineChars="200"/>
        <w:outlineLvl w:val="0"/>
        <w:rPr>
          <w:rFonts w:asciiTheme="minorEastAsia" w:hAnsiTheme="minorEastAsia" w:eastAsiaTheme="minorEastAsia" w:cstheme="minorEastAsia"/>
          <w:color w:val="000000"/>
          <w:szCs w:val="21"/>
        </w:rPr>
      </w:pPr>
      <w:r>
        <w:rPr>
          <w:rFonts w:hint="eastAsia" w:asciiTheme="minorEastAsia" w:hAnsiTheme="minorEastAsia" w:eastAsiaTheme="minorEastAsia" w:cstheme="minorEastAsia"/>
          <w:color w:val="000000"/>
          <w:szCs w:val="21"/>
        </w:rPr>
        <w:t>推动实施社区心理健康服务建设项目：协同开展社区心理健康促进与教育，协助安心驿站工作，协同开展社区心理疏导和危机干预等工作。</w:t>
      </w:r>
    </w:p>
    <w:p w14:paraId="27574E6A">
      <w:pPr>
        <w:adjustRightInd w:val="0"/>
        <w:snapToGrid w:val="0"/>
        <w:ind w:firstLine="420" w:firstLineChars="200"/>
        <w:outlineLvl w:val="0"/>
        <w:rPr>
          <w:rFonts w:asciiTheme="minorEastAsia" w:hAnsiTheme="minorEastAsia" w:eastAsiaTheme="minorEastAsia" w:cstheme="minorEastAsia"/>
          <w:color w:val="000000"/>
          <w:szCs w:val="21"/>
        </w:rPr>
      </w:pPr>
      <w:r>
        <w:rPr>
          <w:rFonts w:hint="eastAsia" w:asciiTheme="minorEastAsia" w:hAnsiTheme="minorEastAsia" w:eastAsiaTheme="minorEastAsia" w:cstheme="minorEastAsia"/>
          <w:color w:val="000000"/>
          <w:szCs w:val="21"/>
        </w:rPr>
        <w:t>推动实施“幸福生活节”系列活动服务项目：定期开展“幸福生活节”系列活动，提升社区党群服务中心在群众中的影响力和欢迎度。</w:t>
      </w:r>
    </w:p>
    <w:tbl>
      <w:tblPr>
        <w:tblStyle w:val="4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032"/>
        <w:gridCol w:w="2483"/>
        <w:gridCol w:w="5782"/>
      </w:tblGrid>
      <w:tr w14:paraId="0BFE6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8" w:hRule="atLeast"/>
          <w:jc w:val="center"/>
        </w:trPr>
        <w:tc>
          <w:tcPr>
            <w:tcW w:w="2032" w:type="dxa"/>
            <w:vAlign w:val="center"/>
          </w:tcPr>
          <w:p w14:paraId="79C48477">
            <w:pPr>
              <w:widowControl/>
              <w:jc w:val="center"/>
              <w:rPr>
                <w:rFonts w:ascii="宋体" w:hAnsi="宋体" w:cs="宋体"/>
                <w:b/>
                <w:bCs/>
                <w:kern w:val="0"/>
                <w:szCs w:val="21"/>
              </w:rPr>
            </w:pPr>
            <w:r>
              <w:rPr>
                <w:rFonts w:hint="eastAsia" w:ascii="宋体" w:hAnsi="宋体" w:cs="宋体"/>
                <w:b/>
                <w:bCs/>
                <w:kern w:val="0"/>
                <w:szCs w:val="21"/>
              </w:rPr>
              <w:t>服务大项</w:t>
            </w:r>
          </w:p>
        </w:tc>
        <w:tc>
          <w:tcPr>
            <w:tcW w:w="2483" w:type="dxa"/>
            <w:vAlign w:val="center"/>
          </w:tcPr>
          <w:p w14:paraId="49D5EED8">
            <w:pPr>
              <w:widowControl/>
              <w:jc w:val="center"/>
              <w:rPr>
                <w:rFonts w:ascii="宋体" w:hAnsi="宋体" w:cs="宋体"/>
                <w:b/>
                <w:bCs/>
                <w:kern w:val="0"/>
                <w:szCs w:val="21"/>
              </w:rPr>
            </w:pPr>
            <w:r>
              <w:rPr>
                <w:rFonts w:hint="eastAsia" w:ascii="宋体" w:hAnsi="宋体" w:cs="宋体"/>
                <w:b/>
                <w:bCs/>
                <w:kern w:val="0"/>
                <w:szCs w:val="21"/>
              </w:rPr>
              <w:t>服务来源</w:t>
            </w:r>
          </w:p>
        </w:tc>
        <w:tc>
          <w:tcPr>
            <w:tcW w:w="5782" w:type="dxa"/>
            <w:vAlign w:val="center"/>
          </w:tcPr>
          <w:p w14:paraId="6205A9D4">
            <w:pPr>
              <w:widowControl/>
              <w:jc w:val="center"/>
              <w:rPr>
                <w:rFonts w:ascii="宋体" w:hAnsi="宋体" w:cs="宋体"/>
                <w:b/>
                <w:bCs/>
                <w:kern w:val="0"/>
                <w:szCs w:val="21"/>
              </w:rPr>
            </w:pPr>
            <w:r>
              <w:rPr>
                <w:rFonts w:hint="eastAsia" w:ascii="宋体" w:hAnsi="宋体" w:cs="宋体"/>
                <w:b/>
                <w:kern w:val="0"/>
                <w:szCs w:val="21"/>
              </w:rPr>
              <w:t>服务细项</w:t>
            </w:r>
          </w:p>
        </w:tc>
      </w:tr>
      <w:tr w14:paraId="320F8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57" w:hRule="atLeast"/>
          <w:jc w:val="center"/>
        </w:trPr>
        <w:tc>
          <w:tcPr>
            <w:tcW w:w="2032" w:type="dxa"/>
            <w:vAlign w:val="center"/>
          </w:tcPr>
          <w:p w14:paraId="74D5EA65">
            <w:pPr>
              <w:adjustRightInd w:val="0"/>
              <w:snapToGrid w:val="0"/>
              <w:jc w:val="center"/>
              <w:rPr>
                <w:rFonts w:ascii="宋体" w:hAnsi="宋体" w:cs="宋体"/>
                <w:b/>
                <w:kern w:val="0"/>
                <w:szCs w:val="21"/>
              </w:rPr>
            </w:pPr>
            <w:r>
              <w:rPr>
                <w:rFonts w:hint="eastAsia" w:ascii="宋体" w:hAnsi="宋体" w:cs="宋体"/>
                <w:kern w:val="0"/>
                <w:szCs w:val="21"/>
              </w:rPr>
              <w:t>推动实施社区“民生微实事”项目</w:t>
            </w:r>
          </w:p>
        </w:tc>
        <w:tc>
          <w:tcPr>
            <w:tcW w:w="2483" w:type="dxa"/>
            <w:vAlign w:val="center"/>
          </w:tcPr>
          <w:p w14:paraId="3BB292D2">
            <w:pPr>
              <w:adjustRightInd w:val="0"/>
              <w:snapToGrid w:val="0"/>
              <w:rPr>
                <w:rFonts w:ascii="宋体" w:hAnsi="宋体" w:cs="宋体"/>
                <w:b/>
                <w:bCs/>
                <w:kern w:val="0"/>
                <w:szCs w:val="21"/>
              </w:rPr>
            </w:pPr>
            <w:r>
              <w:rPr>
                <w:rFonts w:hint="eastAsia" w:ascii="宋体" w:hAnsi="宋体" w:cs="宋体"/>
                <w:kern w:val="0"/>
                <w:szCs w:val="21"/>
              </w:rPr>
              <w:t>结合社区特定需求，为需要实施的社区“民生微实事”项目提供需求调查、策划设计等相关工作</w:t>
            </w:r>
          </w:p>
        </w:tc>
        <w:tc>
          <w:tcPr>
            <w:tcW w:w="5782" w:type="dxa"/>
            <w:vAlign w:val="center"/>
          </w:tcPr>
          <w:p w14:paraId="3DAB575E">
            <w:pPr>
              <w:adjustRightInd w:val="0"/>
              <w:snapToGrid w:val="0"/>
              <w:rPr>
                <w:rFonts w:ascii="宋体" w:hAnsi="宋体" w:cs="宋体"/>
                <w:kern w:val="0"/>
                <w:szCs w:val="21"/>
              </w:rPr>
            </w:pPr>
            <w:r>
              <w:rPr>
                <w:rFonts w:hint="eastAsia" w:ascii="宋体" w:hAnsi="宋体" w:cs="宋体"/>
                <w:kern w:val="0"/>
                <w:szCs w:val="21"/>
              </w:rPr>
              <w:t>运用专业社工方法，协助社区“两委”做好社区“民生微实事”项目的需求调查、策划设计等工作，保证项目的必要性和合理性。</w:t>
            </w:r>
          </w:p>
        </w:tc>
      </w:tr>
      <w:tr w14:paraId="7BECA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0" w:hRule="atLeast"/>
          <w:jc w:val="center"/>
        </w:trPr>
        <w:tc>
          <w:tcPr>
            <w:tcW w:w="2032" w:type="dxa"/>
            <w:vMerge w:val="restart"/>
            <w:vAlign w:val="center"/>
          </w:tcPr>
          <w:p w14:paraId="4A9231A2">
            <w:pPr>
              <w:adjustRightInd w:val="0"/>
              <w:snapToGrid w:val="0"/>
              <w:jc w:val="center"/>
              <w:rPr>
                <w:rFonts w:ascii="宋体" w:hAnsi="宋体" w:cs="宋体"/>
                <w:bCs/>
                <w:kern w:val="0"/>
                <w:szCs w:val="21"/>
              </w:rPr>
            </w:pPr>
            <w:r>
              <w:rPr>
                <w:rFonts w:hint="eastAsia" w:ascii="宋体" w:hAnsi="宋体" w:cs="宋体"/>
                <w:bCs/>
                <w:kern w:val="0"/>
                <w:szCs w:val="21"/>
              </w:rPr>
              <w:t>推动实施社区心理健康服务建设项目</w:t>
            </w:r>
          </w:p>
        </w:tc>
        <w:tc>
          <w:tcPr>
            <w:tcW w:w="2483" w:type="dxa"/>
            <w:vMerge w:val="restart"/>
            <w:vAlign w:val="center"/>
          </w:tcPr>
          <w:p w14:paraId="45D38654">
            <w:pPr>
              <w:adjustRightInd w:val="0"/>
              <w:snapToGrid w:val="0"/>
              <w:jc w:val="left"/>
              <w:rPr>
                <w:rFonts w:ascii="宋体" w:hAnsi="宋体" w:cs="宋体"/>
                <w:b/>
                <w:kern w:val="0"/>
                <w:szCs w:val="21"/>
              </w:rPr>
            </w:pPr>
            <w:r>
              <w:rPr>
                <w:rFonts w:hint="eastAsia" w:ascii="宋体" w:hAnsi="宋体" w:cs="宋体"/>
                <w:szCs w:val="21"/>
              </w:rPr>
              <w:t>协同开展社区心理健康促进与教育，协助安心驿站工作，</w:t>
            </w:r>
            <w:r>
              <w:rPr>
                <w:rFonts w:hint="eastAsia" w:ascii="宋体" w:hAnsi="宋体" w:cs="宋体"/>
                <w:kern w:val="0"/>
                <w:szCs w:val="21"/>
              </w:rPr>
              <w:t>协同开展社区心理疏导和危机干预等工作</w:t>
            </w:r>
          </w:p>
        </w:tc>
        <w:tc>
          <w:tcPr>
            <w:tcW w:w="5782" w:type="dxa"/>
            <w:vAlign w:val="center"/>
          </w:tcPr>
          <w:p w14:paraId="46CA5E02">
            <w:pPr>
              <w:adjustRightInd w:val="0"/>
              <w:snapToGrid w:val="0"/>
              <w:rPr>
                <w:rFonts w:ascii="宋体" w:hAnsi="宋体" w:cs="宋体"/>
                <w:kern w:val="0"/>
                <w:szCs w:val="21"/>
              </w:rPr>
            </w:pPr>
            <w:r>
              <w:rPr>
                <w:rFonts w:hint="eastAsia" w:ascii="宋体" w:hAnsi="宋体" w:cs="宋体"/>
                <w:kern w:val="0"/>
                <w:szCs w:val="21"/>
              </w:rPr>
              <w:t>将社会工作以及心理工作专业知识、技巧与价值有机融合，</w:t>
            </w:r>
            <w:r>
              <w:rPr>
                <w:rFonts w:hint="eastAsia" w:ascii="宋体" w:hAnsi="宋体" w:cs="宋体"/>
                <w:szCs w:val="21"/>
              </w:rPr>
              <w:t>协同开展社区心理健康促进与教育工作。</w:t>
            </w:r>
          </w:p>
        </w:tc>
      </w:tr>
      <w:tr w14:paraId="47172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43" w:hRule="atLeast"/>
          <w:jc w:val="center"/>
        </w:trPr>
        <w:tc>
          <w:tcPr>
            <w:tcW w:w="2032" w:type="dxa"/>
            <w:vMerge w:val="continue"/>
            <w:vAlign w:val="center"/>
          </w:tcPr>
          <w:p w14:paraId="548B695C">
            <w:pPr>
              <w:adjustRightInd w:val="0"/>
              <w:snapToGrid w:val="0"/>
              <w:jc w:val="center"/>
              <w:rPr>
                <w:rFonts w:ascii="宋体" w:hAnsi="宋体" w:cs="宋体"/>
                <w:bCs/>
                <w:kern w:val="0"/>
                <w:szCs w:val="21"/>
              </w:rPr>
            </w:pPr>
          </w:p>
        </w:tc>
        <w:tc>
          <w:tcPr>
            <w:tcW w:w="2483" w:type="dxa"/>
            <w:vMerge w:val="continue"/>
            <w:vAlign w:val="center"/>
          </w:tcPr>
          <w:p w14:paraId="40198203">
            <w:pPr>
              <w:adjustRightInd w:val="0"/>
              <w:snapToGrid w:val="0"/>
              <w:rPr>
                <w:rFonts w:ascii="宋体" w:hAnsi="宋体" w:cs="宋体"/>
                <w:szCs w:val="21"/>
              </w:rPr>
            </w:pPr>
          </w:p>
        </w:tc>
        <w:tc>
          <w:tcPr>
            <w:tcW w:w="5782" w:type="dxa"/>
            <w:vAlign w:val="center"/>
          </w:tcPr>
          <w:p w14:paraId="2E1E5571">
            <w:pPr>
              <w:adjustRightInd w:val="0"/>
              <w:snapToGrid w:val="0"/>
              <w:rPr>
                <w:rFonts w:ascii="宋体" w:hAnsi="宋体" w:cs="宋体"/>
                <w:kern w:val="0"/>
                <w:szCs w:val="21"/>
              </w:rPr>
            </w:pPr>
            <w:r>
              <w:rPr>
                <w:rFonts w:hint="eastAsia" w:ascii="宋体" w:hAnsi="宋体" w:cs="宋体"/>
                <w:kern w:val="0"/>
                <w:szCs w:val="21"/>
              </w:rPr>
              <w:t>协助安心驿站共同搭建社区心理健康服务平台，为有需要的个人、家庭、社区提供专业服务。</w:t>
            </w:r>
          </w:p>
        </w:tc>
      </w:tr>
      <w:tr w14:paraId="4010F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jc w:val="center"/>
        </w:trPr>
        <w:tc>
          <w:tcPr>
            <w:tcW w:w="2032" w:type="dxa"/>
            <w:vMerge w:val="continue"/>
            <w:vAlign w:val="center"/>
          </w:tcPr>
          <w:p w14:paraId="0C61A95F">
            <w:pPr>
              <w:adjustRightInd w:val="0"/>
              <w:snapToGrid w:val="0"/>
              <w:jc w:val="center"/>
              <w:rPr>
                <w:rFonts w:ascii="宋体" w:hAnsi="宋体" w:cs="宋体"/>
                <w:bCs/>
                <w:kern w:val="0"/>
                <w:szCs w:val="21"/>
              </w:rPr>
            </w:pPr>
          </w:p>
        </w:tc>
        <w:tc>
          <w:tcPr>
            <w:tcW w:w="2483" w:type="dxa"/>
            <w:vMerge w:val="continue"/>
            <w:vAlign w:val="center"/>
          </w:tcPr>
          <w:p w14:paraId="7730DD87">
            <w:pPr>
              <w:adjustRightInd w:val="0"/>
              <w:snapToGrid w:val="0"/>
              <w:rPr>
                <w:rFonts w:ascii="宋体" w:hAnsi="宋体" w:cs="宋体"/>
                <w:szCs w:val="21"/>
              </w:rPr>
            </w:pPr>
          </w:p>
        </w:tc>
        <w:tc>
          <w:tcPr>
            <w:tcW w:w="5782" w:type="dxa"/>
            <w:vAlign w:val="center"/>
          </w:tcPr>
          <w:p w14:paraId="5932F447">
            <w:pPr>
              <w:adjustRightInd w:val="0"/>
              <w:snapToGrid w:val="0"/>
              <w:rPr>
                <w:rFonts w:ascii="宋体" w:hAnsi="宋体" w:cs="宋体"/>
                <w:kern w:val="0"/>
                <w:szCs w:val="21"/>
              </w:rPr>
            </w:pPr>
            <w:r>
              <w:rPr>
                <w:rFonts w:hint="eastAsia" w:ascii="宋体" w:hAnsi="宋体" w:cs="宋体"/>
                <w:kern w:val="0"/>
                <w:szCs w:val="21"/>
              </w:rPr>
              <w:t>帮助有个人、家庭和群体、组织预防、舒缓和解决心理问题与社会问题，增强、促进、维持和恢复社会功能。</w:t>
            </w:r>
          </w:p>
        </w:tc>
      </w:tr>
      <w:tr w14:paraId="6CA0A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jc w:val="center"/>
        </w:trPr>
        <w:tc>
          <w:tcPr>
            <w:tcW w:w="2032" w:type="dxa"/>
            <w:vMerge w:val="continue"/>
            <w:vAlign w:val="center"/>
          </w:tcPr>
          <w:p w14:paraId="2E554B39">
            <w:pPr>
              <w:adjustRightInd w:val="0"/>
              <w:snapToGrid w:val="0"/>
              <w:jc w:val="center"/>
              <w:rPr>
                <w:rFonts w:ascii="宋体" w:hAnsi="宋体" w:cs="宋体"/>
                <w:bCs/>
                <w:kern w:val="0"/>
                <w:szCs w:val="21"/>
              </w:rPr>
            </w:pPr>
          </w:p>
        </w:tc>
        <w:tc>
          <w:tcPr>
            <w:tcW w:w="2483" w:type="dxa"/>
            <w:vMerge w:val="continue"/>
            <w:vAlign w:val="center"/>
          </w:tcPr>
          <w:p w14:paraId="0EE26DA6">
            <w:pPr>
              <w:adjustRightInd w:val="0"/>
              <w:snapToGrid w:val="0"/>
              <w:rPr>
                <w:rFonts w:ascii="宋体" w:hAnsi="宋体" w:cs="宋体"/>
                <w:b/>
                <w:kern w:val="0"/>
                <w:szCs w:val="21"/>
              </w:rPr>
            </w:pPr>
          </w:p>
        </w:tc>
        <w:tc>
          <w:tcPr>
            <w:tcW w:w="5782" w:type="dxa"/>
            <w:vAlign w:val="center"/>
          </w:tcPr>
          <w:p w14:paraId="1EB653D0">
            <w:pPr>
              <w:adjustRightInd w:val="0"/>
              <w:snapToGrid w:val="0"/>
              <w:rPr>
                <w:rFonts w:ascii="宋体" w:hAnsi="宋体" w:cs="宋体"/>
                <w:kern w:val="0"/>
                <w:szCs w:val="21"/>
              </w:rPr>
            </w:pPr>
            <w:r>
              <w:rPr>
                <w:rFonts w:hint="eastAsia" w:ascii="宋体" w:hAnsi="宋体" w:cs="宋体"/>
                <w:kern w:val="0"/>
                <w:szCs w:val="21"/>
              </w:rPr>
              <w:t>向社会宣传和普及心理科学知识和技能。</w:t>
            </w:r>
          </w:p>
        </w:tc>
      </w:tr>
      <w:tr w14:paraId="0C4A1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851" w:hRule="atLeast"/>
          <w:jc w:val="center"/>
        </w:trPr>
        <w:tc>
          <w:tcPr>
            <w:tcW w:w="2032" w:type="dxa"/>
            <w:vAlign w:val="center"/>
          </w:tcPr>
          <w:p w14:paraId="71173F45">
            <w:pPr>
              <w:adjustRightInd w:val="0"/>
              <w:snapToGrid w:val="0"/>
              <w:jc w:val="center"/>
              <w:rPr>
                <w:rFonts w:ascii="宋体" w:hAnsi="宋体" w:cs="宋体"/>
                <w:bCs/>
                <w:kern w:val="0"/>
                <w:szCs w:val="21"/>
              </w:rPr>
            </w:pPr>
            <w:r>
              <w:rPr>
                <w:rFonts w:hint="eastAsia" w:asciiTheme="minorEastAsia" w:hAnsiTheme="minorEastAsia" w:eastAsiaTheme="minorEastAsia" w:cstheme="minorEastAsia"/>
                <w:color w:val="000000"/>
                <w:szCs w:val="21"/>
              </w:rPr>
              <w:t>推动实施“幸福生活节”系列活动服务项目</w:t>
            </w:r>
          </w:p>
        </w:tc>
        <w:tc>
          <w:tcPr>
            <w:tcW w:w="2483" w:type="dxa"/>
            <w:vAlign w:val="center"/>
          </w:tcPr>
          <w:p w14:paraId="1AD3FBDA">
            <w:pPr>
              <w:adjustRightInd w:val="0"/>
              <w:snapToGrid w:val="0"/>
              <w:rPr>
                <w:rFonts w:ascii="宋体" w:hAnsi="宋体" w:cs="宋体"/>
                <w:b/>
                <w:kern w:val="0"/>
                <w:szCs w:val="21"/>
              </w:rPr>
            </w:pPr>
            <w:r>
              <w:rPr>
                <w:rFonts w:hint="eastAsia" w:ascii="宋体" w:hAnsi="宋体" w:cs="宋体"/>
                <w:kern w:val="0"/>
                <w:szCs w:val="21"/>
              </w:rPr>
              <w:t>定期开展“幸福生活节”系列活动，提升社区党群服务中心在群众中的影响力和欢迎度</w:t>
            </w:r>
          </w:p>
        </w:tc>
        <w:tc>
          <w:tcPr>
            <w:tcW w:w="5782" w:type="dxa"/>
            <w:vAlign w:val="center"/>
          </w:tcPr>
          <w:p w14:paraId="4A679217">
            <w:pPr>
              <w:wordWrap w:val="0"/>
              <w:rPr>
                <w:rFonts w:asciiTheme="minorEastAsia" w:hAnsiTheme="minorEastAsia" w:eastAsiaTheme="minorEastAsia" w:cstheme="minorEastAsia"/>
                <w:color w:val="000000"/>
                <w:szCs w:val="21"/>
              </w:rPr>
            </w:pPr>
            <w:r>
              <w:rPr>
                <w:rFonts w:hint="eastAsia" w:ascii="宋体" w:hAnsi="宋体" w:cs="宋体"/>
                <w:kern w:val="0"/>
                <w:szCs w:val="21"/>
              </w:rPr>
              <w:t>结合日常活动开展情况，将“幸福生活节”品牌融入日常活动中，利用党群服务中心门前广场或社区小区人流聚集的公共区域开展活动，让活动“走”近群众，提高知晓度和参与度。按统一LOGO制作活动物料和文创礼品，工作人员着党群服务中心红马甲，把“幸福生活节”打造成为展示城市基层治理成果、宣传党群服务中心服务群众功能、居民群众喜闻乐见的特色品牌活动。</w:t>
            </w:r>
          </w:p>
        </w:tc>
      </w:tr>
    </w:tbl>
    <w:p w14:paraId="36ACE67C">
      <w:pPr>
        <w:pStyle w:val="2"/>
        <w:spacing w:line="240" w:lineRule="auto"/>
        <w:rPr>
          <w:lang w:eastAsia="zh-CN"/>
        </w:rPr>
      </w:pPr>
    </w:p>
    <w:p w14:paraId="1F9991DB">
      <w:pPr>
        <w:adjustRightInd w:val="0"/>
        <w:snapToGrid w:val="0"/>
        <w:ind w:firstLine="420" w:firstLineChars="200"/>
        <w:outlineLvl w:val="0"/>
        <w:rPr>
          <w:rFonts w:asciiTheme="minorEastAsia" w:hAnsiTheme="minorEastAsia" w:eastAsiaTheme="minorEastAsia" w:cstheme="minorEastAsia"/>
          <w:color w:val="000000"/>
          <w:szCs w:val="21"/>
        </w:rPr>
      </w:pPr>
      <w:r>
        <w:rPr>
          <w:rFonts w:hint="eastAsia" w:asciiTheme="minorEastAsia" w:hAnsiTheme="minorEastAsia" w:eastAsiaTheme="minorEastAsia" w:cstheme="minorEastAsia"/>
          <w:color w:val="000000"/>
          <w:szCs w:val="21"/>
        </w:rPr>
        <w:t>4.4.2协同其他领域专业社工开展社区社会工作服务</w:t>
      </w:r>
    </w:p>
    <w:p w14:paraId="16DFBC97">
      <w:pPr>
        <w:adjustRightInd w:val="0"/>
        <w:snapToGrid w:val="0"/>
        <w:ind w:firstLine="420" w:firstLineChars="200"/>
        <w:outlineLvl w:val="0"/>
        <w:rPr>
          <w:rFonts w:asciiTheme="minorEastAsia" w:hAnsiTheme="minorEastAsia" w:eastAsiaTheme="minorEastAsia" w:cstheme="minorEastAsia"/>
          <w:color w:val="000000"/>
          <w:szCs w:val="21"/>
        </w:rPr>
      </w:pPr>
      <w:r>
        <w:rPr>
          <w:rFonts w:hint="eastAsia" w:asciiTheme="minorEastAsia" w:hAnsiTheme="minorEastAsia" w:eastAsiaTheme="minorEastAsia" w:cstheme="minorEastAsia"/>
          <w:color w:val="000000"/>
          <w:szCs w:val="21"/>
        </w:rPr>
        <w:t>协助其他领域专业社工开展社区社会工作服务项目：为市、区职能部门或街道聘请的慈善事业、家庭婚姻、精神卫生、残障康复、教育辅导、就业援助、职工帮扶、犯罪预防、禁毒戒毒、矫治帮扶、卫生健康、应急处置、优抚安置等社工提供咨询、转介、资源链接等辅助性工作。</w:t>
      </w:r>
    </w:p>
    <w:tbl>
      <w:tblPr>
        <w:tblStyle w:val="4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986"/>
        <w:gridCol w:w="2494"/>
        <w:gridCol w:w="5579"/>
      </w:tblGrid>
      <w:tr w14:paraId="66A6E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35" w:hRule="atLeast"/>
          <w:jc w:val="center"/>
        </w:trPr>
        <w:tc>
          <w:tcPr>
            <w:tcW w:w="1986" w:type="dxa"/>
            <w:tcBorders>
              <w:top w:val="single" w:color="auto" w:sz="4" w:space="0"/>
              <w:left w:val="single" w:color="auto" w:sz="4" w:space="0"/>
              <w:bottom w:val="single" w:color="auto" w:sz="4" w:space="0"/>
              <w:right w:val="single" w:color="auto" w:sz="4" w:space="0"/>
            </w:tcBorders>
            <w:vAlign w:val="center"/>
          </w:tcPr>
          <w:p w14:paraId="5B2FE730">
            <w:pPr>
              <w:snapToGrid w:val="0"/>
              <w:jc w:val="center"/>
              <w:rPr>
                <w:rFonts w:ascii="宋体" w:hAnsi="宋体" w:cs="宋体"/>
                <w:b/>
                <w:kern w:val="0"/>
                <w:szCs w:val="21"/>
              </w:rPr>
            </w:pPr>
            <w:r>
              <w:rPr>
                <w:rFonts w:hint="eastAsia" w:ascii="宋体" w:hAnsi="宋体" w:cs="宋体"/>
                <w:b/>
                <w:kern w:val="0"/>
                <w:szCs w:val="21"/>
              </w:rPr>
              <w:t>服务大项</w:t>
            </w:r>
          </w:p>
        </w:tc>
        <w:tc>
          <w:tcPr>
            <w:tcW w:w="2494" w:type="dxa"/>
            <w:tcBorders>
              <w:top w:val="single" w:color="auto" w:sz="4" w:space="0"/>
              <w:left w:val="single" w:color="auto" w:sz="4" w:space="0"/>
              <w:bottom w:val="single" w:color="auto" w:sz="4" w:space="0"/>
              <w:right w:val="single" w:color="auto" w:sz="4" w:space="0"/>
            </w:tcBorders>
            <w:vAlign w:val="center"/>
          </w:tcPr>
          <w:p w14:paraId="45D7C25E">
            <w:pPr>
              <w:snapToGrid w:val="0"/>
              <w:jc w:val="center"/>
              <w:rPr>
                <w:rFonts w:ascii="宋体" w:hAnsi="宋体" w:cs="宋体"/>
                <w:b/>
                <w:kern w:val="0"/>
                <w:szCs w:val="21"/>
              </w:rPr>
            </w:pPr>
            <w:r>
              <w:rPr>
                <w:rFonts w:hint="eastAsia" w:ascii="宋体" w:hAnsi="宋体" w:cs="宋体"/>
                <w:b/>
                <w:kern w:val="0"/>
                <w:szCs w:val="21"/>
              </w:rPr>
              <w:t>服务要求</w:t>
            </w:r>
          </w:p>
        </w:tc>
        <w:tc>
          <w:tcPr>
            <w:tcW w:w="5579" w:type="dxa"/>
            <w:tcBorders>
              <w:top w:val="single" w:color="auto" w:sz="4" w:space="0"/>
              <w:left w:val="single" w:color="auto" w:sz="4" w:space="0"/>
              <w:bottom w:val="single" w:color="auto" w:sz="4" w:space="0"/>
              <w:right w:val="single" w:color="auto" w:sz="4" w:space="0"/>
            </w:tcBorders>
            <w:vAlign w:val="center"/>
          </w:tcPr>
          <w:p w14:paraId="0084FDFC">
            <w:pPr>
              <w:snapToGrid w:val="0"/>
              <w:jc w:val="center"/>
              <w:rPr>
                <w:rFonts w:ascii="宋体" w:hAnsi="宋体" w:cs="宋体"/>
                <w:b/>
                <w:kern w:val="0"/>
                <w:szCs w:val="21"/>
              </w:rPr>
            </w:pPr>
            <w:r>
              <w:rPr>
                <w:rFonts w:hint="eastAsia" w:ascii="宋体" w:hAnsi="宋体" w:cs="宋体"/>
                <w:b/>
                <w:kern w:val="0"/>
                <w:szCs w:val="21"/>
              </w:rPr>
              <w:t>服务细项</w:t>
            </w:r>
          </w:p>
        </w:tc>
      </w:tr>
      <w:tr w14:paraId="70574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70" w:hRule="atLeast"/>
          <w:jc w:val="center"/>
        </w:trPr>
        <w:tc>
          <w:tcPr>
            <w:tcW w:w="1986" w:type="dxa"/>
            <w:vMerge w:val="restart"/>
            <w:tcBorders>
              <w:top w:val="single" w:color="auto" w:sz="4" w:space="0"/>
              <w:left w:val="single" w:color="auto" w:sz="4" w:space="0"/>
              <w:bottom w:val="single" w:color="auto" w:sz="4" w:space="0"/>
              <w:right w:val="single" w:color="auto" w:sz="4" w:space="0"/>
            </w:tcBorders>
            <w:vAlign w:val="center"/>
          </w:tcPr>
          <w:p w14:paraId="2F2A8B4A">
            <w:pPr>
              <w:snapToGrid w:val="0"/>
              <w:jc w:val="center"/>
              <w:rPr>
                <w:rFonts w:ascii="宋体" w:hAnsi="宋体" w:cs="宋体"/>
                <w:b/>
                <w:kern w:val="0"/>
                <w:szCs w:val="21"/>
              </w:rPr>
            </w:pPr>
            <w:r>
              <w:rPr>
                <w:rFonts w:hint="eastAsia" w:ascii="宋体" w:hAnsi="宋体" w:cs="宋体"/>
                <w:kern w:val="0"/>
                <w:szCs w:val="21"/>
              </w:rPr>
              <w:t>协助其他领域专业社工开展社区社会工作服务项目</w:t>
            </w:r>
          </w:p>
        </w:tc>
        <w:tc>
          <w:tcPr>
            <w:tcW w:w="2494" w:type="dxa"/>
            <w:vMerge w:val="restart"/>
            <w:tcBorders>
              <w:top w:val="single" w:color="auto" w:sz="4" w:space="0"/>
              <w:left w:val="single" w:color="auto" w:sz="4" w:space="0"/>
              <w:bottom w:val="single" w:color="auto" w:sz="4" w:space="0"/>
              <w:right w:val="single" w:color="auto" w:sz="4" w:space="0"/>
            </w:tcBorders>
            <w:vAlign w:val="center"/>
          </w:tcPr>
          <w:p w14:paraId="052639DA">
            <w:pPr>
              <w:adjustRightInd w:val="0"/>
              <w:snapToGrid w:val="0"/>
              <w:jc w:val="center"/>
              <w:rPr>
                <w:rFonts w:ascii="宋体" w:hAnsi="宋体" w:cs="宋体"/>
                <w:b/>
                <w:kern w:val="0"/>
                <w:szCs w:val="21"/>
              </w:rPr>
            </w:pPr>
            <w:r>
              <w:rPr>
                <w:rFonts w:hint="eastAsia" w:ascii="宋体" w:hAnsi="宋体" w:cs="宋体"/>
                <w:bCs/>
                <w:spacing w:val="10"/>
                <w:kern w:val="0"/>
                <w:szCs w:val="21"/>
              </w:rPr>
              <w:t>为市、区职能部门或街道聘请的慈善事业、</w:t>
            </w:r>
            <w:r>
              <w:rPr>
                <w:rFonts w:hint="eastAsia" w:ascii="宋体" w:hAnsi="宋体" w:cs="宋体"/>
                <w:spacing w:val="10"/>
                <w:kern w:val="0"/>
                <w:szCs w:val="21"/>
              </w:rPr>
              <w:t>家庭婚姻、</w:t>
            </w:r>
            <w:r>
              <w:rPr>
                <w:rFonts w:hint="eastAsia" w:ascii="宋体" w:hAnsi="宋体" w:cs="宋体"/>
                <w:bCs/>
                <w:kern w:val="0"/>
                <w:szCs w:val="21"/>
              </w:rPr>
              <w:t>精神卫生、残障康复、教育辅导、就业援助、职工帮扶、犯罪预防、禁毒戒毒、矫治帮扶、卫生健康、应急处置、优抚安置</w:t>
            </w:r>
            <w:r>
              <w:rPr>
                <w:rFonts w:hint="eastAsia" w:ascii="宋体" w:hAnsi="宋体" w:cs="宋体"/>
                <w:kern w:val="0"/>
                <w:szCs w:val="21"/>
              </w:rPr>
              <w:t>等</w:t>
            </w:r>
            <w:r>
              <w:rPr>
                <w:rFonts w:hint="eastAsia" w:ascii="宋体" w:hAnsi="宋体" w:cs="宋体"/>
                <w:spacing w:val="10"/>
                <w:kern w:val="0"/>
                <w:szCs w:val="21"/>
              </w:rPr>
              <w:t>社工提供咨询、转介、资源链接等辅助性工作</w:t>
            </w:r>
          </w:p>
        </w:tc>
        <w:tc>
          <w:tcPr>
            <w:tcW w:w="5579" w:type="dxa"/>
            <w:tcBorders>
              <w:top w:val="single" w:color="auto" w:sz="4" w:space="0"/>
              <w:left w:val="single" w:color="auto" w:sz="4" w:space="0"/>
              <w:bottom w:val="single" w:color="auto" w:sz="4" w:space="0"/>
              <w:right w:val="single" w:color="auto" w:sz="4" w:space="0"/>
            </w:tcBorders>
            <w:vAlign w:val="center"/>
          </w:tcPr>
          <w:p w14:paraId="2CCD2707">
            <w:pPr>
              <w:adjustRightInd w:val="0"/>
              <w:snapToGrid w:val="0"/>
              <w:rPr>
                <w:rFonts w:ascii="宋体" w:hAnsi="宋体" w:cs="宋体"/>
                <w:kern w:val="0"/>
                <w:szCs w:val="21"/>
              </w:rPr>
            </w:pPr>
            <w:r>
              <w:rPr>
                <w:rFonts w:hint="eastAsia" w:ascii="宋体" w:hAnsi="宋体" w:cs="宋体"/>
                <w:kern w:val="0"/>
                <w:szCs w:val="21"/>
              </w:rPr>
              <w:t>辅助专业社工开展服务对象排查登记、信息收集等。</w:t>
            </w:r>
          </w:p>
        </w:tc>
      </w:tr>
      <w:tr w14:paraId="21B8C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15" w:hRule="atLeast"/>
          <w:jc w:val="center"/>
        </w:trPr>
        <w:tc>
          <w:tcPr>
            <w:tcW w:w="1986" w:type="dxa"/>
            <w:vMerge w:val="continue"/>
            <w:tcBorders>
              <w:top w:val="single" w:color="auto" w:sz="4" w:space="0"/>
              <w:left w:val="single" w:color="auto" w:sz="4" w:space="0"/>
              <w:bottom w:val="single" w:color="auto" w:sz="4" w:space="0"/>
              <w:right w:val="single" w:color="auto" w:sz="4" w:space="0"/>
            </w:tcBorders>
            <w:vAlign w:val="center"/>
          </w:tcPr>
          <w:p w14:paraId="7B9FEF34">
            <w:pPr>
              <w:rPr>
                <w:rFonts w:ascii="宋体" w:hAnsi="宋体" w:cs="宋体"/>
                <w:szCs w:val="21"/>
              </w:rPr>
            </w:pPr>
          </w:p>
        </w:tc>
        <w:tc>
          <w:tcPr>
            <w:tcW w:w="2494" w:type="dxa"/>
            <w:vMerge w:val="continue"/>
            <w:tcBorders>
              <w:top w:val="single" w:color="auto" w:sz="4" w:space="0"/>
              <w:left w:val="single" w:color="auto" w:sz="4" w:space="0"/>
              <w:bottom w:val="single" w:color="auto" w:sz="4" w:space="0"/>
              <w:right w:val="single" w:color="auto" w:sz="4" w:space="0"/>
            </w:tcBorders>
            <w:vAlign w:val="center"/>
          </w:tcPr>
          <w:p w14:paraId="7480E81E">
            <w:pPr>
              <w:adjustRightInd w:val="0"/>
              <w:rPr>
                <w:rFonts w:ascii="宋体" w:hAnsi="宋体" w:cs="宋体"/>
                <w:szCs w:val="21"/>
              </w:rPr>
            </w:pPr>
          </w:p>
        </w:tc>
        <w:tc>
          <w:tcPr>
            <w:tcW w:w="5579" w:type="dxa"/>
            <w:tcBorders>
              <w:top w:val="single" w:color="auto" w:sz="4" w:space="0"/>
              <w:left w:val="single" w:color="auto" w:sz="4" w:space="0"/>
              <w:bottom w:val="single" w:color="auto" w:sz="4" w:space="0"/>
              <w:right w:val="single" w:color="auto" w:sz="4" w:space="0"/>
            </w:tcBorders>
            <w:vAlign w:val="center"/>
          </w:tcPr>
          <w:p w14:paraId="6309D4EA">
            <w:pPr>
              <w:adjustRightInd w:val="0"/>
              <w:snapToGrid w:val="0"/>
              <w:rPr>
                <w:rFonts w:ascii="宋体" w:hAnsi="宋体" w:cs="宋体"/>
                <w:kern w:val="0"/>
                <w:szCs w:val="21"/>
              </w:rPr>
            </w:pPr>
            <w:r>
              <w:rPr>
                <w:rFonts w:hint="eastAsia" w:ascii="宋体" w:hAnsi="宋体" w:cs="宋体"/>
                <w:kern w:val="0"/>
                <w:szCs w:val="21"/>
              </w:rPr>
              <w:t>辅助街道社工站、专业社工开展入户走访，掌握个人及其家庭相关情况。</w:t>
            </w:r>
          </w:p>
        </w:tc>
      </w:tr>
      <w:tr w14:paraId="2B9B1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81" w:hRule="atLeast"/>
          <w:jc w:val="center"/>
        </w:trPr>
        <w:tc>
          <w:tcPr>
            <w:tcW w:w="1986" w:type="dxa"/>
            <w:vMerge w:val="continue"/>
            <w:tcBorders>
              <w:top w:val="single" w:color="auto" w:sz="4" w:space="0"/>
              <w:left w:val="single" w:color="auto" w:sz="4" w:space="0"/>
              <w:bottom w:val="single" w:color="auto" w:sz="4" w:space="0"/>
              <w:right w:val="single" w:color="auto" w:sz="4" w:space="0"/>
            </w:tcBorders>
            <w:vAlign w:val="center"/>
          </w:tcPr>
          <w:p w14:paraId="71BB6EFF">
            <w:pPr>
              <w:rPr>
                <w:rFonts w:ascii="宋体" w:hAnsi="宋体" w:cs="宋体"/>
                <w:szCs w:val="21"/>
              </w:rPr>
            </w:pPr>
          </w:p>
        </w:tc>
        <w:tc>
          <w:tcPr>
            <w:tcW w:w="2494" w:type="dxa"/>
            <w:vMerge w:val="continue"/>
            <w:tcBorders>
              <w:top w:val="single" w:color="auto" w:sz="4" w:space="0"/>
              <w:left w:val="single" w:color="auto" w:sz="4" w:space="0"/>
              <w:bottom w:val="single" w:color="auto" w:sz="4" w:space="0"/>
              <w:right w:val="single" w:color="auto" w:sz="4" w:space="0"/>
            </w:tcBorders>
            <w:vAlign w:val="center"/>
          </w:tcPr>
          <w:p w14:paraId="29EB87A2">
            <w:pPr>
              <w:adjustRightInd w:val="0"/>
              <w:rPr>
                <w:rFonts w:ascii="宋体" w:hAnsi="宋体" w:cs="宋体"/>
                <w:szCs w:val="21"/>
              </w:rPr>
            </w:pPr>
          </w:p>
        </w:tc>
        <w:tc>
          <w:tcPr>
            <w:tcW w:w="5579" w:type="dxa"/>
            <w:tcBorders>
              <w:top w:val="single" w:color="auto" w:sz="4" w:space="0"/>
              <w:left w:val="single" w:color="auto" w:sz="4" w:space="0"/>
              <w:bottom w:val="single" w:color="auto" w:sz="4" w:space="0"/>
              <w:right w:val="single" w:color="auto" w:sz="4" w:space="0"/>
            </w:tcBorders>
            <w:vAlign w:val="center"/>
          </w:tcPr>
          <w:p w14:paraId="463B4479">
            <w:pPr>
              <w:adjustRightInd w:val="0"/>
              <w:snapToGrid w:val="0"/>
              <w:rPr>
                <w:rFonts w:ascii="宋体" w:hAnsi="宋体" w:cs="宋体"/>
                <w:kern w:val="0"/>
                <w:szCs w:val="21"/>
              </w:rPr>
            </w:pPr>
            <w:r>
              <w:rPr>
                <w:rFonts w:hint="eastAsia" w:ascii="宋体" w:hAnsi="宋体" w:cs="宋体"/>
                <w:kern w:val="0"/>
                <w:szCs w:val="21"/>
              </w:rPr>
              <w:t>辅助专业社工提供家庭关系调适与治疗，人际交往及社会融入。</w:t>
            </w:r>
          </w:p>
        </w:tc>
      </w:tr>
      <w:tr w14:paraId="01572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 w:hRule="atLeast"/>
          <w:jc w:val="center"/>
        </w:trPr>
        <w:tc>
          <w:tcPr>
            <w:tcW w:w="1986" w:type="dxa"/>
            <w:vMerge w:val="continue"/>
            <w:tcBorders>
              <w:top w:val="single" w:color="auto" w:sz="4" w:space="0"/>
              <w:left w:val="single" w:color="auto" w:sz="4" w:space="0"/>
              <w:bottom w:val="single" w:color="auto" w:sz="4" w:space="0"/>
              <w:right w:val="single" w:color="auto" w:sz="4" w:space="0"/>
            </w:tcBorders>
            <w:vAlign w:val="center"/>
          </w:tcPr>
          <w:p w14:paraId="1D8B99F8">
            <w:pPr>
              <w:rPr>
                <w:rFonts w:ascii="宋体" w:hAnsi="宋体" w:cs="宋体"/>
                <w:szCs w:val="21"/>
              </w:rPr>
            </w:pPr>
          </w:p>
        </w:tc>
        <w:tc>
          <w:tcPr>
            <w:tcW w:w="2494" w:type="dxa"/>
            <w:vMerge w:val="continue"/>
            <w:tcBorders>
              <w:top w:val="single" w:color="auto" w:sz="4" w:space="0"/>
              <w:left w:val="single" w:color="auto" w:sz="4" w:space="0"/>
              <w:bottom w:val="single" w:color="auto" w:sz="4" w:space="0"/>
              <w:right w:val="single" w:color="auto" w:sz="4" w:space="0"/>
            </w:tcBorders>
            <w:vAlign w:val="center"/>
          </w:tcPr>
          <w:p w14:paraId="428CC1CA">
            <w:pPr>
              <w:adjustRightInd w:val="0"/>
              <w:rPr>
                <w:rFonts w:ascii="宋体" w:hAnsi="宋体" w:cs="宋体"/>
                <w:szCs w:val="21"/>
              </w:rPr>
            </w:pPr>
          </w:p>
        </w:tc>
        <w:tc>
          <w:tcPr>
            <w:tcW w:w="5579" w:type="dxa"/>
            <w:tcBorders>
              <w:top w:val="single" w:color="auto" w:sz="4" w:space="0"/>
              <w:left w:val="single" w:color="auto" w:sz="4" w:space="0"/>
              <w:bottom w:val="single" w:color="auto" w:sz="4" w:space="0"/>
              <w:right w:val="single" w:color="auto" w:sz="4" w:space="0"/>
            </w:tcBorders>
            <w:vAlign w:val="center"/>
          </w:tcPr>
          <w:p w14:paraId="72FD7B71">
            <w:pPr>
              <w:adjustRightInd w:val="0"/>
              <w:snapToGrid w:val="0"/>
              <w:rPr>
                <w:rFonts w:ascii="宋体" w:hAnsi="宋体" w:cs="宋体"/>
                <w:kern w:val="0"/>
                <w:szCs w:val="21"/>
              </w:rPr>
            </w:pPr>
            <w:r>
              <w:rPr>
                <w:rFonts w:hint="eastAsia" w:ascii="宋体" w:hAnsi="宋体" w:cs="宋体"/>
                <w:kern w:val="0"/>
                <w:szCs w:val="21"/>
              </w:rPr>
              <w:t>为有需要的个人提供转介服务。</w:t>
            </w:r>
          </w:p>
        </w:tc>
      </w:tr>
      <w:tr w14:paraId="1221E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40" w:hRule="atLeast"/>
          <w:jc w:val="center"/>
        </w:trPr>
        <w:tc>
          <w:tcPr>
            <w:tcW w:w="1986" w:type="dxa"/>
            <w:vMerge w:val="continue"/>
            <w:tcBorders>
              <w:top w:val="single" w:color="auto" w:sz="4" w:space="0"/>
              <w:left w:val="single" w:color="auto" w:sz="4" w:space="0"/>
              <w:bottom w:val="single" w:color="auto" w:sz="4" w:space="0"/>
              <w:right w:val="single" w:color="auto" w:sz="4" w:space="0"/>
            </w:tcBorders>
            <w:vAlign w:val="center"/>
          </w:tcPr>
          <w:p w14:paraId="1A172632">
            <w:pPr>
              <w:rPr>
                <w:rFonts w:ascii="宋体" w:hAnsi="宋体" w:cs="宋体"/>
                <w:szCs w:val="21"/>
              </w:rPr>
            </w:pPr>
          </w:p>
        </w:tc>
        <w:tc>
          <w:tcPr>
            <w:tcW w:w="2494" w:type="dxa"/>
            <w:vMerge w:val="continue"/>
            <w:tcBorders>
              <w:top w:val="single" w:color="auto" w:sz="4" w:space="0"/>
              <w:left w:val="single" w:color="auto" w:sz="4" w:space="0"/>
              <w:bottom w:val="single" w:color="auto" w:sz="4" w:space="0"/>
              <w:right w:val="single" w:color="auto" w:sz="4" w:space="0"/>
            </w:tcBorders>
            <w:vAlign w:val="center"/>
          </w:tcPr>
          <w:p w14:paraId="094F82E1">
            <w:pPr>
              <w:adjustRightInd w:val="0"/>
              <w:rPr>
                <w:rFonts w:ascii="宋体" w:hAnsi="宋体" w:cs="宋体"/>
                <w:szCs w:val="21"/>
              </w:rPr>
            </w:pPr>
          </w:p>
        </w:tc>
        <w:tc>
          <w:tcPr>
            <w:tcW w:w="5579" w:type="dxa"/>
            <w:tcBorders>
              <w:top w:val="single" w:color="auto" w:sz="4" w:space="0"/>
              <w:left w:val="single" w:color="auto" w:sz="4" w:space="0"/>
              <w:bottom w:val="single" w:color="auto" w:sz="4" w:space="0"/>
              <w:right w:val="single" w:color="auto" w:sz="4" w:space="0"/>
            </w:tcBorders>
            <w:vAlign w:val="center"/>
          </w:tcPr>
          <w:p w14:paraId="1DB5A674">
            <w:pPr>
              <w:adjustRightInd w:val="0"/>
              <w:snapToGrid w:val="0"/>
              <w:rPr>
                <w:rFonts w:ascii="宋体" w:hAnsi="宋体" w:cs="宋体"/>
                <w:kern w:val="0"/>
                <w:szCs w:val="21"/>
              </w:rPr>
            </w:pPr>
            <w:r>
              <w:rPr>
                <w:rFonts w:hint="eastAsia" w:ascii="宋体" w:hAnsi="宋体" w:cs="宋体"/>
                <w:kern w:val="0"/>
                <w:szCs w:val="21"/>
              </w:rPr>
              <w:t>社区关爱及社区接纳氛围的营造。</w:t>
            </w:r>
          </w:p>
        </w:tc>
      </w:tr>
    </w:tbl>
    <w:p w14:paraId="0B9C80D4">
      <w:pPr>
        <w:pStyle w:val="2"/>
        <w:spacing w:line="240" w:lineRule="auto"/>
        <w:rPr>
          <w:lang w:eastAsia="zh-CN"/>
        </w:rPr>
      </w:pPr>
    </w:p>
    <w:p w14:paraId="6839C905">
      <w:pPr>
        <w:keepNext w:val="0"/>
        <w:keepLines w:val="0"/>
        <w:pageBreakBefore w:val="0"/>
        <w:widowControl w:val="0"/>
        <w:kinsoku/>
        <w:wordWrap/>
        <w:overflowPunct/>
        <w:topLinePunct w:val="0"/>
        <w:autoSpaceDE/>
        <w:autoSpaceDN/>
        <w:bidi w:val="0"/>
        <w:adjustRightInd w:val="0"/>
        <w:snapToGrid w:val="0"/>
        <w:spacing w:line="240" w:lineRule="auto"/>
        <w:ind w:firstLine="420" w:firstLineChars="200"/>
        <w:textAlignment w:val="auto"/>
        <w:outlineLvl w:val="0"/>
        <w:rPr>
          <w:rFonts w:asciiTheme="minorEastAsia" w:hAnsiTheme="minorEastAsia" w:eastAsiaTheme="minorEastAsia" w:cstheme="minorEastAsia"/>
          <w:color w:val="000000"/>
          <w:szCs w:val="21"/>
        </w:rPr>
      </w:pPr>
      <w:r>
        <w:rPr>
          <w:rFonts w:hint="eastAsia" w:asciiTheme="minorEastAsia" w:hAnsiTheme="minorEastAsia" w:eastAsiaTheme="minorEastAsia" w:cstheme="minorEastAsia"/>
          <w:color w:val="000000"/>
          <w:szCs w:val="21"/>
        </w:rPr>
        <w:t>4.5推动实施兜底民生服务社会工作“双百工程”，根据《关于实施“广东兜底民生服务社会工作双百工程”的通知》（粤民发〔2020〕142号）、《广东省民政厅关于加强“广东兜底民生服务社会工作双百工程”督导工作的通知》(粤民函〔2021〕278号)等文件要求协助街道或社区实施双百工作。</w:t>
      </w:r>
    </w:p>
    <w:p w14:paraId="645F8446">
      <w:pPr>
        <w:pStyle w:val="2"/>
        <w:keepNext w:val="0"/>
        <w:keepLines w:val="0"/>
        <w:pageBreakBefore w:val="0"/>
        <w:widowControl w:val="0"/>
        <w:kinsoku/>
        <w:wordWrap/>
        <w:overflowPunct/>
        <w:topLinePunct w:val="0"/>
        <w:autoSpaceDE/>
        <w:autoSpaceDN/>
        <w:bidi w:val="0"/>
        <w:spacing w:line="240" w:lineRule="auto"/>
        <w:ind w:firstLine="420" w:firstLineChars="200"/>
        <w:textAlignment w:val="auto"/>
        <w:rPr>
          <w:rFonts w:asciiTheme="minorEastAsia" w:hAnsiTheme="minorEastAsia" w:eastAsiaTheme="minorEastAsia" w:cstheme="minorEastAsia"/>
          <w:color w:val="000000"/>
          <w:sz w:val="21"/>
          <w:szCs w:val="21"/>
          <w:highlight w:val="yellow"/>
          <w:lang w:eastAsia="zh-CN"/>
        </w:rPr>
      </w:pPr>
      <w:r>
        <w:rPr>
          <w:rFonts w:hint="eastAsia" w:asciiTheme="minorEastAsia" w:hAnsiTheme="minorEastAsia" w:eastAsiaTheme="minorEastAsia" w:cstheme="minorEastAsia"/>
          <w:color w:val="000000"/>
          <w:sz w:val="21"/>
          <w:szCs w:val="21"/>
          <w:lang w:eastAsia="zh-CN"/>
        </w:rPr>
        <w:t>5.服务指标（每个社区党群服务中心），新湖街道党建工作办公室有权根据各社区党群服务中心活动场地建设进度情况，适当调整其年度服务指标。</w:t>
      </w:r>
    </w:p>
    <w:tbl>
      <w:tblPr>
        <w:tblStyle w:val="4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54"/>
        <w:gridCol w:w="3012"/>
        <w:gridCol w:w="1478"/>
        <w:gridCol w:w="3781"/>
      </w:tblGrid>
      <w:tr w14:paraId="7F934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47" w:hRule="atLeast"/>
          <w:jc w:val="center"/>
        </w:trPr>
        <w:tc>
          <w:tcPr>
            <w:tcW w:w="1654" w:type="dxa"/>
            <w:vAlign w:val="center"/>
          </w:tcPr>
          <w:p w14:paraId="49BC25C4">
            <w:pPr>
              <w:snapToGrid w:val="0"/>
              <w:jc w:val="center"/>
              <w:rPr>
                <w:rFonts w:asciiTheme="majorEastAsia" w:hAnsiTheme="majorEastAsia" w:eastAsiaTheme="majorEastAsia" w:cstheme="majorEastAsia"/>
                <w:b/>
                <w:bCs/>
                <w:szCs w:val="21"/>
                <w:highlight w:val="none"/>
              </w:rPr>
            </w:pPr>
            <w:r>
              <w:rPr>
                <w:rFonts w:hint="eastAsia" w:asciiTheme="majorEastAsia" w:hAnsiTheme="majorEastAsia" w:eastAsiaTheme="majorEastAsia" w:cstheme="majorEastAsia"/>
                <w:b/>
                <w:bCs/>
                <w:szCs w:val="21"/>
                <w:highlight w:val="none"/>
              </w:rPr>
              <w:t>服务类别</w:t>
            </w:r>
          </w:p>
        </w:tc>
        <w:tc>
          <w:tcPr>
            <w:tcW w:w="3012" w:type="dxa"/>
            <w:vAlign w:val="center"/>
          </w:tcPr>
          <w:p w14:paraId="46B88AD1">
            <w:pPr>
              <w:snapToGrid w:val="0"/>
              <w:jc w:val="center"/>
              <w:rPr>
                <w:rFonts w:asciiTheme="majorEastAsia" w:hAnsiTheme="majorEastAsia" w:eastAsiaTheme="majorEastAsia" w:cstheme="majorEastAsia"/>
                <w:b/>
                <w:bCs/>
                <w:szCs w:val="21"/>
                <w:highlight w:val="none"/>
              </w:rPr>
            </w:pPr>
            <w:r>
              <w:rPr>
                <w:rFonts w:hint="eastAsia" w:asciiTheme="majorEastAsia" w:hAnsiTheme="majorEastAsia" w:eastAsiaTheme="majorEastAsia" w:cstheme="majorEastAsia"/>
                <w:b/>
                <w:bCs/>
                <w:szCs w:val="21"/>
                <w:highlight w:val="none"/>
              </w:rPr>
              <w:t>服务指标</w:t>
            </w:r>
          </w:p>
        </w:tc>
        <w:tc>
          <w:tcPr>
            <w:tcW w:w="1478" w:type="dxa"/>
            <w:vAlign w:val="center"/>
          </w:tcPr>
          <w:p w14:paraId="7143CAAC">
            <w:pPr>
              <w:snapToGrid w:val="0"/>
              <w:jc w:val="center"/>
              <w:rPr>
                <w:rFonts w:asciiTheme="majorEastAsia" w:hAnsiTheme="majorEastAsia" w:eastAsiaTheme="majorEastAsia" w:cstheme="majorEastAsia"/>
                <w:b/>
                <w:bCs/>
                <w:szCs w:val="21"/>
                <w:highlight w:val="none"/>
              </w:rPr>
            </w:pPr>
            <w:r>
              <w:rPr>
                <w:rFonts w:hint="eastAsia" w:asciiTheme="majorEastAsia" w:hAnsiTheme="majorEastAsia" w:eastAsiaTheme="majorEastAsia" w:cstheme="majorEastAsia"/>
                <w:b/>
                <w:bCs/>
                <w:szCs w:val="21"/>
                <w:highlight w:val="none"/>
              </w:rPr>
              <w:t>单位标准</w:t>
            </w:r>
          </w:p>
        </w:tc>
        <w:tc>
          <w:tcPr>
            <w:tcW w:w="3781" w:type="dxa"/>
            <w:vAlign w:val="center"/>
          </w:tcPr>
          <w:p w14:paraId="13B75B8C">
            <w:pPr>
              <w:snapToGrid w:val="0"/>
              <w:jc w:val="center"/>
              <w:rPr>
                <w:rFonts w:asciiTheme="majorEastAsia" w:hAnsiTheme="majorEastAsia" w:eastAsiaTheme="majorEastAsia" w:cstheme="majorEastAsia"/>
                <w:b/>
                <w:bCs/>
                <w:szCs w:val="21"/>
                <w:highlight w:val="none"/>
              </w:rPr>
            </w:pPr>
            <w:r>
              <w:rPr>
                <w:rFonts w:hint="eastAsia" w:asciiTheme="majorEastAsia" w:hAnsiTheme="majorEastAsia" w:eastAsiaTheme="majorEastAsia" w:cstheme="majorEastAsia"/>
                <w:b/>
                <w:bCs/>
                <w:szCs w:val="21"/>
                <w:highlight w:val="none"/>
              </w:rPr>
              <w:t>协议指标</w:t>
            </w:r>
          </w:p>
        </w:tc>
      </w:tr>
      <w:tr w14:paraId="2F90F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23" w:hRule="atLeast"/>
          <w:jc w:val="center"/>
        </w:trPr>
        <w:tc>
          <w:tcPr>
            <w:tcW w:w="1654" w:type="dxa"/>
            <w:vAlign w:val="center"/>
          </w:tcPr>
          <w:p w14:paraId="170B2866">
            <w:pPr>
              <w:snapToGrid w:val="0"/>
              <w:jc w:val="center"/>
              <w:rPr>
                <w:rFonts w:asciiTheme="majorEastAsia" w:hAnsiTheme="majorEastAsia" w:eastAsiaTheme="majorEastAsia" w:cstheme="majorEastAsia"/>
                <w:bCs/>
                <w:szCs w:val="21"/>
                <w:highlight w:val="none"/>
              </w:rPr>
            </w:pPr>
            <w:r>
              <w:rPr>
                <w:rFonts w:hint="eastAsia" w:asciiTheme="majorEastAsia" w:hAnsiTheme="majorEastAsia" w:eastAsiaTheme="majorEastAsia" w:cstheme="majorEastAsia"/>
                <w:bCs/>
                <w:szCs w:val="21"/>
                <w:highlight w:val="none"/>
              </w:rPr>
              <w:t>服务调研</w:t>
            </w:r>
          </w:p>
        </w:tc>
        <w:tc>
          <w:tcPr>
            <w:tcW w:w="3012" w:type="dxa"/>
            <w:vAlign w:val="center"/>
          </w:tcPr>
          <w:p w14:paraId="58A46E7A">
            <w:pPr>
              <w:snapToGrid w:val="0"/>
              <w:jc w:val="center"/>
              <w:rPr>
                <w:rFonts w:asciiTheme="majorEastAsia" w:hAnsiTheme="majorEastAsia" w:eastAsiaTheme="majorEastAsia" w:cstheme="majorEastAsia"/>
                <w:bCs/>
                <w:szCs w:val="21"/>
                <w:highlight w:val="none"/>
              </w:rPr>
            </w:pPr>
            <w:r>
              <w:rPr>
                <w:rFonts w:hint="eastAsia" w:asciiTheme="majorEastAsia" w:hAnsiTheme="majorEastAsia" w:eastAsiaTheme="majorEastAsia" w:cstheme="majorEastAsia"/>
                <w:bCs/>
                <w:szCs w:val="21"/>
                <w:highlight w:val="none"/>
              </w:rPr>
              <w:t>每年开展一次</w:t>
            </w:r>
          </w:p>
          <w:p w14:paraId="3A6B9A5A">
            <w:pPr>
              <w:snapToGrid w:val="0"/>
              <w:jc w:val="center"/>
              <w:rPr>
                <w:rFonts w:asciiTheme="majorEastAsia" w:hAnsiTheme="majorEastAsia" w:eastAsiaTheme="majorEastAsia" w:cstheme="majorEastAsia"/>
                <w:bCs/>
                <w:szCs w:val="21"/>
                <w:highlight w:val="none"/>
              </w:rPr>
            </w:pPr>
            <w:r>
              <w:rPr>
                <w:rFonts w:hint="eastAsia" w:asciiTheme="majorEastAsia" w:hAnsiTheme="majorEastAsia" w:eastAsiaTheme="majorEastAsia" w:cstheme="majorEastAsia"/>
                <w:bCs/>
                <w:szCs w:val="21"/>
                <w:highlight w:val="none"/>
              </w:rPr>
              <w:t>社区服务精准调研</w:t>
            </w:r>
          </w:p>
        </w:tc>
        <w:tc>
          <w:tcPr>
            <w:tcW w:w="1478" w:type="dxa"/>
            <w:vAlign w:val="center"/>
          </w:tcPr>
          <w:p w14:paraId="2A177DE0">
            <w:pPr>
              <w:snapToGrid w:val="0"/>
              <w:jc w:val="center"/>
              <w:rPr>
                <w:rFonts w:asciiTheme="majorEastAsia" w:hAnsiTheme="majorEastAsia" w:eastAsiaTheme="majorEastAsia" w:cstheme="majorEastAsia"/>
                <w:bCs/>
                <w:szCs w:val="21"/>
                <w:highlight w:val="none"/>
              </w:rPr>
            </w:pPr>
            <w:r>
              <w:rPr>
                <w:rFonts w:hint="eastAsia" w:asciiTheme="majorEastAsia" w:hAnsiTheme="majorEastAsia" w:eastAsiaTheme="majorEastAsia" w:cstheme="majorEastAsia"/>
                <w:bCs/>
                <w:szCs w:val="21"/>
                <w:highlight w:val="none"/>
              </w:rPr>
              <w:t>份数</w:t>
            </w:r>
          </w:p>
        </w:tc>
        <w:tc>
          <w:tcPr>
            <w:tcW w:w="3781" w:type="dxa"/>
            <w:vAlign w:val="center"/>
          </w:tcPr>
          <w:p w14:paraId="1E3EEDF1">
            <w:pPr>
              <w:snapToGrid w:val="0"/>
              <w:jc w:val="center"/>
              <w:rPr>
                <w:rFonts w:asciiTheme="majorEastAsia" w:hAnsiTheme="majorEastAsia" w:eastAsiaTheme="majorEastAsia" w:cstheme="majorEastAsia"/>
                <w:bCs/>
                <w:szCs w:val="21"/>
                <w:highlight w:val="none"/>
              </w:rPr>
            </w:pPr>
            <w:r>
              <w:rPr>
                <w:rFonts w:hint="eastAsia" w:asciiTheme="majorEastAsia" w:hAnsiTheme="majorEastAsia" w:eastAsiaTheme="majorEastAsia" w:cstheme="majorEastAsia"/>
                <w:szCs w:val="21"/>
                <w:highlight w:val="none"/>
              </w:rPr>
              <w:t>收集问卷300份，撰写</w:t>
            </w:r>
            <w:r>
              <w:rPr>
                <w:rFonts w:hint="eastAsia" w:asciiTheme="majorEastAsia" w:hAnsiTheme="majorEastAsia" w:eastAsiaTheme="majorEastAsia" w:cstheme="majorEastAsia"/>
                <w:color w:val="000000"/>
                <w:szCs w:val="21"/>
                <w:highlight w:val="none"/>
              </w:rPr>
              <w:t>调研报告1份</w:t>
            </w:r>
          </w:p>
        </w:tc>
      </w:tr>
      <w:tr w14:paraId="16E2D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23" w:hRule="atLeast"/>
          <w:jc w:val="center"/>
        </w:trPr>
        <w:tc>
          <w:tcPr>
            <w:tcW w:w="1654" w:type="dxa"/>
            <w:vMerge w:val="restart"/>
            <w:vAlign w:val="center"/>
          </w:tcPr>
          <w:p w14:paraId="3BE365C6">
            <w:pPr>
              <w:snapToGrid w:val="0"/>
              <w:jc w:val="center"/>
              <w:rPr>
                <w:rFonts w:asciiTheme="majorEastAsia" w:hAnsiTheme="majorEastAsia" w:eastAsiaTheme="majorEastAsia" w:cstheme="majorEastAsia"/>
                <w:bCs/>
                <w:szCs w:val="21"/>
                <w:highlight w:val="none"/>
              </w:rPr>
            </w:pPr>
            <w:r>
              <w:rPr>
                <w:rFonts w:hint="eastAsia" w:asciiTheme="majorEastAsia" w:hAnsiTheme="majorEastAsia" w:eastAsiaTheme="majorEastAsia" w:cstheme="majorEastAsia"/>
                <w:bCs/>
                <w:szCs w:val="21"/>
                <w:highlight w:val="none"/>
              </w:rPr>
              <w:t>个案</w:t>
            </w:r>
          </w:p>
        </w:tc>
        <w:tc>
          <w:tcPr>
            <w:tcW w:w="3012" w:type="dxa"/>
            <w:vAlign w:val="center"/>
          </w:tcPr>
          <w:p w14:paraId="14B40831">
            <w:pPr>
              <w:snapToGrid w:val="0"/>
              <w:jc w:val="center"/>
              <w:rPr>
                <w:rFonts w:asciiTheme="majorEastAsia" w:hAnsiTheme="majorEastAsia" w:eastAsiaTheme="majorEastAsia" w:cstheme="majorEastAsia"/>
                <w:bCs/>
                <w:szCs w:val="21"/>
                <w:highlight w:val="none"/>
              </w:rPr>
            </w:pPr>
            <w:r>
              <w:rPr>
                <w:rFonts w:hint="eastAsia" w:asciiTheme="majorEastAsia" w:hAnsiTheme="majorEastAsia" w:eastAsiaTheme="majorEastAsia" w:cstheme="majorEastAsia"/>
                <w:bCs/>
                <w:szCs w:val="21"/>
                <w:highlight w:val="none"/>
              </w:rPr>
              <w:t>探访</w:t>
            </w:r>
          </w:p>
        </w:tc>
        <w:tc>
          <w:tcPr>
            <w:tcW w:w="1478" w:type="dxa"/>
            <w:vAlign w:val="center"/>
          </w:tcPr>
          <w:p w14:paraId="6F53FE17">
            <w:pPr>
              <w:snapToGrid w:val="0"/>
              <w:jc w:val="center"/>
              <w:rPr>
                <w:rFonts w:asciiTheme="majorEastAsia" w:hAnsiTheme="majorEastAsia" w:eastAsiaTheme="majorEastAsia" w:cstheme="majorEastAsia"/>
                <w:bCs/>
                <w:szCs w:val="21"/>
                <w:highlight w:val="none"/>
              </w:rPr>
            </w:pPr>
            <w:r>
              <w:rPr>
                <w:rFonts w:hint="eastAsia" w:asciiTheme="majorEastAsia" w:hAnsiTheme="majorEastAsia" w:eastAsiaTheme="majorEastAsia" w:cstheme="majorEastAsia"/>
                <w:bCs/>
                <w:szCs w:val="21"/>
                <w:highlight w:val="none"/>
              </w:rPr>
              <w:t>人数</w:t>
            </w:r>
          </w:p>
        </w:tc>
        <w:tc>
          <w:tcPr>
            <w:tcW w:w="3781" w:type="dxa"/>
            <w:vAlign w:val="center"/>
          </w:tcPr>
          <w:p w14:paraId="5BE1F4D1">
            <w:pPr>
              <w:snapToGrid w:val="0"/>
              <w:jc w:val="center"/>
              <w:rPr>
                <w:rFonts w:asciiTheme="majorEastAsia" w:hAnsiTheme="majorEastAsia" w:eastAsiaTheme="majorEastAsia" w:cstheme="majorEastAsia"/>
                <w:bCs/>
                <w:szCs w:val="21"/>
                <w:highlight w:val="none"/>
              </w:rPr>
            </w:pPr>
            <w:r>
              <w:rPr>
                <w:rFonts w:hint="eastAsia" w:asciiTheme="majorEastAsia" w:hAnsiTheme="majorEastAsia" w:eastAsiaTheme="majorEastAsia" w:cstheme="majorEastAsia"/>
                <w:bCs/>
                <w:szCs w:val="21"/>
                <w:highlight w:val="none"/>
              </w:rPr>
              <w:t>250人次及以上</w:t>
            </w:r>
          </w:p>
        </w:tc>
      </w:tr>
      <w:tr w14:paraId="5F91F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83" w:hRule="atLeast"/>
          <w:jc w:val="center"/>
        </w:trPr>
        <w:tc>
          <w:tcPr>
            <w:tcW w:w="1654" w:type="dxa"/>
            <w:vMerge w:val="continue"/>
            <w:vAlign w:val="center"/>
          </w:tcPr>
          <w:p w14:paraId="69C4B01F">
            <w:pPr>
              <w:widowControl/>
              <w:jc w:val="center"/>
              <w:rPr>
                <w:rFonts w:asciiTheme="majorEastAsia" w:hAnsiTheme="majorEastAsia" w:eastAsiaTheme="majorEastAsia" w:cstheme="majorEastAsia"/>
                <w:bCs/>
                <w:szCs w:val="21"/>
                <w:highlight w:val="none"/>
              </w:rPr>
            </w:pPr>
          </w:p>
        </w:tc>
        <w:tc>
          <w:tcPr>
            <w:tcW w:w="3012" w:type="dxa"/>
            <w:vAlign w:val="center"/>
          </w:tcPr>
          <w:p w14:paraId="4E59102B">
            <w:pPr>
              <w:snapToGrid w:val="0"/>
              <w:jc w:val="center"/>
              <w:rPr>
                <w:rFonts w:asciiTheme="majorEastAsia" w:hAnsiTheme="majorEastAsia" w:eastAsiaTheme="majorEastAsia" w:cstheme="majorEastAsia"/>
                <w:bCs/>
                <w:szCs w:val="21"/>
                <w:highlight w:val="none"/>
              </w:rPr>
            </w:pPr>
            <w:r>
              <w:rPr>
                <w:rFonts w:hint="eastAsia" w:asciiTheme="majorEastAsia" w:hAnsiTheme="majorEastAsia" w:eastAsiaTheme="majorEastAsia" w:cstheme="majorEastAsia"/>
                <w:bCs/>
                <w:szCs w:val="21"/>
                <w:highlight w:val="none"/>
              </w:rPr>
              <w:t>建档</w:t>
            </w:r>
          </w:p>
        </w:tc>
        <w:tc>
          <w:tcPr>
            <w:tcW w:w="1478" w:type="dxa"/>
            <w:vAlign w:val="center"/>
          </w:tcPr>
          <w:p w14:paraId="7C59E7F4">
            <w:pPr>
              <w:snapToGrid w:val="0"/>
              <w:jc w:val="center"/>
              <w:rPr>
                <w:rFonts w:asciiTheme="majorEastAsia" w:hAnsiTheme="majorEastAsia" w:eastAsiaTheme="majorEastAsia" w:cstheme="majorEastAsia"/>
                <w:bCs/>
                <w:szCs w:val="21"/>
                <w:highlight w:val="none"/>
              </w:rPr>
            </w:pPr>
            <w:r>
              <w:rPr>
                <w:rFonts w:hint="eastAsia" w:asciiTheme="majorEastAsia" w:hAnsiTheme="majorEastAsia" w:eastAsiaTheme="majorEastAsia" w:cstheme="majorEastAsia"/>
                <w:bCs/>
                <w:szCs w:val="21"/>
                <w:highlight w:val="none"/>
              </w:rPr>
              <w:t>表</w:t>
            </w:r>
          </w:p>
        </w:tc>
        <w:tc>
          <w:tcPr>
            <w:tcW w:w="3781" w:type="dxa"/>
            <w:vAlign w:val="center"/>
          </w:tcPr>
          <w:p w14:paraId="491601DD">
            <w:pPr>
              <w:snapToGrid w:val="0"/>
              <w:jc w:val="center"/>
              <w:rPr>
                <w:rFonts w:asciiTheme="majorEastAsia" w:hAnsiTheme="majorEastAsia" w:eastAsiaTheme="majorEastAsia" w:cstheme="majorEastAsia"/>
                <w:bCs/>
                <w:szCs w:val="21"/>
                <w:highlight w:val="none"/>
              </w:rPr>
            </w:pPr>
            <w:r>
              <w:rPr>
                <w:rFonts w:hint="eastAsia" w:asciiTheme="majorEastAsia" w:hAnsiTheme="majorEastAsia" w:eastAsiaTheme="majorEastAsia" w:cstheme="majorEastAsia"/>
                <w:bCs/>
                <w:szCs w:val="21"/>
                <w:highlight w:val="none"/>
              </w:rPr>
              <w:t>80个及以上（覆盖辖区全体特殊困难群体）</w:t>
            </w:r>
          </w:p>
        </w:tc>
      </w:tr>
      <w:tr w14:paraId="6FA5F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23" w:hRule="atLeast"/>
          <w:jc w:val="center"/>
        </w:trPr>
        <w:tc>
          <w:tcPr>
            <w:tcW w:w="1654" w:type="dxa"/>
            <w:vMerge w:val="continue"/>
            <w:vAlign w:val="center"/>
          </w:tcPr>
          <w:p w14:paraId="67B11C80">
            <w:pPr>
              <w:snapToGrid w:val="0"/>
              <w:jc w:val="center"/>
              <w:rPr>
                <w:rFonts w:asciiTheme="majorEastAsia" w:hAnsiTheme="majorEastAsia" w:eastAsiaTheme="majorEastAsia" w:cstheme="majorEastAsia"/>
                <w:bCs/>
                <w:szCs w:val="21"/>
                <w:highlight w:val="none"/>
              </w:rPr>
            </w:pPr>
          </w:p>
        </w:tc>
        <w:tc>
          <w:tcPr>
            <w:tcW w:w="3012" w:type="dxa"/>
            <w:vAlign w:val="center"/>
          </w:tcPr>
          <w:p w14:paraId="5D42C26C">
            <w:pPr>
              <w:snapToGrid w:val="0"/>
              <w:jc w:val="center"/>
              <w:rPr>
                <w:rFonts w:asciiTheme="majorEastAsia" w:hAnsiTheme="majorEastAsia" w:eastAsiaTheme="majorEastAsia" w:cstheme="majorEastAsia"/>
                <w:bCs/>
                <w:szCs w:val="21"/>
                <w:highlight w:val="none"/>
              </w:rPr>
            </w:pPr>
            <w:r>
              <w:rPr>
                <w:rFonts w:hint="eastAsia" w:asciiTheme="majorEastAsia" w:hAnsiTheme="majorEastAsia" w:eastAsiaTheme="majorEastAsia" w:cstheme="majorEastAsia"/>
                <w:bCs/>
                <w:szCs w:val="21"/>
                <w:highlight w:val="none"/>
              </w:rPr>
              <w:t>特殊群体建档率</w:t>
            </w:r>
          </w:p>
        </w:tc>
        <w:tc>
          <w:tcPr>
            <w:tcW w:w="1478" w:type="dxa"/>
            <w:vAlign w:val="center"/>
          </w:tcPr>
          <w:p w14:paraId="3258CCF8">
            <w:pPr>
              <w:snapToGrid w:val="0"/>
              <w:jc w:val="center"/>
              <w:rPr>
                <w:rFonts w:asciiTheme="majorEastAsia" w:hAnsiTheme="majorEastAsia" w:eastAsiaTheme="majorEastAsia" w:cstheme="majorEastAsia"/>
                <w:bCs/>
                <w:szCs w:val="21"/>
                <w:highlight w:val="none"/>
              </w:rPr>
            </w:pPr>
            <w:r>
              <w:rPr>
                <w:rFonts w:hint="eastAsia" w:asciiTheme="majorEastAsia" w:hAnsiTheme="majorEastAsia" w:eastAsiaTheme="majorEastAsia" w:cstheme="majorEastAsia"/>
                <w:bCs/>
                <w:szCs w:val="21"/>
                <w:highlight w:val="none"/>
              </w:rPr>
              <w:t>百分百</w:t>
            </w:r>
          </w:p>
        </w:tc>
        <w:tc>
          <w:tcPr>
            <w:tcW w:w="3781" w:type="dxa"/>
            <w:vAlign w:val="center"/>
          </w:tcPr>
          <w:p w14:paraId="76FFDD8F">
            <w:pPr>
              <w:snapToGrid w:val="0"/>
              <w:jc w:val="center"/>
              <w:rPr>
                <w:rFonts w:asciiTheme="majorEastAsia" w:hAnsiTheme="majorEastAsia" w:eastAsiaTheme="majorEastAsia" w:cstheme="majorEastAsia"/>
                <w:bCs/>
                <w:szCs w:val="21"/>
                <w:highlight w:val="none"/>
              </w:rPr>
            </w:pPr>
            <w:r>
              <w:rPr>
                <w:rFonts w:hint="eastAsia" w:asciiTheme="majorEastAsia" w:hAnsiTheme="majorEastAsia" w:eastAsiaTheme="majorEastAsia" w:cstheme="majorEastAsia"/>
                <w:bCs/>
                <w:szCs w:val="21"/>
                <w:highlight w:val="none"/>
              </w:rPr>
              <w:t>100%</w:t>
            </w:r>
          </w:p>
        </w:tc>
      </w:tr>
      <w:tr w14:paraId="033E7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23" w:hRule="atLeast"/>
          <w:jc w:val="center"/>
        </w:trPr>
        <w:tc>
          <w:tcPr>
            <w:tcW w:w="1654" w:type="dxa"/>
            <w:vMerge w:val="continue"/>
            <w:vAlign w:val="center"/>
          </w:tcPr>
          <w:p w14:paraId="61100AB5">
            <w:pPr>
              <w:snapToGrid w:val="0"/>
              <w:jc w:val="center"/>
              <w:rPr>
                <w:rFonts w:asciiTheme="majorEastAsia" w:hAnsiTheme="majorEastAsia" w:eastAsiaTheme="majorEastAsia" w:cstheme="majorEastAsia"/>
                <w:bCs/>
                <w:szCs w:val="21"/>
                <w:highlight w:val="none"/>
              </w:rPr>
            </w:pPr>
          </w:p>
        </w:tc>
        <w:tc>
          <w:tcPr>
            <w:tcW w:w="3012" w:type="dxa"/>
            <w:vAlign w:val="center"/>
          </w:tcPr>
          <w:p w14:paraId="3E8C0E68">
            <w:pPr>
              <w:snapToGrid w:val="0"/>
              <w:jc w:val="center"/>
              <w:rPr>
                <w:rFonts w:asciiTheme="majorEastAsia" w:hAnsiTheme="majorEastAsia" w:eastAsiaTheme="majorEastAsia" w:cstheme="majorEastAsia"/>
                <w:bCs/>
                <w:szCs w:val="21"/>
                <w:highlight w:val="none"/>
              </w:rPr>
            </w:pPr>
            <w:r>
              <w:rPr>
                <w:rFonts w:hint="eastAsia" w:asciiTheme="majorEastAsia" w:hAnsiTheme="majorEastAsia" w:eastAsiaTheme="majorEastAsia" w:cstheme="majorEastAsia"/>
                <w:bCs/>
                <w:szCs w:val="21"/>
                <w:highlight w:val="none"/>
              </w:rPr>
              <w:t>个案建档率</w:t>
            </w:r>
          </w:p>
        </w:tc>
        <w:tc>
          <w:tcPr>
            <w:tcW w:w="1478" w:type="dxa"/>
            <w:vAlign w:val="center"/>
          </w:tcPr>
          <w:p w14:paraId="6EB7B2FB">
            <w:pPr>
              <w:snapToGrid w:val="0"/>
              <w:jc w:val="center"/>
              <w:rPr>
                <w:rFonts w:asciiTheme="majorEastAsia" w:hAnsiTheme="majorEastAsia" w:eastAsiaTheme="majorEastAsia" w:cstheme="majorEastAsia"/>
                <w:bCs/>
                <w:szCs w:val="21"/>
                <w:highlight w:val="none"/>
              </w:rPr>
            </w:pPr>
            <w:r>
              <w:rPr>
                <w:rFonts w:hint="eastAsia" w:asciiTheme="majorEastAsia" w:hAnsiTheme="majorEastAsia" w:eastAsiaTheme="majorEastAsia" w:cstheme="majorEastAsia"/>
                <w:bCs/>
                <w:szCs w:val="21"/>
                <w:highlight w:val="none"/>
              </w:rPr>
              <w:t>百分百</w:t>
            </w:r>
          </w:p>
        </w:tc>
        <w:tc>
          <w:tcPr>
            <w:tcW w:w="3781" w:type="dxa"/>
            <w:vAlign w:val="center"/>
          </w:tcPr>
          <w:p w14:paraId="0D2CD9DB">
            <w:pPr>
              <w:snapToGrid w:val="0"/>
              <w:jc w:val="center"/>
              <w:rPr>
                <w:rFonts w:asciiTheme="majorEastAsia" w:hAnsiTheme="majorEastAsia" w:eastAsiaTheme="majorEastAsia" w:cstheme="majorEastAsia"/>
                <w:bCs/>
                <w:szCs w:val="21"/>
                <w:highlight w:val="none"/>
              </w:rPr>
            </w:pPr>
            <w:r>
              <w:rPr>
                <w:rFonts w:hint="eastAsia" w:asciiTheme="majorEastAsia" w:hAnsiTheme="majorEastAsia" w:eastAsiaTheme="majorEastAsia" w:cstheme="majorEastAsia"/>
                <w:bCs/>
                <w:szCs w:val="21"/>
                <w:highlight w:val="none"/>
              </w:rPr>
              <w:t>100%</w:t>
            </w:r>
          </w:p>
        </w:tc>
      </w:tr>
      <w:tr w14:paraId="1C7ED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23" w:hRule="atLeast"/>
          <w:jc w:val="center"/>
        </w:trPr>
        <w:tc>
          <w:tcPr>
            <w:tcW w:w="1654" w:type="dxa"/>
            <w:vMerge w:val="continue"/>
            <w:vAlign w:val="center"/>
          </w:tcPr>
          <w:p w14:paraId="2250EB8F">
            <w:pPr>
              <w:snapToGrid w:val="0"/>
              <w:jc w:val="center"/>
              <w:rPr>
                <w:rFonts w:asciiTheme="majorEastAsia" w:hAnsiTheme="majorEastAsia" w:eastAsiaTheme="majorEastAsia" w:cstheme="majorEastAsia"/>
                <w:bCs/>
                <w:szCs w:val="21"/>
                <w:highlight w:val="none"/>
              </w:rPr>
            </w:pPr>
          </w:p>
        </w:tc>
        <w:tc>
          <w:tcPr>
            <w:tcW w:w="3012" w:type="dxa"/>
            <w:vAlign w:val="center"/>
          </w:tcPr>
          <w:p w14:paraId="75D26C61">
            <w:pPr>
              <w:snapToGrid w:val="0"/>
              <w:jc w:val="center"/>
              <w:rPr>
                <w:rFonts w:asciiTheme="majorEastAsia" w:hAnsiTheme="majorEastAsia" w:eastAsiaTheme="majorEastAsia" w:cstheme="majorEastAsia"/>
                <w:bCs/>
                <w:szCs w:val="21"/>
                <w:highlight w:val="none"/>
              </w:rPr>
            </w:pPr>
            <w:r>
              <w:rPr>
                <w:rFonts w:hint="eastAsia" w:asciiTheme="majorEastAsia" w:hAnsiTheme="majorEastAsia" w:eastAsiaTheme="majorEastAsia" w:cstheme="majorEastAsia"/>
                <w:bCs/>
                <w:szCs w:val="21"/>
                <w:highlight w:val="none"/>
              </w:rPr>
              <w:t>开启个案数</w:t>
            </w:r>
          </w:p>
        </w:tc>
        <w:tc>
          <w:tcPr>
            <w:tcW w:w="1478" w:type="dxa"/>
            <w:vAlign w:val="center"/>
          </w:tcPr>
          <w:p w14:paraId="63F8837B">
            <w:pPr>
              <w:snapToGrid w:val="0"/>
              <w:jc w:val="center"/>
              <w:rPr>
                <w:rFonts w:asciiTheme="majorEastAsia" w:hAnsiTheme="majorEastAsia" w:eastAsiaTheme="majorEastAsia" w:cstheme="majorEastAsia"/>
                <w:bCs/>
                <w:szCs w:val="21"/>
                <w:highlight w:val="none"/>
              </w:rPr>
            </w:pPr>
            <w:r>
              <w:rPr>
                <w:rFonts w:hint="eastAsia" w:asciiTheme="majorEastAsia" w:hAnsiTheme="majorEastAsia" w:eastAsiaTheme="majorEastAsia" w:cstheme="majorEastAsia"/>
                <w:bCs/>
                <w:szCs w:val="21"/>
                <w:highlight w:val="none"/>
              </w:rPr>
              <w:t>例</w:t>
            </w:r>
          </w:p>
        </w:tc>
        <w:tc>
          <w:tcPr>
            <w:tcW w:w="3781" w:type="dxa"/>
            <w:vAlign w:val="center"/>
          </w:tcPr>
          <w:p w14:paraId="03B78244">
            <w:pPr>
              <w:snapToGrid w:val="0"/>
              <w:jc w:val="center"/>
              <w:rPr>
                <w:rFonts w:asciiTheme="majorEastAsia" w:hAnsiTheme="majorEastAsia" w:eastAsiaTheme="majorEastAsia" w:cstheme="majorEastAsia"/>
                <w:bCs/>
                <w:szCs w:val="21"/>
                <w:highlight w:val="none"/>
              </w:rPr>
            </w:pPr>
            <w:r>
              <w:rPr>
                <w:rFonts w:hint="eastAsia" w:asciiTheme="majorEastAsia" w:hAnsiTheme="majorEastAsia" w:eastAsiaTheme="majorEastAsia" w:cstheme="majorEastAsia"/>
                <w:bCs/>
                <w:szCs w:val="21"/>
                <w:highlight w:val="none"/>
              </w:rPr>
              <w:t>8例及以上</w:t>
            </w:r>
          </w:p>
        </w:tc>
      </w:tr>
      <w:tr w14:paraId="21449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23" w:hRule="atLeast"/>
          <w:jc w:val="center"/>
        </w:trPr>
        <w:tc>
          <w:tcPr>
            <w:tcW w:w="1654" w:type="dxa"/>
            <w:vMerge w:val="continue"/>
            <w:vAlign w:val="center"/>
          </w:tcPr>
          <w:p w14:paraId="2C979CF2">
            <w:pPr>
              <w:snapToGrid w:val="0"/>
              <w:jc w:val="center"/>
              <w:rPr>
                <w:rFonts w:asciiTheme="majorEastAsia" w:hAnsiTheme="majorEastAsia" w:eastAsiaTheme="majorEastAsia" w:cstheme="majorEastAsia"/>
                <w:bCs/>
                <w:szCs w:val="21"/>
                <w:highlight w:val="none"/>
              </w:rPr>
            </w:pPr>
          </w:p>
        </w:tc>
        <w:tc>
          <w:tcPr>
            <w:tcW w:w="3012" w:type="dxa"/>
            <w:vAlign w:val="center"/>
          </w:tcPr>
          <w:p w14:paraId="48B27E3C">
            <w:pPr>
              <w:snapToGrid w:val="0"/>
              <w:jc w:val="center"/>
              <w:rPr>
                <w:rFonts w:asciiTheme="majorEastAsia" w:hAnsiTheme="majorEastAsia" w:eastAsiaTheme="majorEastAsia" w:cstheme="majorEastAsia"/>
                <w:bCs/>
                <w:szCs w:val="21"/>
                <w:highlight w:val="none"/>
              </w:rPr>
            </w:pPr>
            <w:r>
              <w:rPr>
                <w:rFonts w:hint="eastAsia" w:asciiTheme="majorEastAsia" w:hAnsiTheme="majorEastAsia" w:eastAsiaTheme="majorEastAsia" w:cstheme="majorEastAsia"/>
                <w:bCs/>
                <w:szCs w:val="21"/>
                <w:highlight w:val="none"/>
              </w:rPr>
              <w:t>完成个案数</w:t>
            </w:r>
          </w:p>
        </w:tc>
        <w:tc>
          <w:tcPr>
            <w:tcW w:w="1478" w:type="dxa"/>
            <w:vAlign w:val="center"/>
          </w:tcPr>
          <w:p w14:paraId="75D643B9">
            <w:pPr>
              <w:snapToGrid w:val="0"/>
              <w:jc w:val="center"/>
              <w:rPr>
                <w:rFonts w:asciiTheme="majorEastAsia" w:hAnsiTheme="majorEastAsia" w:eastAsiaTheme="majorEastAsia" w:cstheme="majorEastAsia"/>
                <w:bCs/>
                <w:szCs w:val="21"/>
                <w:highlight w:val="none"/>
              </w:rPr>
            </w:pPr>
            <w:r>
              <w:rPr>
                <w:rFonts w:hint="eastAsia" w:asciiTheme="majorEastAsia" w:hAnsiTheme="majorEastAsia" w:eastAsiaTheme="majorEastAsia" w:cstheme="majorEastAsia"/>
                <w:bCs/>
                <w:szCs w:val="21"/>
                <w:highlight w:val="none"/>
              </w:rPr>
              <w:t>例</w:t>
            </w:r>
          </w:p>
        </w:tc>
        <w:tc>
          <w:tcPr>
            <w:tcW w:w="3781" w:type="dxa"/>
            <w:vAlign w:val="center"/>
          </w:tcPr>
          <w:p w14:paraId="173D2F3C">
            <w:pPr>
              <w:snapToGrid w:val="0"/>
              <w:jc w:val="both"/>
              <w:rPr>
                <w:rFonts w:asciiTheme="majorEastAsia" w:hAnsiTheme="majorEastAsia" w:eastAsiaTheme="majorEastAsia" w:cstheme="majorEastAsia"/>
                <w:bCs/>
                <w:szCs w:val="21"/>
                <w:highlight w:val="none"/>
              </w:rPr>
            </w:pPr>
            <w:r>
              <w:rPr>
                <w:rFonts w:hint="eastAsia" w:asciiTheme="majorEastAsia" w:hAnsiTheme="majorEastAsia" w:eastAsiaTheme="majorEastAsia" w:cstheme="majorEastAsia"/>
                <w:bCs/>
                <w:szCs w:val="21"/>
                <w:highlight w:val="none"/>
              </w:rPr>
              <w:t>8例及以上（每个个案须有5次以上跟进记录）</w:t>
            </w:r>
          </w:p>
        </w:tc>
      </w:tr>
      <w:tr w14:paraId="6FD61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06" w:hRule="atLeast"/>
          <w:jc w:val="center"/>
        </w:trPr>
        <w:tc>
          <w:tcPr>
            <w:tcW w:w="1654" w:type="dxa"/>
            <w:vMerge w:val="continue"/>
            <w:vAlign w:val="center"/>
          </w:tcPr>
          <w:p w14:paraId="3E03A36F">
            <w:pPr>
              <w:snapToGrid w:val="0"/>
              <w:jc w:val="center"/>
              <w:rPr>
                <w:rFonts w:asciiTheme="majorEastAsia" w:hAnsiTheme="majorEastAsia" w:eastAsiaTheme="majorEastAsia" w:cstheme="majorEastAsia"/>
                <w:bCs/>
                <w:szCs w:val="21"/>
                <w:highlight w:val="none"/>
              </w:rPr>
            </w:pPr>
          </w:p>
        </w:tc>
        <w:tc>
          <w:tcPr>
            <w:tcW w:w="3012" w:type="dxa"/>
          </w:tcPr>
          <w:p w14:paraId="2ACA5E62">
            <w:pPr>
              <w:snapToGrid w:val="0"/>
              <w:jc w:val="center"/>
              <w:rPr>
                <w:rFonts w:asciiTheme="majorEastAsia" w:hAnsiTheme="majorEastAsia" w:eastAsiaTheme="majorEastAsia" w:cstheme="majorEastAsia"/>
                <w:bCs/>
                <w:szCs w:val="21"/>
                <w:highlight w:val="none"/>
              </w:rPr>
            </w:pPr>
            <w:r>
              <w:rPr>
                <w:rFonts w:hint="eastAsia" w:asciiTheme="majorEastAsia" w:hAnsiTheme="majorEastAsia" w:eastAsiaTheme="majorEastAsia" w:cstheme="majorEastAsia"/>
                <w:bCs/>
                <w:szCs w:val="21"/>
                <w:highlight w:val="none"/>
              </w:rPr>
              <w:t>完成个案总结报告</w:t>
            </w:r>
          </w:p>
        </w:tc>
        <w:tc>
          <w:tcPr>
            <w:tcW w:w="1478" w:type="dxa"/>
            <w:vAlign w:val="center"/>
          </w:tcPr>
          <w:p w14:paraId="031421BF">
            <w:pPr>
              <w:snapToGrid w:val="0"/>
              <w:jc w:val="center"/>
              <w:rPr>
                <w:rFonts w:asciiTheme="majorEastAsia" w:hAnsiTheme="majorEastAsia" w:eastAsiaTheme="majorEastAsia" w:cstheme="majorEastAsia"/>
                <w:bCs/>
                <w:szCs w:val="21"/>
                <w:highlight w:val="none"/>
              </w:rPr>
            </w:pPr>
            <w:r>
              <w:rPr>
                <w:rFonts w:hint="eastAsia" w:asciiTheme="majorEastAsia" w:hAnsiTheme="majorEastAsia" w:eastAsiaTheme="majorEastAsia" w:cstheme="majorEastAsia"/>
                <w:bCs/>
                <w:szCs w:val="21"/>
                <w:highlight w:val="none"/>
              </w:rPr>
              <w:t>份数</w:t>
            </w:r>
          </w:p>
        </w:tc>
        <w:tc>
          <w:tcPr>
            <w:tcW w:w="3781" w:type="dxa"/>
            <w:vAlign w:val="center"/>
          </w:tcPr>
          <w:p w14:paraId="6B54D01F">
            <w:pPr>
              <w:snapToGrid w:val="0"/>
              <w:jc w:val="both"/>
              <w:rPr>
                <w:rFonts w:asciiTheme="majorEastAsia" w:hAnsiTheme="majorEastAsia" w:eastAsiaTheme="majorEastAsia" w:cstheme="majorEastAsia"/>
                <w:bCs/>
                <w:szCs w:val="21"/>
                <w:highlight w:val="none"/>
              </w:rPr>
            </w:pPr>
            <w:r>
              <w:rPr>
                <w:rFonts w:hint="eastAsia" w:asciiTheme="majorEastAsia" w:hAnsiTheme="majorEastAsia" w:eastAsiaTheme="majorEastAsia" w:cstheme="majorEastAsia"/>
                <w:bCs/>
                <w:szCs w:val="21"/>
                <w:highlight w:val="none"/>
              </w:rPr>
              <w:t>8份及以上</w:t>
            </w:r>
          </w:p>
        </w:tc>
      </w:tr>
      <w:tr w14:paraId="6CFA4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06" w:hRule="atLeast"/>
          <w:jc w:val="center"/>
        </w:trPr>
        <w:tc>
          <w:tcPr>
            <w:tcW w:w="1654" w:type="dxa"/>
            <w:vMerge w:val="restart"/>
            <w:vAlign w:val="center"/>
          </w:tcPr>
          <w:p w14:paraId="23426FA3">
            <w:pPr>
              <w:widowControl/>
              <w:jc w:val="center"/>
              <w:rPr>
                <w:rFonts w:asciiTheme="majorEastAsia" w:hAnsiTheme="majorEastAsia" w:eastAsiaTheme="majorEastAsia" w:cstheme="majorEastAsia"/>
                <w:bCs/>
                <w:szCs w:val="21"/>
                <w:highlight w:val="none"/>
              </w:rPr>
            </w:pPr>
            <w:r>
              <w:rPr>
                <w:rFonts w:hint="eastAsia" w:asciiTheme="majorEastAsia" w:hAnsiTheme="majorEastAsia" w:eastAsiaTheme="majorEastAsia" w:cstheme="majorEastAsia"/>
                <w:bCs/>
                <w:szCs w:val="21"/>
                <w:highlight w:val="none"/>
              </w:rPr>
              <w:t>小组</w:t>
            </w:r>
          </w:p>
        </w:tc>
        <w:tc>
          <w:tcPr>
            <w:tcW w:w="3012" w:type="dxa"/>
            <w:vAlign w:val="center"/>
          </w:tcPr>
          <w:p w14:paraId="57C7245F">
            <w:pPr>
              <w:snapToGrid w:val="0"/>
              <w:jc w:val="center"/>
              <w:rPr>
                <w:rFonts w:asciiTheme="majorEastAsia" w:hAnsiTheme="majorEastAsia" w:eastAsiaTheme="majorEastAsia" w:cstheme="majorEastAsia"/>
                <w:bCs/>
                <w:szCs w:val="21"/>
                <w:highlight w:val="none"/>
              </w:rPr>
            </w:pPr>
            <w:r>
              <w:rPr>
                <w:rFonts w:hint="eastAsia" w:asciiTheme="majorEastAsia" w:hAnsiTheme="majorEastAsia" w:eastAsiaTheme="majorEastAsia" w:cstheme="majorEastAsia"/>
                <w:bCs/>
                <w:szCs w:val="21"/>
                <w:highlight w:val="none"/>
              </w:rPr>
              <w:t>小组个数</w:t>
            </w:r>
          </w:p>
        </w:tc>
        <w:tc>
          <w:tcPr>
            <w:tcW w:w="1478" w:type="dxa"/>
            <w:vAlign w:val="center"/>
          </w:tcPr>
          <w:p w14:paraId="24B36901">
            <w:pPr>
              <w:snapToGrid w:val="0"/>
              <w:jc w:val="center"/>
              <w:rPr>
                <w:rFonts w:asciiTheme="majorEastAsia" w:hAnsiTheme="majorEastAsia" w:eastAsiaTheme="majorEastAsia" w:cstheme="majorEastAsia"/>
                <w:bCs/>
                <w:szCs w:val="21"/>
                <w:highlight w:val="none"/>
              </w:rPr>
            </w:pPr>
            <w:r>
              <w:rPr>
                <w:rFonts w:hint="eastAsia" w:asciiTheme="majorEastAsia" w:hAnsiTheme="majorEastAsia" w:eastAsiaTheme="majorEastAsia" w:cstheme="majorEastAsia"/>
                <w:bCs/>
                <w:szCs w:val="21"/>
                <w:highlight w:val="none"/>
              </w:rPr>
              <w:t>个数</w:t>
            </w:r>
          </w:p>
        </w:tc>
        <w:tc>
          <w:tcPr>
            <w:tcW w:w="3781" w:type="dxa"/>
            <w:vAlign w:val="center"/>
          </w:tcPr>
          <w:p w14:paraId="510DC6D6">
            <w:pPr>
              <w:snapToGrid w:val="0"/>
              <w:jc w:val="both"/>
              <w:rPr>
                <w:rFonts w:asciiTheme="majorEastAsia" w:hAnsiTheme="majorEastAsia" w:eastAsiaTheme="majorEastAsia" w:cstheme="majorEastAsia"/>
                <w:bCs/>
                <w:szCs w:val="21"/>
                <w:highlight w:val="none"/>
              </w:rPr>
            </w:pPr>
            <w:r>
              <w:rPr>
                <w:rFonts w:hint="eastAsia" w:asciiTheme="majorEastAsia" w:hAnsiTheme="majorEastAsia" w:eastAsiaTheme="majorEastAsia" w:cstheme="majorEastAsia"/>
                <w:bCs/>
                <w:szCs w:val="21"/>
                <w:highlight w:val="none"/>
              </w:rPr>
              <w:t>8个及以上（其中2个小组为特殊困难群体开展）</w:t>
            </w:r>
          </w:p>
        </w:tc>
      </w:tr>
      <w:tr w14:paraId="53633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23" w:hRule="atLeast"/>
          <w:jc w:val="center"/>
        </w:trPr>
        <w:tc>
          <w:tcPr>
            <w:tcW w:w="1654" w:type="dxa"/>
            <w:vMerge w:val="continue"/>
            <w:vAlign w:val="center"/>
          </w:tcPr>
          <w:p w14:paraId="113FC856">
            <w:pPr>
              <w:widowControl/>
              <w:jc w:val="center"/>
              <w:rPr>
                <w:rFonts w:asciiTheme="majorEastAsia" w:hAnsiTheme="majorEastAsia" w:eastAsiaTheme="majorEastAsia" w:cstheme="majorEastAsia"/>
                <w:bCs/>
                <w:szCs w:val="21"/>
                <w:highlight w:val="none"/>
              </w:rPr>
            </w:pPr>
          </w:p>
        </w:tc>
        <w:tc>
          <w:tcPr>
            <w:tcW w:w="3012" w:type="dxa"/>
            <w:vAlign w:val="center"/>
          </w:tcPr>
          <w:p w14:paraId="7D2FFEAA">
            <w:pPr>
              <w:snapToGrid w:val="0"/>
              <w:jc w:val="center"/>
              <w:rPr>
                <w:rFonts w:asciiTheme="majorEastAsia" w:hAnsiTheme="majorEastAsia" w:eastAsiaTheme="majorEastAsia" w:cstheme="majorEastAsia"/>
                <w:bCs/>
                <w:szCs w:val="21"/>
                <w:highlight w:val="none"/>
              </w:rPr>
            </w:pPr>
            <w:r>
              <w:rPr>
                <w:rFonts w:hint="eastAsia" w:asciiTheme="majorEastAsia" w:hAnsiTheme="majorEastAsia" w:eastAsiaTheme="majorEastAsia" w:cstheme="majorEastAsia"/>
                <w:bCs/>
                <w:szCs w:val="21"/>
                <w:highlight w:val="none"/>
              </w:rPr>
              <w:t>小组节数</w:t>
            </w:r>
          </w:p>
        </w:tc>
        <w:tc>
          <w:tcPr>
            <w:tcW w:w="1478" w:type="dxa"/>
            <w:vAlign w:val="center"/>
          </w:tcPr>
          <w:p w14:paraId="48E17D84">
            <w:pPr>
              <w:snapToGrid w:val="0"/>
              <w:jc w:val="center"/>
              <w:rPr>
                <w:rFonts w:asciiTheme="majorEastAsia" w:hAnsiTheme="majorEastAsia" w:eastAsiaTheme="majorEastAsia" w:cstheme="majorEastAsia"/>
                <w:bCs/>
                <w:szCs w:val="21"/>
                <w:highlight w:val="none"/>
              </w:rPr>
            </w:pPr>
            <w:r>
              <w:rPr>
                <w:rFonts w:hint="eastAsia" w:asciiTheme="majorEastAsia" w:hAnsiTheme="majorEastAsia" w:eastAsiaTheme="majorEastAsia" w:cstheme="majorEastAsia"/>
                <w:bCs/>
                <w:szCs w:val="21"/>
                <w:highlight w:val="none"/>
              </w:rPr>
              <w:t>节数</w:t>
            </w:r>
          </w:p>
        </w:tc>
        <w:tc>
          <w:tcPr>
            <w:tcW w:w="3781" w:type="dxa"/>
            <w:vAlign w:val="center"/>
          </w:tcPr>
          <w:p w14:paraId="33E3CFA0">
            <w:pPr>
              <w:snapToGrid w:val="0"/>
              <w:jc w:val="both"/>
              <w:rPr>
                <w:rFonts w:asciiTheme="majorEastAsia" w:hAnsiTheme="majorEastAsia" w:eastAsiaTheme="majorEastAsia" w:cstheme="majorEastAsia"/>
                <w:bCs/>
                <w:szCs w:val="21"/>
                <w:highlight w:val="none"/>
              </w:rPr>
            </w:pPr>
            <w:r>
              <w:rPr>
                <w:rFonts w:hint="eastAsia" w:asciiTheme="majorEastAsia" w:hAnsiTheme="majorEastAsia" w:eastAsiaTheme="majorEastAsia" w:cstheme="majorEastAsia"/>
                <w:bCs/>
                <w:szCs w:val="21"/>
                <w:highlight w:val="none"/>
              </w:rPr>
              <w:t>每个小组节数5节及以上</w:t>
            </w:r>
          </w:p>
        </w:tc>
      </w:tr>
      <w:tr w14:paraId="307F6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23" w:hRule="atLeast"/>
          <w:jc w:val="center"/>
        </w:trPr>
        <w:tc>
          <w:tcPr>
            <w:tcW w:w="1654" w:type="dxa"/>
            <w:vMerge w:val="continue"/>
            <w:vAlign w:val="center"/>
          </w:tcPr>
          <w:p w14:paraId="7E219F2A">
            <w:pPr>
              <w:widowControl/>
              <w:jc w:val="center"/>
              <w:rPr>
                <w:rFonts w:asciiTheme="majorEastAsia" w:hAnsiTheme="majorEastAsia" w:eastAsiaTheme="majorEastAsia" w:cstheme="majorEastAsia"/>
                <w:bCs/>
                <w:szCs w:val="21"/>
                <w:highlight w:val="none"/>
              </w:rPr>
            </w:pPr>
          </w:p>
        </w:tc>
        <w:tc>
          <w:tcPr>
            <w:tcW w:w="3012" w:type="dxa"/>
            <w:vAlign w:val="center"/>
          </w:tcPr>
          <w:p w14:paraId="437CCBF8">
            <w:pPr>
              <w:snapToGrid w:val="0"/>
              <w:jc w:val="center"/>
              <w:rPr>
                <w:rFonts w:asciiTheme="majorEastAsia" w:hAnsiTheme="majorEastAsia" w:eastAsiaTheme="majorEastAsia" w:cstheme="majorEastAsia"/>
                <w:bCs/>
                <w:szCs w:val="21"/>
                <w:highlight w:val="none"/>
              </w:rPr>
            </w:pPr>
            <w:r>
              <w:rPr>
                <w:rFonts w:hint="eastAsia" w:asciiTheme="majorEastAsia" w:hAnsiTheme="majorEastAsia" w:eastAsiaTheme="majorEastAsia" w:cstheme="majorEastAsia"/>
                <w:bCs/>
                <w:szCs w:val="21"/>
                <w:highlight w:val="none"/>
              </w:rPr>
              <w:t>小组服务人次</w:t>
            </w:r>
          </w:p>
        </w:tc>
        <w:tc>
          <w:tcPr>
            <w:tcW w:w="1478" w:type="dxa"/>
            <w:vAlign w:val="center"/>
          </w:tcPr>
          <w:p w14:paraId="04EFB896">
            <w:pPr>
              <w:snapToGrid w:val="0"/>
              <w:jc w:val="center"/>
              <w:rPr>
                <w:rFonts w:asciiTheme="majorEastAsia" w:hAnsiTheme="majorEastAsia" w:eastAsiaTheme="majorEastAsia" w:cstheme="majorEastAsia"/>
                <w:bCs/>
                <w:szCs w:val="21"/>
                <w:highlight w:val="none"/>
              </w:rPr>
            </w:pPr>
            <w:r>
              <w:rPr>
                <w:rFonts w:hint="eastAsia" w:asciiTheme="majorEastAsia" w:hAnsiTheme="majorEastAsia" w:eastAsiaTheme="majorEastAsia" w:cstheme="majorEastAsia"/>
                <w:bCs/>
                <w:szCs w:val="21"/>
                <w:highlight w:val="none"/>
              </w:rPr>
              <w:t>人次</w:t>
            </w:r>
          </w:p>
        </w:tc>
        <w:tc>
          <w:tcPr>
            <w:tcW w:w="3781" w:type="dxa"/>
            <w:vAlign w:val="center"/>
          </w:tcPr>
          <w:p w14:paraId="0790C4DF">
            <w:pPr>
              <w:snapToGrid w:val="0"/>
              <w:jc w:val="both"/>
              <w:rPr>
                <w:rFonts w:asciiTheme="majorEastAsia" w:hAnsiTheme="majorEastAsia" w:eastAsiaTheme="majorEastAsia" w:cstheme="majorEastAsia"/>
                <w:bCs/>
                <w:szCs w:val="21"/>
                <w:highlight w:val="none"/>
              </w:rPr>
            </w:pPr>
            <w:r>
              <w:rPr>
                <w:rFonts w:hint="eastAsia" w:asciiTheme="majorEastAsia" w:hAnsiTheme="majorEastAsia" w:eastAsiaTheme="majorEastAsia" w:cstheme="majorEastAsia"/>
                <w:bCs/>
                <w:szCs w:val="21"/>
                <w:highlight w:val="none"/>
              </w:rPr>
              <w:t>每节人数8人及以上</w:t>
            </w:r>
          </w:p>
        </w:tc>
      </w:tr>
      <w:tr w14:paraId="0CF6F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23" w:hRule="atLeast"/>
          <w:jc w:val="center"/>
        </w:trPr>
        <w:tc>
          <w:tcPr>
            <w:tcW w:w="1654" w:type="dxa"/>
            <w:vMerge w:val="continue"/>
            <w:vAlign w:val="center"/>
          </w:tcPr>
          <w:p w14:paraId="03B70548">
            <w:pPr>
              <w:widowControl/>
              <w:jc w:val="center"/>
              <w:rPr>
                <w:rFonts w:asciiTheme="majorEastAsia" w:hAnsiTheme="majorEastAsia" w:eastAsiaTheme="majorEastAsia" w:cstheme="majorEastAsia"/>
                <w:bCs/>
                <w:szCs w:val="21"/>
                <w:highlight w:val="none"/>
              </w:rPr>
            </w:pPr>
          </w:p>
        </w:tc>
        <w:tc>
          <w:tcPr>
            <w:tcW w:w="3012" w:type="dxa"/>
            <w:vAlign w:val="center"/>
          </w:tcPr>
          <w:p w14:paraId="34AD66F5">
            <w:pPr>
              <w:snapToGrid w:val="0"/>
              <w:jc w:val="center"/>
              <w:rPr>
                <w:rFonts w:asciiTheme="majorEastAsia" w:hAnsiTheme="majorEastAsia" w:eastAsiaTheme="majorEastAsia" w:cstheme="majorEastAsia"/>
                <w:bCs/>
                <w:szCs w:val="21"/>
                <w:highlight w:val="none"/>
              </w:rPr>
            </w:pPr>
            <w:r>
              <w:rPr>
                <w:rFonts w:hint="eastAsia" w:asciiTheme="majorEastAsia" w:hAnsiTheme="majorEastAsia" w:eastAsiaTheme="majorEastAsia" w:cstheme="majorEastAsia"/>
                <w:bCs/>
                <w:szCs w:val="21"/>
                <w:highlight w:val="none"/>
              </w:rPr>
              <w:t>完成小组分析报告</w:t>
            </w:r>
          </w:p>
        </w:tc>
        <w:tc>
          <w:tcPr>
            <w:tcW w:w="1478" w:type="dxa"/>
            <w:vAlign w:val="center"/>
          </w:tcPr>
          <w:p w14:paraId="3C6AC8CA">
            <w:pPr>
              <w:snapToGrid w:val="0"/>
              <w:jc w:val="center"/>
              <w:rPr>
                <w:rFonts w:asciiTheme="majorEastAsia" w:hAnsiTheme="majorEastAsia" w:eastAsiaTheme="majorEastAsia" w:cstheme="majorEastAsia"/>
                <w:bCs/>
                <w:szCs w:val="21"/>
                <w:highlight w:val="none"/>
              </w:rPr>
            </w:pPr>
            <w:r>
              <w:rPr>
                <w:rFonts w:hint="eastAsia" w:asciiTheme="majorEastAsia" w:hAnsiTheme="majorEastAsia" w:eastAsiaTheme="majorEastAsia" w:cstheme="majorEastAsia"/>
                <w:bCs/>
                <w:szCs w:val="21"/>
                <w:highlight w:val="none"/>
              </w:rPr>
              <w:t>份数</w:t>
            </w:r>
          </w:p>
        </w:tc>
        <w:tc>
          <w:tcPr>
            <w:tcW w:w="3781" w:type="dxa"/>
            <w:vAlign w:val="center"/>
          </w:tcPr>
          <w:p w14:paraId="6F75A1A8">
            <w:pPr>
              <w:snapToGrid w:val="0"/>
              <w:jc w:val="both"/>
              <w:rPr>
                <w:rFonts w:asciiTheme="majorEastAsia" w:hAnsiTheme="majorEastAsia" w:eastAsiaTheme="majorEastAsia" w:cstheme="majorEastAsia"/>
                <w:bCs/>
                <w:szCs w:val="21"/>
                <w:highlight w:val="none"/>
              </w:rPr>
            </w:pPr>
            <w:r>
              <w:rPr>
                <w:rFonts w:hint="eastAsia" w:asciiTheme="majorEastAsia" w:hAnsiTheme="majorEastAsia" w:eastAsiaTheme="majorEastAsia" w:cstheme="majorEastAsia"/>
                <w:bCs/>
                <w:szCs w:val="21"/>
                <w:highlight w:val="none"/>
              </w:rPr>
              <w:t>8份及以上</w:t>
            </w:r>
          </w:p>
        </w:tc>
      </w:tr>
      <w:tr w14:paraId="62FD3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42" w:hRule="atLeast"/>
          <w:jc w:val="center"/>
        </w:trPr>
        <w:tc>
          <w:tcPr>
            <w:tcW w:w="1654" w:type="dxa"/>
            <w:vMerge w:val="restart"/>
            <w:vAlign w:val="center"/>
          </w:tcPr>
          <w:p w14:paraId="5261DE93">
            <w:pPr>
              <w:widowControl/>
              <w:jc w:val="center"/>
              <w:rPr>
                <w:rFonts w:asciiTheme="majorEastAsia" w:hAnsiTheme="majorEastAsia" w:eastAsiaTheme="majorEastAsia" w:cstheme="majorEastAsia"/>
                <w:bCs/>
                <w:szCs w:val="21"/>
                <w:highlight w:val="none"/>
              </w:rPr>
            </w:pPr>
            <w:r>
              <w:rPr>
                <w:rFonts w:hint="eastAsia" w:asciiTheme="majorEastAsia" w:hAnsiTheme="majorEastAsia" w:eastAsiaTheme="majorEastAsia" w:cstheme="majorEastAsia"/>
                <w:bCs/>
                <w:szCs w:val="21"/>
                <w:highlight w:val="none"/>
              </w:rPr>
              <w:t>社区活动</w:t>
            </w:r>
          </w:p>
        </w:tc>
        <w:tc>
          <w:tcPr>
            <w:tcW w:w="3012" w:type="dxa"/>
            <w:vAlign w:val="center"/>
          </w:tcPr>
          <w:p w14:paraId="43DD2302">
            <w:pPr>
              <w:snapToGrid w:val="0"/>
              <w:jc w:val="center"/>
              <w:rPr>
                <w:rFonts w:asciiTheme="majorEastAsia" w:hAnsiTheme="majorEastAsia" w:eastAsiaTheme="majorEastAsia" w:cstheme="majorEastAsia"/>
                <w:bCs/>
                <w:szCs w:val="21"/>
                <w:highlight w:val="none"/>
              </w:rPr>
            </w:pPr>
            <w:r>
              <w:rPr>
                <w:rFonts w:hint="eastAsia" w:asciiTheme="majorEastAsia" w:hAnsiTheme="majorEastAsia" w:eastAsiaTheme="majorEastAsia" w:cstheme="majorEastAsia"/>
                <w:bCs/>
                <w:szCs w:val="21"/>
                <w:highlight w:val="none"/>
              </w:rPr>
              <w:t>大型活动</w:t>
            </w:r>
          </w:p>
        </w:tc>
        <w:tc>
          <w:tcPr>
            <w:tcW w:w="1478" w:type="dxa"/>
            <w:vAlign w:val="center"/>
          </w:tcPr>
          <w:p w14:paraId="710DCCE5">
            <w:pPr>
              <w:snapToGrid w:val="0"/>
              <w:jc w:val="center"/>
              <w:rPr>
                <w:rFonts w:asciiTheme="majorEastAsia" w:hAnsiTheme="majorEastAsia" w:eastAsiaTheme="majorEastAsia" w:cstheme="majorEastAsia"/>
                <w:bCs/>
                <w:szCs w:val="21"/>
                <w:highlight w:val="none"/>
              </w:rPr>
            </w:pPr>
            <w:r>
              <w:rPr>
                <w:rFonts w:hint="eastAsia" w:asciiTheme="majorEastAsia" w:hAnsiTheme="majorEastAsia" w:eastAsiaTheme="majorEastAsia" w:cstheme="majorEastAsia"/>
                <w:bCs/>
                <w:szCs w:val="21"/>
                <w:highlight w:val="none"/>
              </w:rPr>
              <w:t>场次/人次</w:t>
            </w:r>
          </w:p>
        </w:tc>
        <w:tc>
          <w:tcPr>
            <w:tcW w:w="3781" w:type="dxa"/>
            <w:vAlign w:val="center"/>
          </w:tcPr>
          <w:p w14:paraId="3D509EF7">
            <w:pPr>
              <w:snapToGrid w:val="0"/>
              <w:jc w:val="both"/>
              <w:rPr>
                <w:rFonts w:asciiTheme="majorEastAsia" w:hAnsiTheme="majorEastAsia" w:eastAsiaTheme="majorEastAsia" w:cstheme="majorEastAsia"/>
                <w:bCs/>
                <w:szCs w:val="21"/>
                <w:highlight w:val="none"/>
              </w:rPr>
            </w:pPr>
            <w:r>
              <w:rPr>
                <w:rFonts w:hint="eastAsia" w:asciiTheme="majorEastAsia" w:hAnsiTheme="majorEastAsia" w:eastAsiaTheme="majorEastAsia" w:cstheme="majorEastAsia"/>
                <w:bCs/>
                <w:szCs w:val="21"/>
                <w:highlight w:val="none"/>
              </w:rPr>
              <w:t>4场次，每场次100人次及以上（其中1场为特殊困难群体开展）</w:t>
            </w:r>
          </w:p>
        </w:tc>
      </w:tr>
      <w:tr w14:paraId="43D83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96" w:hRule="atLeast"/>
          <w:jc w:val="center"/>
        </w:trPr>
        <w:tc>
          <w:tcPr>
            <w:tcW w:w="1654" w:type="dxa"/>
            <w:vMerge w:val="continue"/>
            <w:vAlign w:val="center"/>
          </w:tcPr>
          <w:p w14:paraId="30C4748A">
            <w:pPr>
              <w:widowControl/>
              <w:jc w:val="center"/>
              <w:rPr>
                <w:rFonts w:asciiTheme="majorEastAsia" w:hAnsiTheme="majorEastAsia" w:eastAsiaTheme="majorEastAsia" w:cstheme="majorEastAsia"/>
                <w:bCs/>
                <w:szCs w:val="21"/>
                <w:highlight w:val="none"/>
              </w:rPr>
            </w:pPr>
          </w:p>
        </w:tc>
        <w:tc>
          <w:tcPr>
            <w:tcW w:w="3012" w:type="dxa"/>
            <w:vAlign w:val="center"/>
          </w:tcPr>
          <w:p w14:paraId="2987D956">
            <w:pPr>
              <w:snapToGrid w:val="0"/>
              <w:jc w:val="center"/>
              <w:rPr>
                <w:rFonts w:asciiTheme="majorEastAsia" w:hAnsiTheme="majorEastAsia" w:eastAsiaTheme="majorEastAsia" w:cstheme="majorEastAsia"/>
                <w:bCs/>
                <w:szCs w:val="21"/>
                <w:highlight w:val="none"/>
              </w:rPr>
            </w:pPr>
            <w:r>
              <w:rPr>
                <w:rFonts w:hint="eastAsia" w:asciiTheme="majorEastAsia" w:hAnsiTheme="majorEastAsia" w:eastAsiaTheme="majorEastAsia" w:cstheme="majorEastAsia"/>
                <w:bCs/>
                <w:szCs w:val="21"/>
                <w:highlight w:val="none"/>
              </w:rPr>
              <w:t>中小型活动</w:t>
            </w:r>
          </w:p>
        </w:tc>
        <w:tc>
          <w:tcPr>
            <w:tcW w:w="1478" w:type="dxa"/>
            <w:vAlign w:val="center"/>
          </w:tcPr>
          <w:p w14:paraId="7AB2875A">
            <w:pPr>
              <w:snapToGrid w:val="0"/>
              <w:jc w:val="center"/>
              <w:rPr>
                <w:rFonts w:asciiTheme="majorEastAsia" w:hAnsiTheme="majorEastAsia" w:eastAsiaTheme="majorEastAsia" w:cstheme="majorEastAsia"/>
                <w:bCs/>
                <w:szCs w:val="21"/>
                <w:highlight w:val="none"/>
              </w:rPr>
            </w:pPr>
            <w:r>
              <w:rPr>
                <w:rFonts w:hint="eastAsia" w:asciiTheme="majorEastAsia" w:hAnsiTheme="majorEastAsia" w:eastAsiaTheme="majorEastAsia" w:cstheme="majorEastAsia"/>
                <w:bCs/>
                <w:szCs w:val="21"/>
                <w:highlight w:val="none"/>
              </w:rPr>
              <w:t>场次/人次</w:t>
            </w:r>
          </w:p>
        </w:tc>
        <w:tc>
          <w:tcPr>
            <w:tcW w:w="3781" w:type="dxa"/>
            <w:vAlign w:val="center"/>
          </w:tcPr>
          <w:p w14:paraId="6FAF9CD8">
            <w:pPr>
              <w:snapToGrid w:val="0"/>
              <w:jc w:val="both"/>
              <w:rPr>
                <w:rFonts w:asciiTheme="majorEastAsia" w:hAnsiTheme="majorEastAsia" w:eastAsiaTheme="majorEastAsia" w:cstheme="majorEastAsia"/>
                <w:bCs/>
                <w:szCs w:val="21"/>
                <w:highlight w:val="none"/>
              </w:rPr>
            </w:pPr>
            <w:r>
              <w:rPr>
                <w:rFonts w:hint="eastAsia" w:asciiTheme="majorEastAsia" w:hAnsiTheme="majorEastAsia" w:eastAsiaTheme="majorEastAsia" w:cstheme="majorEastAsia"/>
                <w:bCs/>
                <w:szCs w:val="21"/>
                <w:highlight w:val="none"/>
              </w:rPr>
              <w:t>12场次，每场次50人次及以上（其中4场为特殊困难群体开展）</w:t>
            </w:r>
          </w:p>
        </w:tc>
      </w:tr>
      <w:tr w14:paraId="37469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53" w:hRule="atLeast"/>
          <w:jc w:val="center"/>
        </w:trPr>
        <w:tc>
          <w:tcPr>
            <w:tcW w:w="1654" w:type="dxa"/>
            <w:vMerge w:val="continue"/>
            <w:vAlign w:val="center"/>
          </w:tcPr>
          <w:p w14:paraId="015FA0C9">
            <w:pPr>
              <w:widowControl/>
              <w:jc w:val="center"/>
              <w:rPr>
                <w:rFonts w:asciiTheme="majorEastAsia" w:hAnsiTheme="majorEastAsia" w:eastAsiaTheme="majorEastAsia" w:cstheme="majorEastAsia"/>
                <w:bCs/>
                <w:szCs w:val="21"/>
                <w:highlight w:val="none"/>
              </w:rPr>
            </w:pPr>
          </w:p>
        </w:tc>
        <w:tc>
          <w:tcPr>
            <w:tcW w:w="3012" w:type="dxa"/>
            <w:vAlign w:val="center"/>
          </w:tcPr>
          <w:p w14:paraId="78D1B6A6">
            <w:pPr>
              <w:snapToGrid w:val="0"/>
              <w:jc w:val="center"/>
              <w:rPr>
                <w:rFonts w:asciiTheme="majorEastAsia" w:hAnsiTheme="majorEastAsia" w:eastAsiaTheme="majorEastAsia" w:cstheme="majorEastAsia"/>
                <w:bCs/>
                <w:szCs w:val="21"/>
                <w:highlight w:val="none"/>
              </w:rPr>
            </w:pPr>
            <w:r>
              <w:rPr>
                <w:rFonts w:hint="eastAsia" w:asciiTheme="majorEastAsia" w:hAnsiTheme="majorEastAsia" w:eastAsiaTheme="majorEastAsia" w:cstheme="majorEastAsia"/>
                <w:bCs/>
                <w:szCs w:val="21"/>
                <w:highlight w:val="none"/>
              </w:rPr>
              <w:t>社区讲座</w:t>
            </w:r>
          </w:p>
        </w:tc>
        <w:tc>
          <w:tcPr>
            <w:tcW w:w="1478" w:type="dxa"/>
            <w:vAlign w:val="center"/>
          </w:tcPr>
          <w:p w14:paraId="6760F8E2">
            <w:pPr>
              <w:snapToGrid w:val="0"/>
              <w:jc w:val="center"/>
              <w:rPr>
                <w:rFonts w:asciiTheme="majorEastAsia" w:hAnsiTheme="majorEastAsia" w:eastAsiaTheme="majorEastAsia" w:cstheme="majorEastAsia"/>
                <w:bCs/>
                <w:szCs w:val="21"/>
                <w:highlight w:val="none"/>
              </w:rPr>
            </w:pPr>
            <w:r>
              <w:rPr>
                <w:rFonts w:hint="eastAsia" w:asciiTheme="majorEastAsia" w:hAnsiTheme="majorEastAsia" w:eastAsiaTheme="majorEastAsia" w:cstheme="majorEastAsia"/>
                <w:bCs/>
                <w:szCs w:val="21"/>
                <w:highlight w:val="none"/>
              </w:rPr>
              <w:t>场次/人次</w:t>
            </w:r>
          </w:p>
        </w:tc>
        <w:tc>
          <w:tcPr>
            <w:tcW w:w="3781" w:type="dxa"/>
            <w:vAlign w:val="center"/>
          </w:tcPr>
          <w:p w14:paraId="6AEDC3FF">
            <w:pPr>
              <w:snapToGrid w:val="0"/>
              <w:jc w:val="both"/>
              <w:rPr>
                <w:rFonts w:asciiTheme="majorEastAsia" w:hAnsiTheme="majorEastAsia" w:eastAsiaTheme="majorEastAsia" w:cstheme="majorEastAsia"/>
                <w:bCs/>
                <w:szCs w:val="21"/>
                <w:highlight w:val="none"/>
              </w:rPr>
            </w:pPr>
            <w:r>
              <w:rPr>
                <w:rFonts w:hint="eastAsia" w:asciiTheme="majorEastAsia" w:hAnsiTheme="majorEastAsia" w:eastAsiaTheme="majorEastAsia" w:cstheme="majorEastAsia"/>
                <w:bCs/>
                <w:szCs w:val="21"/>
                <w:highlight w:val="none"/>
              </w:rPr>
              <w:t>10场次，每场次20人次及以上</w:t>
            </w:r>
          </w:p>
        </w:tc>
      </w:tr>
      <w:tr w14:paraId="29823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43" w:hRule="atLeast"/>
          <w:jc w:val="center"/>
        </w:trPr>
        <w:tc>
          <w:tcPr>
            <w:tcW w:w="1654" w:type="dxa"/>
            <w:vMerge w:val="restart"/>
            <w:vAlign w:val="center"/>
          </w:tcPr>
          <w:p w14:paraId="6A30FFDA">
            <w:pPr>
              <w:snapToGrid w:val="0"/>
              <w:jc w:val="center"/>
              <w:rPr>
                <w:rFonts w:asciiTheme="majorEastAsia" w:hAnsiTheme="majorEastAsia" w:eastAsiaTheme="majorEastAsia" w:cstheme="majorEastAsia"/>
                <w:bCs/>
                <w:szCs w:val="21"/>
                <w:highlight w:val="none"/>
              </w:rPr>
            </w:pPr>
          </w:p>
          <w:p w14:paraId="0C04A0B1">
            <w:pPr>
              <w:snapToGrid w:val="0"/>
              <w:jc w:val="center"/>
              <w:rPr>
                <w:rFonts w:asciiTheme="majorEastAsia" w:hAnsiTheme="majorEastAsia" w:eastAsiaTheme="majorEastAsia" w:cstheme="majorEastAsia"/>
                <w:bCs/>
                <w:szCs w:val="21"/>
                <w:highlight w:val="none"/>
              </w:rPr>
            </w:pPr>
            <w:r>
              <w:rPr>
                <w:rFonts w:hint="eastAsia" w:asciiTheme="majorEastAsia" w:hAnsiTheme="majorEastAsia" w:eastAsiaTheme="majorEastAsia" w:cstheme="majorEastAsia"/>
                <w:bCs/>
                <w:szCs w:val="21"/>
                <w:highlight w:val="none"/>
              </w:rPr>
              <w:t>义工服务</w:t>
            </w:r>
          </w:p>
        </w:tc>
        <w:tc>
          <w:tcPr>
            <w:tcW w:w="3012" w:type="dxa"/>
            <w:vAlign w:val="center"/>
          </w:tcPr>
          <w:p w14:paraId="47F19F59">
            <w:pPr>
              <w:snapToGrid w:val="0"/>
              <w:jc w:val="center"/>
              <w:rPr>
                <w:rFonts w:asciiTheme="majorEastAsia" w:hAnsiTheme="majorEastAsia" w:eastAsiaTheme="majorEastAsia" w:cstheme="majorEastAsia"/>
                <w:bCs/>
                <w:szCs w:val="21"/>
                <w:highlight w:val="none"/>
              </w:rPr>
            </w:pPr>
            <w:r>
              <w:rPr>
                <w:rFonts w:hint="eastAsia" w:asciiTheme="majorEastAsia" w:hAnsiTheme="majorEastAsia" w:eastAsiaTheme="majorEastAsia" w:cstheme="majorEastAsia"/>
                <w:bCs/>
                <w:szCs w:val="21"/>
                <w:highlight w:val="none"/>
              </w:rPr>
              <w:t>招募义工人数</w:t>
            </w:r>
          </w:p>
        </w:tc>
        <w:tc>
          <w:tcPr>
            <w:tcW w:w="1478" w:type="dxa"/>
            <w:vAlign w:val="center"/>
          </w:tcPr>
          <w:p w14:paraId="61AB5395">
            <w:pPr>
              <w:snapToGrid w:val="0"/>
              <w:jc w:val="center"/>
              <w:rPr>
                <w:rFonts w:asciiTheme="majorEastAsia" w:hAnsiTheme="majorEastAsia" w:eastAsiaTheme="majorEastAsia" w:cstheme="majorEastAsia"/>
                <w:bCs/>
                <w:szCs w:val="21"/>
                <w:highlight w:val="none"/>
              </w:rPr>
            </w:pPr>
            <w:r>
              <w:rPr>
                <w:rFonts w:hint="eastAsia" w:asciiTheme="majorEastAsia" w:hAnsiTheme="majorEastAsia" w:eastAsiaTheme="majorEastAsia" w:cstheme="majorEastAsia"/>
                <w:bCs/>
                <w:szCs w:val="21"/>
                <w:highlight w:val="none"/>
              </w:rPr>
              <w:t>人数</w:t>
            </w:r>
          </w:p>
        </w:tc>
        <w:tc>
          <w:tcPr>
            <w:tcW w:w="3781" w:type="dxa"/>
            <w:vAlign w:val="center"/>
          </w:tcPr>
          <w:p w14:paraId="3D49A272">
            <w:pPr>
              <w:snapToGrid w:val="0"/>
              <w:jc w:val="both"/>
              <w:rPr>
                <w:rFonts w:asciiTheme="majorEastAsia" w:hAnsiTheme="majorEastAsia" w:eastAsiaTheme="majorEastAsia" w:cstheme="majorEastAsia"/>
                <w:bCs/>
                <w:szCs w:val="21"/>
                <w:highlight w:val="none"/>
              </w:rPr>
            </w:pPr>
            <w:r>
              <w:rPr>
                <w:rFonts w:hint="eastAsia" w:asciiTheme="majorEastAsia" w:hAnsiTheme="majorEastAsia" w:eastAsiaTheme="majorEastAsia" w:cstheme="majorEastAsia"/>
                <w:bCs/>
                <w:szCs w:val="21"/>
                <w:highlight w:val="none"/>
              </w:rPr>
              <w:t>新招募50人及以上</w:t>
            </w:r>
          </w:p>
        </w:tc>
      </w:tr>
      <w:tr w14:paraId="210D4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23" w:hRule="atLeast"/>
          <w:jc w:val="center"/>
        </w:trPr>
        <w:tc>
          <w:tcPr>
            <w:tcW w:w="1654" w:type="dxa"/>
            <w:vMerge w:val="continue"/>
            <w:vAlign w:val="center"/>
          </w:tcPr>
          <w:p w14:paraId="23502FCC">
            <w:pPr>
              <w:widowControl/>
              <w:jc w:val="center"/>
              <w:rPr>
                <w:rFonts w:asciiTheme="majorEastAsia" w:hAnsiTheme="majorEastAsia" w:eastAsiaTheme="majorEastAsia" w:cstheme="majorEastAsia"/>
                <w:bCs/>
                <w:szCs w:val="21"/>
                <w:highlight w:val="none"/>
              </w:rPr>
            </w:pPr>
          </w:p>
        </w:tc>
        <w:tc>
          <w:tcPr>
            <w:tcW w:w="3012" w:type="dxa"/>
            <w:vAlign w:val="center"/>
          </w:tcPr>
          <w:p w14:paraId="0E4337B5">
            <w:pPr>
              <w:snapToGrid w:val="0"/>
              <w:jc w:val="center"/>
              <w:rPr>
                <w:rFonts w:asciiTheme="majorEastAsia" w:hAnsiTheme="majorEastAsia" w:eastAsiaTheme="majorEastAsia" w:cstheme="majorEastAsia"/>
                <w:bCs/>
                <w:szCs w:val="21"/>
                <w:highlight w:val="none"/>
              </w:rPr>
            </w:pPr>
            <w:r>
              <w:rPr>
                <w:rFonts w:hint="eastAsia" w:asciiTheme="majorEastAsia" w:hAnsiTheme="majorEastAsia" w:eastAsiaTheme="majorEastAsia" w:cstheme="majorEastAsia"/>
                <w:bCs/>
                <w:szCs w:val="21"/>
                <w:highlight w:val="none"/>
              </w:rPr>
              <w:t>义工培训</w:t>
            </w:r>
          </w:p>
        </w:tc>
        <w:tc>
          <w:tcPr>
            <w:tcW w:w="1478" w:type="dxa"/>
            <w:vAlign w:val="center"/>
          </w:tcPr>
          <w:p w14:paraId="644D1981">
            <w:pPr>
              <w:snapToGrid w:val="0"/>
              <w:jc w:val="center"/>
              <w:rPr>
                <w:rFonts w:asciiTheme="majorEastAsia" w:hAnsiTheme="majorEastAsia" w:eastAsiaTheme="majorEastAsia" w:cstheme="majorEastAsia"/>
                <w:bCs/>
                <w:szCs w:val="21"/>
                <w:highlight w:val="none"/>
              </w:rPr>
            </w:pPr>
            <w:r>
              <w:rPr>
                <w:rFonts w:hint="eastAsia" w:asciiTheme="majorEastAsia" w:hAnsiTheme="majorEastAsia" w:eastAsiaTheme="majorEastAsia" w:cstheme="majorEastAsia"/>
                <w:bCs/>
                <w:szCs w:val="21"/>
                <w:highlight w:val="none"/>
              </w:rPr>
              <w:t>次数</w:t>
            </w:r>
          </w:p>
        </w:tc>
        <w:tc>
          <w:tcPr>
            <w:tcW w:w="3781" w:type="dxa"/>
            <w:vAlign w:val="center"/>
          </w:tcPr>
          <w:p w14:paraId="5A4542D5">
            <w:pPr>
              <w:snapToGrid w:val="0"/>
              <w:jc w:val="both"/>
              <w:rPr>
                <w:rFonts w:asciiTheme="majorEastAsia" w:hAnsiTheme="majorEastAsia" w:eastAsiaTheme="majorEastAsia" w:cstheme="majorEastAsia"/>
                <w:bCs/>
                <w:szCs w:val="21"/>
                <w:highlight w:val="none"/>
              </w:rPr>
            </w:pPr>
            <w:r>
              <w:rPr>
                <w:rFonts w:hint="eastAsia" w:asciiTheme="majorEastAsia" w:hAnsiTheme="majorEastAsia" w:eastAsiaTheme="majorEastAsia" w:cstheme="majorEastAsia"/>
                <w:bCs/>
                <w:szCs w:val="21"/>
                <w:highlight w:val="none"/>
              </w:rPr>
              <w:t>4次及以上（不仅限于新义工培训）</w:t>
            </w:r>
          </w:p>
        </w:tc>
      </w:tr>
      <w:tr w14:paraId="3AAFC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23" w:hRule="atLeast"/>
          <w:jc w:val="center"/>
        </w:trPr>
        <w:tc>
          <w:tcPr>
            <w:tcW w:w="1654" w:type="dxa"/>
            <w:vMerge w:val="continue"/>
            <w:vAlign w:val="center"/>
          </w:tcPr>
          <w:p w14:paraId="388C63D3">
            <w:pPr>
              <w:widowControl/>
              <w:jc w:val="center"/>
              <w:rPr>
                <w:rFonts w:asciiTheme="majorEastAsia" w:hAnsiTheme="majorEastAsia" w:eastAsiaTheme="majorEastAsia" w:cstheme="majorEastAsia"/>
                <w:bCs/>
                <w:szCs w:val="21"/>
                <w:highlight w:val="none"/>
              </w:rPr>
            </w:pPr>
          </w:p>
        </w:tc>
        <w:tc>
          <w:tcPr>
            <w:tcW w:w="3012" w:type="dxa"/>
            <w:vAlign w:val="center"/>
          </w:tcPr>
          <w:p w14:paraId="14B2BEC3">
            <w:pPr>
              <w:snapToGrid w:val="0"/>
              <w:jc w:val="center"/>
              <w:rPr>
                <w:rFonts w:asciiTheme="majorEastAsia" w:hAnsiTheme="majorEastAsia" w:eastAsiaTheme="majorEastAsia" w:cstheme="majorEastAsia"/>
                <w:bCs/>
                <w:szCs w:val="21"/>
                <w:highlight w:val="none"/>
              </w:rPr>
            </w:pPr>
            <w:r>
              <w:rPr>
                <w:rFonts w:hint="eastAsia" w:asciiTheme="majorEastAsia" w:hAnsiTheme="majorEastAsia" w:eastAsiaTheme="majorEastAsia" w:cstheme="majorEastAsia"/>
                <w:bCs/>
                <w:szCs w:val="21"/>
                <w:highlight w:val="none"/>
              </w:rPr>
              <w:t>志愿服务</w:t>
            </w:r>
          </w:p>
        </w:tc>
        <w:tc>
          <w:tcPr>
            <w:tcW w:w="1478" w:type="dxa"/>
            <w:vAlign w:val="center"/>
          </w:tcPr>
          <w:p w14:paraId="3ECE0F96">
            <w:pPr>
              <w:snapToGrid w:val="0"/>
              <w:jc w:val="center"/>
              <w:rPr>
                <w:rFonts w:asciiTheme="majorEastAsia" w:hAnsiTheme="majorEastAsia" w:eastAsiaTheme="majorEastAsia" w:cstheme="majorEastAsia"/>
                <w:bCs/>
                <w:szCs w:val="21"/>
                <w:highlight w:val="none"/>
              </w:rPr>
            </w:pPr>
            <w:r>
              <w:rPr>
                <w:rFonts w:hint="eastAsia" w:asciiTheme="majorEastAsia" w:hAnsiTheme="majorEastAsia" w:eastAsiaTheme="majorEastAsia" w:cstheme="majorEastAsia"/>
                <w:bCs/>
                <w:szCs w:val="21"/>
                <w:highlight w:val="none"/>
              </w:rPr>
              <w:t>次数</w:t>
            </w:r>
          </w:p>
        </w:tc>
        <w:tc>
          <w:tcPr>
            <w:tcW w:w="3781" w:type="dxa"/>
            <w:vAlign w:val="center"/>
          </w:tcPr>
          <w:p w14:paraId="71921475">
            <w:pPr>
              <w:snapToGrid w:val="0"/>
              <w:jc w:val="both"/>
              <w:rPr>
                <w:rFonts w:asciiTheme="majorEastAsia" w:hAnsiTheme="majorEastAsia" w:eastAsiaTheme="majorEastAsia" w:cstheme="majorEastAsia"/>
                <w:bCs/>
                <w:szCs w:val="21"/>
                <w:highlight w:val="none"/>
              </w:rPr>
            </w:pPr>
            <w:r>
              <w:rPr>
                <w:rFonts w:hint="eastAsia" w:asciiTheme="majorEastAsia" w:hAnsiTheme="majorEastAsia" w:eastAsiaTheme="majorEastAsia" w:cstheme="majorEastAsia"/>
                <w:bCs/>
                <w:szCs w:val="21"/>
                <w:highlight w:val="none"/>
              </w:rPr>
              <w:t>开展30次以上</w:t>
            </w:r>
          </w:p>
        </w:tc>
      </w:tr>
      <w:tr w14:paraId="52076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23" w:hRule="atLeast"/>
          <w:jc w:val="center"/>
        </w:trPr>
        <w:tc>
          <w:tcPr>
            <w:tcW w:w="1654" w:type="dxa"/>
            <w:vAlign w:val="center"/>
          </w:tcPr>
          <w:p w14:paraId="30876404">
            <w:pPr>
              <w:widowControl/>
              <w:jc w:val="center"/>
              <w:rPr>
                <w:rFonts w:asciiTheme="majorEastAsia" w:hAnsiTheme="majorEastAsia" w:eastAsiaTheme="majorEastAsia" w:cstheme="majorEastAsia"/>
                <w:bCs/>
                <w:szCs w:val="21"/>
                <w:highlight w:val="none"/>
              </w:rPr>
            </w:pPr>
            <w:r>
              <w:rPr>
                <w:rFonts w:hint="eastAsia" w:asciiTheme="majorEastAsia" w:hAnsiTheme="majorEastAsia" w:eastAsiaTheme="majorEastAsia" w:cstheme="majorEastAsia"/>
                <w:bCs/>
                <w:szCs w:val="21"/>
                <w:highlight w:val="none"/>
              </w:rPr>
              <w:t>行动研究</w:t>
            </w:r>
          </w:p>
        </w:tc>
        <w:tc>
          <w:tcPr>
            <w:tcW w:w="3012" w:type="dxa"/>
            <w:vAlign w:val="center"/>
          </w:tcPr>
          <w:p w14:paraId="7C85EFC5">
            <w:pPr>
              <w:snapToGrid w:val="0"/>
              <w:jc w:val="center"/>
              <w:rPr>
                <w:rFonts w:asciiTheme="majorEastAsia" w:hAnsiTheme="majorEastAsia" w:eastAsiaTheme="majorEastAsia" w:cstheme="majorEastAsia"/>
                <w:bCs/>
                <w:szCs w:val="21"/>
                <w:highlight w:val="none"/>
              </w:rPr>
            </w:pPr>
            <w:r>
              <w:rPr>
                <w:rFonts w:hint="eastAsia" w:asciiTheme="majorEastAsia" w:hAnsiTheme="majorEastAsia" w:eastAsiaTheme="majorEastAsia" w:cstheme="majorEastAsia"/>
                <w:bCs/>
                <w:szCs w:val="21"/>
                <w:highlight w:val="none"/>
              </w:rPr>
              <w:t>每半年开展一次行动研究</w:t>
            </w:r>
          </w:p>
        </w:tc>
        <w:tc>
          <w:tcPr>
            <w:tcW w:w="1478" w:type="dxa"/>
            <w:vAlign w:val="center"/>
          </w:tcPr>
          <w:p w14:paraId="3F5DBB25">
            <w:pPr>
              <w:snapToGrid w:val="0"/>
              <w:jc w:val="center"/>
              <w:rPr>
                <w:rFonts w:asciiTheme="majorEastAsia" w:hAnsiTheme="majorEastAsia" w:eastAsiaTheme="majorEastAsia" w:cstheme="majorEastAsia"/>
                <w:bCs/>
                <w:szCs w:val="21"/>
                <w:highlight w:val="none"/>
              </w:rPr>
            </w:pPr>
            <w:r>
              <w:rPr>
                <w:rFonts w:hint="eastAsia" w:asciiTheme="majorEastAsia" w:hAnsiTheme="majorEastAsia" w:eastAsiaTheme="majorEastAsia" w:cstheme="majorEastAsia"/>
                <w:bCs/>
                <w:szCs w:val="21"/>
                <w:highlight w:val="none"/>
              </w:rPr>
              <w:t>份数</w:t>
            </w:r>
          </w:p>
        </w:tc>
        <w:tc>
          <w:tcPr>
            <w:tcW w:w="3781" w:type="dxa"/>
            <w:vAlign w:val="center"/>
          </w:tcPr>
          <w:p w14:paraId="6816226D">
            <w:pPr>
              <w:snapToGrid w:val="0"/>
              <w:jc w:val="both"/>
              <w:rPr>
                <w:rFonts w:asciiTheme="majorEastAsia" w:hAnsiTheme="majorEastAsia" w:eastAsiaTheme="majorEastAsia" w:cstheme="majorEastAsia"/>
                <w:bCs/>
                <w:szCs w:val="21"/>
                <w:highlight w:val="none"/>
              </w:rPr>
            </w:pPr>
            <w:r>
              <w:rPr>
                <w:rFonts w:hint="eastAsia" w:asciiTheme="majorEastAsia" w:hAnsiTheme="majorEastAsia" w:eastAsiaTheme="majorEastAsia" w:cstheme="majorEastAsia"/>
                <w:bCs/>
                <w:szCs w:val="21"/>
                <w:highlight w:val="none"/>
              </w:rPr>
              <w:t>每半年撰写1份行动研究报告，共2份，（应包含辖区概况、群体结构数量、Swot分析、资源分析、需求评估等）</w:t>
            </w:r>
          </w:p>
        </w:tc>
      </w:tr>
      <w:tr w14:paraId="51792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23" w:hRule="atLeast"/>
          <w:jc w:val="center"/>
        </w:trPr>
        <w:tc>
          <w:tcPr>
            <w:tcW w:w="1654" w:type="dxa"/>
            <w:vAlign w:val="center"/>
          </w:tcPr>
          <w:p w14:paraId="622FA3BD">
            <w:pPr>
              <w:widowControl/>
              <w:jc w:val="center"/>
              <w:rPr>
                <w:rFonts w:asciiTheme="majorEastAsia" w:hAnsiTheme="majorEastAsia" w:eastAsiaTheme="majorEastAsia" w:cstheme="majorEastAsia"/>
                <w:bCs/>
                <w:szCs w:val="21"/>
                <w:highlight w:val="none"/>
              </w:rPr>
            </w:pPr>
            <w:r>
              <w:rPr>
                <w:rFonts w:hint="eastAsia" w:asciiTheme="majorEastAsia" w:hAnsiTheme="majorEastAsia" w:eastAsiaTheme="majorEastAsia" w:cstheme="majorEastAsia"/>
                <w:bCs/>
                <w:szCs w:val="21"/>
                <w:highlight w:val="none"/>
              </w:rPr>
              <w:t>年度服务计划</w:t>
            </w:r>
          </w:p>
        </w:tc>
        <w:tc>
          <w:tcPr>
            <w:tcW w:w="3012" w:type="dxa"/>
            <w:vAlign w:val="center"/>
          </w:tcPr>
          <w:p w14:paraId="0AFFD91E">
            <w:pPr>
              <w:snapToGrid w:val="0"/>
              <w:jc w:val="center"/>
              <w:rPr>
                <w:rFonts w:asciiTheme="majorEastAsia" w:hAnsiTheme="majorEastAsia" w:eastAsiaTheme="majorEastAsia" w:cstheme="majorEastAsia"/>
                <w:bCs/>
                <w:szCs w:val="21"/>
                <w:highlight w:val="none"/>
              </w:rPr>
            </w:pPr>
            <w:r>
              <w:rPr>
                <w:rFonts w:hint="eastAsia" w:asciiTheme="majorEastAsia" w:hAnsiTheme="majorEastAsia" w:eastAsiaTheme="majorEastAsia" w:cstheme="majorEastAsia"/>
                <w:bCs/>
                <w:szCs w:val="21"/>
                <w:highlight w:val="none"/>
              </w:rPr>
              <w:t>结合社区调研，制定科学可行的年度服务计划</w:t>
            </w:r>
          </w:p>
        </w:tc>
        <w:tc>
          <w:tcPr>
            <w:tcW w:w="1478" w:type="dxa"/>
            <w:vAlign w:val="center"/>
          </w:tcPr>
          <w:p w14:paraId="5C2E25FB">
            <w:pPr>
              <w:snapToGrid w:val="0"/>
              <w:jc w:val="center"/>
              <w:rPr>
                <w:rFonts w:asciiTheme="majorEastAsia" w:hAnsiTheme="majorEastAsia" w:eastAsiaTheme="majorEastAsia" w:cstheme="majorEastAsia"/>
                <w:bCs/>
                <w:szCs w:val="21"/>
                <w:highlight w:val="none"/>
              </w:rPr>
            </w:pPr>
            <w:r>
              <w:rPr>
                <w:rFonts w:hint="eastAsia" w:asciiTheme="majorEastAsia" w:hAnsiTheme="majorEastAsia" w:eastAsiaTheme="majorEastAsia" w:cstheme="majorEastAsia"/>
                <w:bCs/>
                <w:szCs w:val="21"/>
                <w:highlight w:val="none"/>
              </w:rPr>
              <w:t>份数</w:t>
            </w:r>
          </w:p>
        </w:tc>
        <w:tc>
          <w:tcPr>
            <w:tcW w:w="3781" w:type="dxa"/>
            <w:vAlign w:val="center"/>
          </w:tcPr>
          <w:p w14:paraId="3B36EC23">
            <w:pPr>
              <w:snapToGrid w:val="0"/>
              <w:jc w:val="both"/>
              <w:rPr>
                <w:rFonts w:asciiTheme="majorEastAsia" w:hAnsiTheme="majorEastAsia" w:eastAsiaTheme="majorEastAsia" w:cstheme="majorEastAsia"/>
                <w:bCs/>
                <w:szCs w:val="21"/>
                <w:highlight w:val="none"/>
              </w:rPr>
            </w:pPr>
            <w:r>
              <w:rPr>
                <w:rFonts w:hint="eastAsia" w:asciiTheme="majorEastAsia" w:hAnsiTheme="majorEastAsia" w:eastAsiaTheme="majorEastAsia" w:cstheme="majorEastAsia"/>
                <w:bCs/>
                <w:szCs w:val="21"/>
                <w:highlight w:val="none"/>
              </w:rPr>
              <w:t>1份（要求按四季主题设计，每个季度有不同的重点活动）</w:t>
            </w:r>
          </w:p>
        </w:tc>
      </w:tr>
      <w:tr w14:paraId="63458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23" w:hRule="atLeast"/>
          <w:jc w:val="center"/>
        </w:trPr>
        <w:tc>
          <w:tcPr>
            <w:tcW w:w="1654" w:type="dxa"/>
            <w:vAlign w:val="center"/>
          </w:tcPr>
          <w:p w14:paraId="7BB4DAAE">
            <w:pPr>
              <w:widowControl/>
              <w:jc w:val="center"/>
              <w:rPr>
                <w:rFonts w:asciiTheme="majorEastAsia" w:hAnsiTheme="majorEastAsia" w:eastAsiaTheme="majorEastAsia" w:cstheme="majorEastAsia"/>
                <w:bCs/>
                <w:szCs w:val="21"/>
                <w:highlight w:val="none"/>
              </w:rPr>
            </w:pPr>
            <w:r>
              <w:rPr>
                <w:rFonts w:hint="eastAsia" w:asciiTheme="majorEastAsia" w:hAnsiTheme="majorEastAsia" w:eastAsiaTheme="majorEastAsia" w:cstheme="majorEastAsia"/>
                <w:bCs/>
                <w:szCs w:val="21"/>
                <w:highlight w:val="none"/>
              </w:rPr>
              <w:t>季度总结</w:t>
            </w:r>
          </w:p>
        </w:tc>
        <w:tc>
          <w:tcPr>
            <w:tcW w:w="3012" w:type="dxa"/>
            <w:vAlign w:val="center"/>
          </w:tcPr>
          <w:p w14:paraId="61D0C0B4">
            <w:pPr>
              <w:snapToGrid w:val="0"/>
              <w:jc w:val="center"/>
              <w:rPr>
                <w:rFonts w:asciiTheme="majorEastAsia" w:hAnsiTheme="majorEastAsia" w:eastAsiaTheme="majorEastAsia" w:cstheme="majorEastAsia"/>
                <w:bCs/>
                <w:szCs w:val="21"/>
                <w:highlight w:val="none"/>
              </w:rPr>
            </w:pPr>
            <w:r>
              <w:rPr>
                <w:rFonts w:hint="eastAsia" w:asciiTheme="majorEastAsia" w:hAnsiTheme="majorEastAsia" w:eastAsiaTheme="majorEastAsia" w:cstheme="majorEastAsia"/>
                <w:bCs/>
                <w:szCs w:val="21"/>
                <w:highlight w:val="none"/>
              </w:rPr>
              <w:t>每季度开展一次服务成效测评并完成相关报告</w:t>
            </w:r>
          </w:p>
        </w:tc>
        <w:tc>
          <w:tcPr>
            <w:tcW w:w="1478" w:type="dxa"/>
            <w:vAlign w:val="center"/>
          </w:tcPr>
          <w:p w14:paraId="254C0620">
            <w:pPr>
              <w:snapToGrid w:val="0"/>
              <w:jc w:val="center"/>
              <w:rPr>
                <w:rFonts w:asciiTheme="majorEastAsia" w:hAnsiTheme="majorEastAsia" w:eastAsiaTheme="majorEastAsia" w:cstheme="majorEastAsia"/>
                <w:bCs/>
                <w:szCs w:val="21"/>
                <w:highlight w:val="none"/>
              </w:rPr>
            </w:pPr>
            <w:r>
              <w:rPr>
                <w:rFonts w:hint="eastAsia" w:asciiTheme="majorEastAsia" w:hAnsiTheme="majorEastAsia" w:eastAsiaTheme="majorEastAsia" w:cstheme="majorEastAsia"/>
                <w:bCs/>
                <w:szCs w:val="21"/>
                <w:highlight w:val="none"/>
              </w:rPr>
              <w:t>份数</w:t>
            </w:r>
          </w:p>
        </w:tc>
        <w:tc>
          <w:tcPr>
            <w:tcW w:w="3781" w:type="dxa"/>
            <w:vAlign w:val="center"/>
          </w:tcPr>
          <w:p w14:paraId="1D5AA5AF">
            <w:pPr>
              <w:snapToGrid w:val="0"/>
              <w:jc w:val="both"/>
              <w:rPr>
                <w:rFonts w:asciiTheme="majorEastAsia" w:hAnsiTheme="majorEastAsia" w:eastAsiaTheme="majorEastAsia" w:cstheme="majorEastAsia"/>
                <w:bCs/>
                <w:szCs w:val="21"/>
                <w:highlight w:val="none"/>
              </w:rPr>
            </w:pPr>
            <w:r>
              <w:rPr>
                <w:rFonts w:hint="eastAsia" w:asciiTheme="majorEastAsia" w:hAnsiTheme="majorEastAsia" w:eastAsiaTheme="majorEastAsia" w:cstheme="majorEastAsia"/>
                <w:bCs/>
                <w:szCs w:val="21"/>
                <w:highlight w:val="none"/>
              </w:rPr>
              <w:t>4份</w:t>
            </w:r>
          </w:p>
        </w:tc>
      </w:tr>
      <w:tr w14:paraId="148ED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34" w:hRule="atLeast"/>
          <w:jc w:val="center"/>
        </w:trPr>
        <w:tc>
          <w:tcPr>
            <w:tcW w:w="1654" w:type="dxa"/>
            <w:vAlign w:val="center"/>
          </w:tcPr>
          <w:p w14:paraId="40A3ADD3">
            <w:pPr>
              <w:widowControl/>
              <w:jc w:val="center"/>
              <w:rPr>
                <w:rFonts w:asciiTheme="majorEastAsia" w:hAnsiTheme="majorEastAsia" w:eastAsiaTheme="majorEastAsia" w:cstheme="majorEastAsia"/>
                <w:bCs/>
                <w:szCs w:val="21"/>
                <w:highlight w:val="none"/>
              </w:rPr>
            </w:pPr>
            <w:r>
              <w:rPr>
                <w:rFonts w:hint="eastAsia" w:asciiTheme="majorEastAsia" w:hAnsiTheme="majorEastAsia" w:eastAsiaTheme="majorEastAsia" w:cstheme="majorEastAsia"/>
                <w:bCs/>
                <w:szCs w:val="21"/>
                <w:highlight w:val="none"/>
              </w:rPr>
              <w:t>年度总结</w:t>
            </w:r>
          </w:p>
        </w:tc>
        <w:tc>
          <w:tcPr>
            <w:tcW w:w="3012" w:type="dxa"/>
            <w:vAlign w:val="center"/>
          </w:tcPr>
          <w:p w14:paraId="06AD0174">
            <w:pPr>
              <w:snapToGrid w:val="0"/>
              <w:jc w:val="center"/>
              <w:rPr>
                <w:rFonts w:asciiTheme="majorEastAsia" w:hAnsiTheme="majorEastAsia" w:eastAsiaTheme="majorEastAsia" w:cstheme="majorEastAsia"/>
                <w:bCs/>
                <w:szCs w:val="21"/>
                <w:highlight w:val="none"/>
              </w:rPr>
            </w:pPr>
            <w:r>
              <w:rPr>
                <w:rFonts w:hint="eastAsia" w:asciiTheme="majorEastAsia" w:hAnsiTheme="majorEastAsia" w:eastAsiaTheme="majorEastAsia" w:cstheme="majorEastAsia"/>
                <w:bCs/>
                <w:szCs w:val="21"/>
                <w:highlight w:val="none"/>
              </w:rPr>
              <w:t>每年开展1次服务成效测评，并完成相关报告</w:t>
            </w:r>
          </w:p>
        </w:tc>
        <w:tc>
          <w:tcPr>
            <w:tcW w:w="1478" w:type="dxa"/>
            <w:vAlign w:val="center"/>
          </w:tcPr>
          <w:p w14:paraId="0C5E742B">
            <w:pPr>
              <w:snapToGrid w:val="0"/>
              <w:jc w:val="center"/>
              <w:rPr>
                <w:rFonts w:asciiTheme="majorEastAsia" w:hAnsiTheme="majorEastAsia" w:eastAsiaTheme="majorEastAsia" w:cstheme="majorEastAsia"/>
                <w:bCs/>
                <w:szCs w:val="21"/>
                <w:highlight w:val="none"/>
              </w:rPr>
            </w:pPr>
            <w:r>
              <w:rPr>
                <w:rFonts w:hint="eastAsia" w:asciiTheme="majorEastAsia" w:hAnsiTheme="majorEastAsia" w:eastAsiaTheme="majorEastAsia" w:cstheme="majorEastAsia"/>
                <w:bCs/>
                <w:szCs w:val="21"/>
                <w:highlight w:val="none"/>
              </w:rPr>
              <w:t>份数</w:t>
            </w:r>
          </w:p>
        </w:tc>
        <w:tc>
          <w:tcPr>
            <w:tcW w:w="3781" w:type="dxa"/>
            <w:vAlign w:val="center"/>
          </w:tcPr>
          <w:p w14:paraId="2125F964">
            <w:pPr>
              <w:snapToGrid w:val="0"/>
              <w:jc w:val="both"/>
              <w:rPr>
                <w:rFonts w:asciiTheme="majorEastAsia" w:hAnsiTheme="majorEastAsia" w:eastAsiaTheme="majorEastAsia" w:cstheme="majorEastAsia"/>
                <w:bCs/>
                <w:szCs w:val="21"/>
                <w:highlight w:val="none"/>
              </w:rPr>
            </w:pPr>
            <w:r>
              <w:rPr>
                <w:rFonts w:hint="eastAsia" w:asciiTheme="majorEastAsia" w:hAnsiTheme="majorEastAsia" w:eastAsiaTheme="majorEastAsia" w:cstheme="majorEastAsia"/>
                <w:bCs/>
                <w:szCs w:val="21"/>
                <w:highlight w:val="none"/>
              </w:rPr>
              <w:t>1份</w:t>
            </w:r>
          </w:p>
        </w:tc>
      </w:tr>
      <w:tr w14:paraId="79CFF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23" w:hRule="atLeast"/>
          <w:jc w:val="center"/>
        </w:trPr>
        <w:tc>
          <w:tcPr>
            <w:tcW w:w="1654" w:type="dxa"/>
            <w:vMerge w:val="restart"/>
            <w:vAlign w:val="center"/>
          </w:tcPr>
          <w:p w14:paraId="50319910">
            <w:pPr>
              <w:widowControl/>
              <w:jc w:val="center"/>
              <w:rPr>
                <w:rFonts w:asciiTheme="majorEastAsia" w:hAnsiTheme="majorEastAsia" w:eastAsiaTheme="majorEastAsia" w:cstheme="majorEastAsia"/>
                <w:bCs/>
                <w:szCs w:val="21"/>
                <w:highlight w:val="none"/>
              </w:rPr>
            </w:pPr>
            <w:r>
              <w:rPr>
                <w:rFonts w:hint="eastAsia" w:asciiTheme="majorEastAsia" w:hAnsiTheme="majorEastAsia" w:eastAsiaTheme="majorEastAsia" w:cstheme="majorEastAsia"/>
                <w:bCs/>
                <w:szCs w:val="21"/>
                <w:highlight w:val="none"/>
              </w:rPr>
              <w:t>特色服务</w:t>
            </w:r>
          </w:p>
        </w:tc>
        <w:tc>
          <w:tcPr>
            <w:tcW w:w="3012" w:type="dxa"/>
            <w:vAlign w:val="center"/>
          </w:tcPr>
          <w:p w14:paraId="63263896">
            <w:pPr>
              <w:snapToGrid w:val="0"/>
              <w:jc w:val="center"/>
              <w:rPr>
                <w:rFonts w:asciiTheme="majorEastAsia" w:hAnsiTheme="majorEastAsia" w:eastAsiaTheme="majorEastAsia" w:cstheme="majorEastAsia"/>
                <w:szCs w:val="21"/>
                <w:highlight w:val="none"/>
              </w:rPr>
            </w:pPr>
            <w:r>
              <w:rPr>
                <w:rFonts w:hint="eastAsia" w:asciiTheme="majorEastAsia" w:hAnsiTheme="majorEastAsia" w:eastAsiaTheme="majorEastAsia" w:cstheme="majorEastAsia"/>
                <w:szCs w:val="21"/>
                <w:highlight w:val="none"/>
              </w:rPr>
              <w:t>四点半课堂</w:t>
            </w:r>
          </w:p>
        </w:tc>
        <w:tc>
          <w:tcPr>
            <w:tcW w:w="1478" w:type="dxa"/>
            <w:vAlign w:val="center"/>
          </w:tcPr>
          <w:p w14:paraId="0602A264">
            <w:pPr>
              <w:snapToGrid w:val="0"/>
              <w:jc w:val="center"/>
              <w:rPr>
                <w:rFonts w:asciiTheme="majorEastAsia" w:hAnsiTheme="majorEastAsia" w:eastAsiaTheme="majorEastAsia" w:cstheme="majorEastAsia"/>
                <w:bCs/>
                <w:szCs w:val="21"/>
                <w:highlight w:val="none"/>
              </w:rPr>
            </w:pPr>
            <w:r>
              <w:rPr>
                <w:rFonts w:hint="eastAsia" w:asciiTheme="majorEastAsia" w:hAnsiTheme="majorEastAsia" w:eastAsiaTheme="majorEastAsia" w:cstheme="majorEastAsia"/>
                <w:bCs/>
                <w:szCs w:val="21"/>
                <w:highlight w:val="none"/>
              </w:rPr>
              <w:t>期数</w:t>
            </w:r>
          </w:p>
        </w:tc>
        <w:tc>
          <w:tcPr>
            <w:tcW w:w="3781" w:type="dxa"/>
            <w:vAlign w:val="center"/>
          </w:tcPr>
          <w:p w14:paraId="39A974A6">
            <w:pPr>
              <w:snapToGrid w:val="0"/>
              <w:jc w:val="both"/>
              <w:rPr>
                <w:rFonts w:asciiTheme="majorEastAsia" w:hAnsiTheme="majorEastAsia" w:eastAsiaTheme="majorEastAsia" w:cstheme="majorEastAsia"/>
                <w:bCs/>
                <w:szCs w:val="21"/>
                <w:highlight w:val="none"/>
              </w:rPr>
            </w:pPr>
            <w:r>
              <w:rPr>
                <w:rFonts w:hint="eastAsia" w:asciiTheme="majorEastAsia" w:hAnsiTheme="majorEastAsia" w:eastAsiaTheme="majorEastAsia" w:cstheme="majorEastAsia"/>
                <w:bCs/>
                <w:szCs w:val="21"/>
                <w:highlight w:val="none"/>
              </w:rPr>
              <w:t>结合居民需求，常态化开展，最少开展2期专项服务（寒暑假期间），每期不少于30课时</w:t>
            </w:r>
          </w:p>
        </w:tc>
      </w:tr>
      <w:tr w14:paraId="3C83D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23" w:hRule="atLeast"/>
          <w:jc w:val="center"/>
        </w:trPr>
        <w:tc>
          <w:tcPr>
            <w:tcW w:w="1654" w:type="dxa"/>
            <w:vMerge w:val="continue"/>
            <w:vAlign w:val="center"/>
          </w:tcPr>
          <w:p w14:paraId="35E001E8">
            <w:pPr>
              <w:widowControl/>
              <w:jc w:val="center"/>
              <w:rPr>
                <w:rFonts w:asciiTheme="majorEastAsia" w:hAnsiTheme="majorEastAsia" w:eastAsiaTheme="majorEastAsia" w:cstheme="majorEastAsia"/>
                <w:bCs/>
                <w:szCs w:val="21"/>
                <w:highlight w:val="none"/>
              </w:rPr>
            </w:pPr>
          </w:p>
        </w:tc>
        <w:tc>
          <w:tcPr>
            <w:tcW w:w="3012" w:type="dxa"/>
            <w:vAlign w:val="center"/>
          </w:tcPr>
          <w:p w14:paraId="6C047247">
            <w:pPr>
              <w:snapToGrid w:val="0"/>
              <w:jc w:val="center"/>
              <w:rPr>
                <w:rFonts w:asciiTheme="majorEastAsia" w:hAnsiTheme="majorEastAsia" w:eastAsiaTheme="majorEastAsia" w:cstheme="majorEastAsia"/>
                <w:szCs w:val="21"/>
                <w:highlight w:val="none"/>
              </w:rPr>
            </w:pPr>
            <w:r>
              <w:rPr>
                <w:rFonts w:hint="eastAsia" w:asciiTheme="majorEastAsia" w:hAnsiTheme="majorEastAsia" w:eastAsiaTheme="majorEastAsia" w:cstheme="majorEastAsia"/>
                <w:szCs w:val="21"/>
                <w:highlight w:val="none"/>
              </w:rPr>
              <w:t>安心驿站培训</w:t>
            </w:r>
          </w:p>
        </w:tc>
        <w:tc>
          <w:tcPr>
            <w:tcW w:w="1478" w:type="dxa"/>
            <w:vAlign w:val="center"/>
          </w:tcPr>
          <w:p w14:paraId="6D837F53">
            <w:pPr>
              <w:snapToGrid w:val="0"/>
              <w:jc w:val="center"/>
              <w:rPr>
                <w:rFonts w:asciiTheme="majorEastAsia" w:hAnsiTheme="majorEastAsia" w:eastAsiaTheme="majorEastAsia" w:cstheme="majorEastAsia"/>
                <w:bCs/>
                <w:szCs w:val="21"/>
                <w:highlight w:val="none"/>
              </w:rPr>
            </w:pPr>
            <w:r>
              <w:rPr>
                <w:rFonts w:hint="eastAsia" w:asciiTheme="majorEastAsia" w:hAnsiTheme="majorEastAsia" w:eastAsiaTheme="majorEastAsia" w:cstheme="majorEastAsia"/>
                <w:bCs/>
                <w:szCs w:val="21"/>
                <w:highlight w:val="none"/>
              </w:rPr>
              <w:t>期数</w:t>
            </w:r>
          </w:p>
        </w:tc>
        <w:tc>
          <w:tcPr>
            <w:tcW w:w="3781" w:type="dxa"/>
            <w:vAlign w:val="center"/>
          </w:tcPr>
          <w:p w14:paraId="56833285">
            <w:pPr>
              <w:snapToGrid w:val="0"/>
              <w:jc w:val="both"/>
              <w:rPr>
                <w:rFonts w:asciiTheme="majorEastAsia" w:hAnsiTheme="majorEastAsia" w:eastAsiaTheme="majorEastAsia" w:cstheme="majorEastAsia"/>
                <w:bCs/>
                <w:szCs w:val="21"/>
                <w:highlight w:val="none"/>
              </w:rPr>
            </w:pPr>
            <w:r>
              <w:rPr>
                <w:rFonts w:hint="eastAsia" w:asciiTheme="majorEastAsia" w:hAnsiTheme="majorEastAsia" w:eastAsiaTheme="majorEastAsia" w:cstheme="majorEastAsia"/>
                <w:bCs/>
                <w:szCs w:val="21"/>
                <w:highlight w:val="none"/>
              </w:rPr>
              <w:t>结合上级培训安排，至少有1名社工参加培训获得社会心理健康师（初级或中级）证书</w:t>
            </w:r>
          </w:p>
        </w:tc>
      </w:tr>
      <w:tr w14:paraId="03F4A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23" w:hRule="atLeast"/>
          <w:jc w:val="center"/>
        </w:trPr>
        <w:tc>
          <w:tcPr>
            <w:tcW w:w="1654" w:type="dxa"/>
            <w:vMerge w:val="continue"/>
            <w:vAlign w:val="center"/>
          </w:tcPr>
          <w:p w14:paraId="7A42A252">
            <w:pPr>
              <w:widowControl/>
              <w:jc w:val="center"/>
              <w:rPr>
                <w:rFonts w:asciiTheme="majorEastAsia" w:hAnsiTheme="majorEastAsia" w:eastAsiaTheme="majorEastAsia" w:cstheme="majorEastAsia"/>
                <w:bCs/>
                <w:szCs w:val="21"/>
                <w:highlight w:val="none"/>
              </w:rPr>
            </w:pPr>
          </w:p>
        </w:tc>
        <w:tc>
          <w:tcPr>
            <w:tcW w:w="3012" w:type="dxa"/>
            <w:vAlign w:val="center"/>
          </w:tcPr>
          <w:p w14:paraId="03276B1A">
            <w:pPr>
              <w:snapToGrid w:val="0"/>
              <w:jc w:val="center"/>
              <w:rPr>
                <w:rFonts w:asciiTheme="majorEastAsia" w:hAnsiTheme="majorEastAsia" w:eastAsiaTheme="majorEastAsia" w:cstheme="majorEastAsia"/>
                <w:szCs w:val="21"/>
                <w:highlight w:val="none"/>
              </w:rPr>
            </w:pPr>
            <w:r>
              <w:rPr>
                <w:rFonts w:hint="eastAsia" w:asciiTheme="majorEastAsia" w:hAnsiTheme="majorEastAsia" w:eastAsiaTheme="majorEastAsia" w:cstheme="majorEastAsia"/>
                <w:szCs w:val="21"/>
                <w:highlight w:val="none"/>
              </w:rPr>
              <w:t>安心驿站活动</w:t>
            </w:r>
          </w:p>
        </w:tc>
        <w:tc>
          <w:tcPr>
            <w:tcW w:w="1478" w:type="dxa"/>
            <w:vAlign w:val="center"/>
          </w:tcPr>
          <w:p w14:paraId="7D326CF1">
            <w:pPr>
              <w:snapToGrid w:val="0"/>
              <w:jc w:val="center"/>
              <w:rPr>
                <w:rFonts w:asciiTheme="majorEastAsia" w:hAnsiTheme="majorEastAsia" w:eastAsiaTheme="majorEastAsia" w:cstheme="majorEastAsia"/>
                <w:bCs/>
                <w:szCs w:val="21"/>
                <w:highlight w:val="none"/>
              </w:rPr>
            </w:pPr>
            <w:r>
              <w:rPr>
                <w:rFonts w:hint="eastAsia" w:asciiTheme="majorEastAsia" w:hAnsiTheme="majorEastAsia" w:eastAsiaTheme="majorEastAsia" w:cstheme="majorEastAsia"/>
                <w:bCs/>
                <w:szCs w:val="21"/>
                <w:highlight w:val="none"/>
              </w:rPr>
              <w:t>次数</w:t>
            </w:r>
          </w:p>
        </w:tc>
        <w:tc>
          <w:tcPr>
            <w:tcW w:w="3781" w:type="dxa"/>
            <w:vAlign w:val="center"/>
          </w:tcPr>
          <w:p w14:paraId="2306EDB9">
            <w:pPr>
              <w:snapToGrid w:val="0"/>
              <w:jc w:val="both"/>
              <w:rPr>
                <w:rFonts w:asciiTheme="majorEastAsia" w:hAnsiTheme="majorEastAsia" w:eastAsiaTheme="majorEastAsia" w:cstheme="majorEastAsia"/>
                <w:bCs/>
                <w:szCs w:val="21"/>
                <w:highlight w:val="none"/>
              </w:rPr>
            </w:pPr>
            <w:r>
              <w:rPr>
                <w:rFonts w:hint="eastAsia" w:asciiTheme="majorEastAsia" w:hAnsiTheme="majorEastAsia" w:eastAsiaTheme="majorEastAsia" w:cstheme="majorEastAsia"/>
                <w:bCs/>
                <w:szCs w:val="21"/>
                <w:highlight w:val="none"/>
              </w:rPr>
              <w:t>每月开展一次安心活动</w:t>
            </w:r>
          </w:p>
        </w:tc>
      </w:tr>
      <w:tr w14:paraId="6C54E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23" w:hRule="atLeast"/>
          <w:jc w:val="center"/>
        </w:trPr>
        <w:tc>
          <w:tcPr>
            <w:tcW w:w="1654" w:type="dxa"/>
            <w:vMerge w:val="continue"/>
            <w:vAlign w:val="center"/>
          </w:tcPr>
          <w:p w14:paraId="7E5F9491">
            <w:pPr>
              <w:widowControl/>
              <w:jc w:val="center"/>
              <w:rPr>
                <w:rFonts w:asciiTheme="majorEastAsia" w:hAnsiTheme="majorEastAsia" w:eastAsiaTheme="majorEastAsia" w:cstheme="majorEastAsia"/>
                <w:bCs/>
                <w:szCs w:val="21"/>
                <w:highlight w:val="none"/>
              </w:rPr>
            </w:pPr>
          </w:p>
        </w:tc>
        <w:tc>
          <w:tcPr>
            <w:tcW w:w="3012" w:type="dxa"/>
            <w:vAlign w:val="center"/>
          </w:tcPr>
          <w:p w14:paraId="663F8B73">
            <w:pPr>
              <w:snapToGrid w:val="0"/>
              <w:jc w:val="center"/>
              <w:rPr>
                <w:rFonts w:asciiTheme="majorEastAsia" w:hAnsiTheme="majorEastAsia" w:eastAsiaTheme="majorEastAsia" w:cstheme="majorEastAsia"/>
                <w:szCs w:val="21"/>
                <w:highlight w:val="none"/>
              </w:rPr>
            </w:pPr>
            <w:r>
              <w:rPr>
                <w:rFonts w:hint="eastAsia" w:asciiTheme="majorEastAsia" w:hAnsiTheme="majorEastAsia" w:eastAsiaTheme="majorEastAsia" w:cstheme="majorEastAsia"/>
                <w:szCs w:val="21"/>
                <w:highlight w:val="none"/>
              </w:rPr>
              <w:t>开展“幸福生活节”系列活动</w:t>
            </w:r>
          </w:p>
        </w:tc>
        <w:tc>
          <w:tcPr>
            <w:tcW w:w="1478" w:type="dxa"/>
            <w:vAlign w:val="center"/>
          </w:tcPr>
          <w:p w14:paraId="6B1BFF65">
            <w:pPr>
              <w:snapToGrid w:val="0"/>
              <w:jc w:val="center"/>
              <w:rPr>
                <w:rFonts w:asciiTheme="majorEastAsia" w:hAnsiTheme="majorEastAsia" w:eastAsiaTheme="majorEastAsia" w:cstheme="majorEastAsia"/>
                <w:bCs/>
                <w:szCs w:val="21"/>
                <w:highlight w:val="none"/>
              </w:rPr>
            </w:pPr>
            <w:r>
              <w:rPr>
                <w:rFonts w:hint="eastAsia" w:asciiTheme="majorEastAsia" w:hAnsiTheme="majorEastAsia" w:eastAsiaTheme="majorEastAsia" w:cstheme="majorEastAsia"/>
                <w:bCs/>
                <w:szCs w:val="21"/>
                <w:highlight w:val="none"/>
              </w:rPr>
              <w:t>次数</w:t>
            </w:r>
          </w:p>
        </w:tc>
        <w:tc>
          <w:tcPr>
            <w:tcW w:w="3781" w:type="dxa"/>
            <w:vAlign w:val="center"/>
          </w:tcPr>
          <w:p w14:paraId="6B3DA12D">
            <w:pPr>
              <w:snapToGrid w:val="0"/>
              <w:jc w:val="both"/>
              <w:rPr>
                <w:rFonts w:asciiTheme="majorEastAsia" w:hAnsiTheme="majorEastAsia" w:eastAsiaTheme="majorEastAsia" w:cstheme="majorEastAsia"/>
                <w:bCs/>
                <w:szCs w:val="21"/>
                <w:highlight w:val="none"/>
              </w:rPr>
            </w:pPr>
            <w:r>
              <w:rPr>
                <w:rFonts w:hint="eastAsia" w:asciiTheme="majorEastAsia" w:hAnsiTheme="majorEastAsia" w:eastAsiaTheme="majorEastAsia" w:cstheme="majorEastAsia"/>
                <w:bCs/>
                <w:szCs w:val="21"/>
                <w:highlight w:val="none"/>
              </w:rPr>
              <w:t>每月至少开展一次“幸福生活节”系列活动，每个季度至少开展一次大型“幸福生活节”系列活动（可结合社区活动一同开展）</w:t>
            </w:r>
          </w:p>
        </w:tc>
      </w:tr>
      <w:tr w14:paraId="11A32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23" w:hRule="atLeast"/>
          <w:jc w:val="center"/>
        </w:trPr>
        <w:tc>
          <w:tcPr>
            <w:tcW w:w="1654" w:type="dxa"/>
            <w:vMerge w:val="restart"/>
            <w:vAlign w:val="center"/>
          </w:tcPr>
          <w:p w14:paraId="78F6928C">
            <w:pPr>
              <w:widowControl/>
              <w:jc w:val="center"/>
              <w:rPr>
                <w:rFonts w:asciiTheme="majorEastAsia" w:hAnsiTheme="majorEastAsia" w:eastAsiaTheme="majorEastAsia" w:cstheme="majorEastAsia"/>
                <w:bCs/>
                <w:szCs w:val="21"/>
                <w:highlight w:val="none"/>
              </w:rPr>
            </w:pPr>
            <w:r>
              <w:rPr>
                <w:rFonts w:hint="eastAsia" w:asciiTheme="majorEastAsia" w:hAnsiTheme="majorEastAsia" w:eastAsiaTheme="majorEastAsia" w:cstheme="majorEastAsia"/>
                <w:bCs/>
                <w:szCs w:val="21"/>
                <w:highlight w:val="none"/>
              </w:rPr>
              <w:t>社区党建</w:t>
            </w:r>
          </w:p>
        </w:tc>
        <w:tc>
          <w:tcPr>
            <w:tcW w:w="3012" w:type="dxa"/>
            <w:vAlign w:val="center"/>
          </w:tcPr>
          <w:p w14:paraId="49F79FE8">
            <w:pPr>
              <w:snapToGrid w:val="0"/>
              <w:jc w:val="center"/>
              <w:rPr>
                <w:rFonts w:asciiTheme="majorEastAsia" w:hAnsiTheme="majorEastAsia" w:eastAsiaTheme="majorEastAsia" w:cstheme="majorEastAsia"/>
                <w:szCs w:val="21"/>
                <w:highlight w:val="none"/>
              </w:rPr>
            </w:pPr>
            <w:r>
              <w:rPr>
                <w:rFonts w:hint="eastAsia" w:asciiTheme="majorEastAsia" w:hAnsiTheme="majorEastAsia" w:eastAsiaTheme="majorEastAsia" w:cstheme="majorEastAsia"/>
                <w:szCs w:val="21"/>
                <w:highlight w:val="none"/>
              </w:rPr>
              <w:t>走访企业</w:t>
            </w:r>
          </w:p>
        </w:tc>
        <w:tc>
          <w:tcPr>
            <w:tcW w:w="1478" w:type="dxa"/>
            <w:vAlign w:val="center"/>
          </w:tcPr>
          <w:p w14:paraId="53D8A13D">
            <w:pPr>
              <w:snapToGrid w:val="0"/>
              <w:jc w:val="center"/>
              <w:rPr>
                <w:rFonts w:asciiTheme="majorEastAsia" w:hAnsiTheme="majorEastAsia" w:eastAsiaTheme="majorEastAsia" w:cstheme="majorEastAsia"/>
                <w:bCs/>
                <w:szCs w:val="21"/>
                <w:highlight w:val="none"/>
              </w:rPr>
            </w:pPr>
            <w:r>
              <w:rPr>
                <w:rFonts w:hint="eastAsia" w:asciiTheme="majorEastAsia" w:hAnsiTheme="majorEastAsia" w:eastAsiaTheme="majorEastAsia" w:cstheme="majorEastAsia"/>
                <w:bCs/>
                <w:szCs w:val="21"/>
                <w:highlight w:val="none"/>
              </w:rPr>
              <w:t>次数</w:t>
            </w:r>
          </w:p>
        </w:tc>
        <w:tc>
          <w:tcPr>
            <w:tcW w:w="3781" w:type="dxa"/>
            <w:vAlign w:val="center"/>
          </w:tcPr>
          <w:p w14:paraId="41D17777">
            <w:pPr>
              <w:snapToGrid w:val="0"/>
              <w:jc w:val="both"/>
              <w:rPr>
                <w:rFonts w:asciiTheme="majorEastAsia" w:hAnsiTheme="majorEastAsia" w:eastAsiaTheme="majorEastAsia" w:cstheme="majorEastAsia"/>
                <w:bCs/>
                <w:szCs w:val="21"/>
                <w:highlight w:val="none"/>
              </w:rPr>
            </w:pPr>
            <w:r>
              <w:rPr>
                <w:rFonts w:hint="eastAsia" w:asciiTheme="majorEastAsia" w:hAnsiTheme="majorEastAsia" w:eastAsiaTheme="majorEastAsia" w:cstheme="majorEastAsia"/>
                <w:bCs/>
                <w:szCs w:val="21"/>
                <w:highlight w:val="none"/>
              </w:rPr>
              <w:t>协助社区党委开展党建工作，每月走访辖区企业不少于5次</w:t>
            </w:r>
          </w:p>
        </w:tc>
      </w:tr>
      <w:tr w14:paraId="2B6CE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23" w:hRule="atLeast"/>
          <w:jc w:val="center"/>
        </w:trPr>
        <w:tc>
          <w:tcPr>
            <w:tcW w:w="1654" w:type="dxa"/>
            <w:vMerge w:val="continue"/>
            <w:vAlign w:val="center"/>
          </w:tcPr>
          <w:p w14:paraId="110B5303">
            <w:pPr>
              <w:widowControl/>
              <w:jc w:val="center"/>
              <w:rPr>
                <w:rFonts w:asciiTheme="majorEastAsia" w:hAnsiTheme="majorEastAsia" w:eastAsiaTheme="majorEastAsia" w:cstheme="majorEastAsia"/>
                <w:bCs/>
                <w:szCs w:val="21"/>
                <w:highlight w:val="none"/>
              </w:rPr>
            </w:pPr>
          </w:p>
        </w:tc>
        <w:tc>
          <w:tcPr>
            <w:tcW w:w="3012" w:type="dxa"/>
            <w:vAlign w:val="center"/>
          </w:tcPr>
          <w:p w14:paraId="42A7B905">
            <w:pPr>
              <w:snapToGrid w:val="0"/>
              <w:jc w:val="center"/>
              <w:rPr>
                <w:rFonts w:asciiTheme="majorEastAsia" w:hAnsiTheme="majorEastAsia" w:eastAsiaTheme="majorEastAsia" w:cstheme="majorEastAsia"/>
                <w:szCs w:val="21"/>
                <w:highlight w:val="none"/>
              </w:rPr>
            </w:pPr>
            <w:r>
              <w:rPr>
                <w:rFonts w:hint="eastAsia" w:asciiTheme="majorEastAsia" w:hAnsiTheme="majorEastAsia" w:eastAsiaTheme="majorEastAsia" w:cstheme="majorEastAsia"/>
                <w:szCs w:val="21"/>
                <w:highlight w:val="none"/>
              </w:rPr>
              <w:t>品牌项目创建</w:t>
            </w:r>
          </w:p>
        </w:tc>
        <w:tc>
          <w:tcPr>
            <w:tcW w:w="1478" w:type="dxa"/>
            <w:vAlign w:val="center"/>
          </w:tcPr>
          <w:p w14:paraId="57FCD6C9">
            <w:pPr>
              <w:snapToGrid w:val="0"/>
              <w:jc w:val="center"/>
              <w:rPr>
                <w:rFonts w:asciiTheme="majorEastAsia" w:hAnsiTheme="majorEastAsia" w:eastAsiaTheme="majorEastAsia" w:cstheme="majorEastAsia"/>
                <w:bCs/>
                <w:szCs w:val="21"/>
                <w:highlight w:val="none"/>
              </w:rPr>
            </w:pPr>
            <w:r>
              <w:rPr>
                <w:rFonts w:hint="eastAsia" w:asciiTheme="majorEastAsia" w:hAnsiTheme="majorEastAsia" w:eastAsiaTheme="majorEastAsia" w:cstheme="majorEastAsia"/>
                <w:bCs/>
                <w:szCs w:val="21"/>
                <w:highlight w:val="none"/>
              </w:rPr>
              <w:t>份数</w:t>
            </w:r>
          </w:p>
        </w:tc>
        <w:tc>
          <w:tcPr>
            <w:tcW w:w="3781" w:type="dxa"/>
            <w:vAlign w:val="center"/>
          </w:tcPr>
          <w:p w14:paraId="70B7C589">
            <w:pPr>
              <w:snapToGrid w:val="0"/>
              <w:jc w:val="both"/>
              <w:rPr>
                <w:rFonts w:asciiTheme="majorEastAsia" w:hAnsiTheme="majorEastAsia" w:eastAsiaTheme="majorEastAsia" w:cstheme="majorEastAsia"/>
                <w:bCs/>
                <w:szCs w:val="21"/>
                <w:highlight w:val="none"/>
              </w:rPr>
            </w:pPr>
            <w:r>
              <w:rPr>
                <w:rFonts w:hint="eastAsia" w:asciiTheme="majorEastAsia" w:hAnsiTheme="majorEastAsia" w:eastAsiaTheme="majorEastAsia" w:cstheme="majorEastAsia"/>
                <w:bCs/>
                <w:szCs w:val="21"/>
                <w:highlight w:val="none"/>
              </w:rPr>
              <w:t>协助社区党委完成社区品牌创建工作，每个社区至少有一个品牌项目</w:t>
            </w:r>
          </w:p>
        </w:tc>
      </w:tr>
      <w:tr w14:paraId="758F5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23" w:hRule="atLeast"/>
          <w:jc w:val="center"/>
        </w:trPr>
        <w:tc>
          <w:tcPr>
            <w:tcW w:w="1654" w:type="dxa"/>
            <w:vMerge w:val="continue"/>
            <w:vAlign w:val="center"/>
          </w:tcPr>
          <w:p w14:paraId="453558E8">
            <w:pPr>
              <w:widowControl/>
              <w:jc w:val="center"/>
              <w:rPr>
                <w:rFonts w:asciiTheme="majorEastAsia" w:hAnsiTheme="majorEastAsia" w:eastAsiaTheme="majorEastAsia" w:cstheme="majorEastAsia"/>
                <w:bCs/>
                <w:szCs w:val="21"/>
                <w:highlight w:val="none"/>
              </w:rPr>
            </w:pPr>
          </w:p>
        </w:tc>
        <w:tc>
          <w:tcPr>
            <w:tcW w:w="3012" w:type="dxa"/>
            <w:vAlign w:val="center"/>
          </w:tcPr>
          <w:p w14:paraId="26B43C95">
            <w:pPr>
              <w:snapToGrid w:val="0"/>
              <w:jc w:val="center"/>
              <w:rPr>
                <w:rFonts w:asciiTheme="majorEastAsia" w:hAnsiTheme="majorEastAsia" w:eastAsiaTheme="majorEastAsia" w:cstheme="majorEastAsia"/>
                <w:szCs w:val="21"/>
                <w:highlight w:val="none"/>
              </w:rPr>
            </w:pPr>
            <w:r>
              <w:rPr>
                <w:rFonts w:hint="eastAsia" w:asciiTheme="majorEastAsia" w:hAnsiTheme="majorEastAsia" w:eastAsiaTheme="majorEastAsia" w:cstheme="majorEastAsia"/>
                <w:szCs w:val="21"/>
                <w:highlight w:val="none"/>
              </w:rPr>
              <w:t>党建书吧检查</w:t>
            </w:r>
          </w:p>
        </w:tc>
        <w:tc>
          <w:tcPr>
            <w:tcW w:w="1478" w:type="dxa"/>
            <w:vAlign w:val="center"/>
          </w:tcPr>
          <w:p w14:paraId="6FBFE398">
            <w:pPr>
              <w:snapToGrid w:val="0"/>
              <w:jc w:val="center"/>
              <w:rPr>
                <w:rFonts w:asciiTheme="majorEastAsia" w:hAnsiTheme="majorEastAsia" w:eastAsiaTheme="majorEastAsia" w:cstheme="majorEastAsia"/>
                <w:bCs/>
                <w:szCs w:val="21"/>
                <w:highlight w:val="none"/>
              </w:rPr>
            </w:pPr>
            <w:r>
              <w:rPr>
                <w:rFonts w:hint="eastAsia" w:asciiTheme="majorEastAsia" w:hAnsiTheme="majorEastAsia" w:eastAsiaTheme="majorEastAsia" w:cstheme="majorEastAsia"/>
                <w:bCs/>
                <w:szCs w:val="21"/>
                <w:highlight w:val="none"/>
              </w:rPr>
              <w:t>次数</w:t>
            </w:r>
          </w:p>
        </w:tc>
        <w:tc>
          <w:tcPr>
            <w:tcW w:w="3781" w:type="dxa"/>
            <w:vAlign w:val="center"/>
          </w:tcPr>
          <w:p w14:paraId="662C5582">
            <w:pPr>
              <w:snapToGrid w:val="0"/>
              <w:jc w:val="both"/>
              <w:rPr>
                <w:rFonts w:asciiTheme="majorEastAsia" w:hAnsiTheme="majorEastAsia" w:eastAsiaTheme="majorEastAsia" w:cstheme="majorEastAsia"/>
                <w:bCs/>
                <w:szCs w:val="21"/>
                <w:highlight w:val="none"/>
              </w:rPr>
            </w:pPr>
            <w:r>
              <w:rPr>
                <w:rFonts w:hint="eastAsia" w:asciiTheme="majorEastAsia" w:hAnsiTheme="majorEastAsia" w:eastAsiaTheme="majorEastAsia" w:cstheme="majorEastAsia"/>
                <w:bCs/>
                <w:szCs w:val="21"/>
                <w:highlight w:val="none"/>
              </w:rPr>
              <w:t>每周至少检查一次（书籍摆放情况以及书籍内容）</w:t>
            </w:r>
          </w:p>
        </w:tc>
      </w:tr>
      <w:tr w14:paraId="70256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23" w:hRule="atLeast"/>
          <w:jc w:val="center"/>
        </w:trPr>
        <w:tc>
          <w:tcPr>
            <w:tcW w:w="1654" w:type="dxa"/>
            <w:vMerge w:val="continue"/>
            <w:vAlign w:val="center"/>
          </w:tcPr>
          <w:p w14:paraId="037C1A95">
            <w:pPr>
              <w:widowControl/>
              <w:jc w:val="center"/>
              <w:rPr>
                <w:rFonts w:asciiTheme="majorEastAsia" w:hAnsiTheme="majorEastAsia" w:eastAsiaTheme="majorEastAsia" w:cstheme="majorEastAsia"/>
                <w:bCs/>
                <w:szCs w:val="21"/>
                <w:highlight w:val="none"/>
              </w:rPr>
            </w:pPr>
          </w:p>
        </w:tc>
        <w:tc>
          <w:tcPr>
            <w:tcW w:w="3012" w:type="dxa"/>
            <w:vAlign w:val="center"/>
          </w:tcPr>
          <w:p w14:paraId="27BD88AC">
            <w:pPr>
              <w:snapToGrid w:val="0"/>
              <w:jc w:val="center"/>
              <w:rPr>
                <w:rFonts w:asciiTheme="majorEastAsia" w:hAnsiTheme="majorEastAsia" w:eastAsiaTheme="majorEastAsia" w:cstheme="majorEastAsia"/>
                <w:szCs w:val="21"/>
                <w:highlight w:val="none"/>
              </w:rPr>
            </w:pPr>
            <w:r>
              <w:rPr>
                <w:rFonts w:hint="eastAsia" w:asciiTheme="majorEastAsia" w:hAnsiTheme="majorEastAsia" w:eastAsiaTheme="majorEastAsia" w:cstheme="majorEastAsia"/>
                <w:szCs w:val="21"/>
                <w:highlight w:val="none"/>
              </w:rPr>
              <w:t>党群服务中心安全隐患排查</w:t>
            </w:r>
          </w:p>
        </w:tc>
        <w:tc>
          <w:tcPr>
            <w:tcW w:w="1478" w:type="dxa"/>
            <w:vAlign w:val="center"/>
          </w:tcPr>
          <w:p w14:paraId="40216F19">
            <w:pPr>
              <w:snapToGrid w:val="0"/>
              <w:jc w:val="center"/>
              <w:rPr>
                <w:rFonts w:asciiTheme="majorEastAsia" w:hAnsiTheme="majorEastAsia" w:eastAsiaTheme="majorEastAsia" w:cstheme="majorEastAsia"/>
                <w:bCs/>
                <w:szCs w:val="21"/>
                <w:highlight w:val="none"/>
              </w:rPr>
            </w:pPr>
            <w:r>
              <w:rPr>
                <w:rFonts w:hint="eastAsia" w:asciiTheme="majorEastAsia" w:hAnsiTheme="majorEastAsia" w:eastAsiaTheme="majorEastAsia" w:cstheme="majorEastAsia"/>
                <w:bCs/>
                <w:szCs w:val="21"/>
                <w:highlight w:val="none"/>
              </w:rPr>
              <w:t>次数</w:t>
            </w:r>
          </w:p>
        </w:tc>
        <w:tc>
          <w:tcPr>
            <w:tcW w:w="3781" w:type="dxa"/>
            <w:vAlign w:val="center"/>
          </w:tcPr>
          <w:p w14:paraId="35D65675">
            <w:pPr>
              <w:snapToGrid w:val="0"/>
              <w:jc w:val="both"/>
              <w:rPr>
                <w:rFonts w:asciiTheme="majorEastAsia" w:hAnsiTheme="majorEastAsia" w:eastAsiaTheme="majorEastAsia" w:cstheme="majorEastAsia"/>
                <w:bCs/>
                <w:szCs w:val="21"/>
                <w:highlight w:val="none"/>
              </w:rPr>
            </w:pPr>
            <w:r>
              <w:rPr>
                <w:rFonts w:hint="eastAsia" w:asciiTheme="majorEastAsia" w:hAnsiTheme="majorEastAsia" w:eastAsiaTheme="majorEastAsia" w:cstheme="majorEastAsia"/>
                <w:bCs/>
                <w:szCs w:val="21"/>
                <w:highlight w:val="none"/>
              </w:rPr>
              <w:t>每月至少全面排查一次党群服务中心安全隐患</w:t>
            </w:r>
          </w:p>
        </w:tc>
      </w:tr>
      <w:tr w14:paraId="39865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23" w:hRule="atLeast"/>
          <w:jc w:val="center"/>
        </w:trPr>
        <w:tc>
          <w:tcPr>
            <w:tcW w:w="1654" w:type="dxa"/>
            <w:vMerge w:val="continue"/>
            <w:vAlign w:val="center"/>
          </w:tcPr>
          <w:p w14:paraId="16130F71">
            <w:pPr>
              <w:widowControl/>
              <w:jc w:val="center"/>
              <w:rPr>
                <w:rFonts w:asciiTheme="majorEastAsia" w:hAnsiTheme="majorEastAsia" w:eastAsiaTheme="majorEastAsia" w:cstheme="majorEastAsia"/>
                <w:bCs/>
                <w:szCs w:val="21"/>
                <w:highlight w:val="none"/>
              </w:rPr>
            </w:pPr>
          </w:p>
        </w:tc>
        <w:tc>
          <w:tcPr>
            <w:tcW w:w="3012" w:type="dxa"/>
            <w:vAlign w:val="center"/>
          </w:tcPr>
          <w:p w14:paraId="6F3E1549">
            <w:pPr>
              <w:snapToGrid w:val="0"/>
              <w:jc w:val="center"/>
              <w:rPr>
                <w:rFonts w:asciiTheme="majorEastAsia" w:hAnsiTheme="majorEastAsia" w:eastAsiaTheme="majorEastAsia" w:cstheme="majorEastAsia"/>
                <w:szCs w:val="21"/>
                <w:highlight w:val="none"/>
              </w:rPr>
            </w:pPr>
            <w:r>
              <w:rPr>
                <w:rFonts w:hint="eastAsia" w:asciiTheme="majorEastAsia" w:hAnsiTheme="majorEastAsia" w:eastAsiaTheme="majorEastAsia" w:cstheme="majorEastAsia"/>
                <w:szCs w:val="21"/>
                <w:highlight w:val="none"/>
              </w:rPr>
              <w:t>活动宣传</w:t>
            </w:r>
          </w:p>
        </w:tc>
        <w:tc>
          <w:tcPr>
            <w:tcW w:w="1478" w:type="dxa"/>
            <w:vAlign w:val="center"/>
          </w:tcPr>
          <w:p w14:paraId="045BDEF2">
            <w:pPr>
              <w:snapToGrid w:val="0"/>
              <w:jc w:val="center"/>
              <w:rPr>
                <w:rFonts w:asciiTheme="majorEastAsia" w:hAnsiTheme="majorEastAsia" w:eastAsiaTheme="majorEastAsia" w:cstheme="majorEastAsia"/>
                <w:bCs/>
                <w:szCs w:val="21"/>
                <w:highlight w:val="none"/>
              </w:rPr>
            </w:pPr>
            <w:r>
              <w:rPr>
                <w:rFonts w:hint="eastAsia" w:asciiTheme="majorEastAsia" w:hAnsiTheme="majorEastAsia" w:eastAsiaTheme="majorEastAsia" w:cstheme="majorEastAsia"/>
                <w:bCs/>
                <w:szCs w:val="21"/>
                <w:highlight w:val="none"/>
              </w:rPr>
              <w:t>次数</w:t>
            </w:r>
          </w:p>
        </w:tc>
        <w:tc>
          <w:tcPr>
            <w:tcW w:w="3781" w:type="dxa"/>
            <w:vAlign w:val="center"/>
          </w:tcPr>
          <w:p w14:paraId="686A1FFB">
            <w:pPr>
              <w:snapToGrid w:val="0"/>
              <w:jc w:val="both"/>
              <w:rPr>
                <w:rFonts w:asciiTheme="majorEastAsia" w:hAnsiTheme="majorEastAsia" w:eastAsiaTheme="majorEastAsia" w:cstheme="majorEastAsia"/>
                <w:bCs/>
                <w:szCs w:val="21"/>
                <w:highlight w:val="none"/>
              </w:rPr>
            </w:pPr>
            <w:r>
              <w:rPr>
                <w:rFonts w:hint="eastAsia" w:asciiTheme="majorEastAsia" w:hAnsiTheme="majorEastAsia" w:eastAsiaTheme="majorEastAsia" w:cstheme="majorEastAsia"/>
                <w:bCs/>
                <w:szCs w:val="21"/>
                <w:highlight w:val="none"/>
              </w:rPr>
              <w:t>每周提供不少于一场活动宣传稿至党建办，党建办挑选合适宣传稿报“光明先锋”，全年在光明先锋报道活动链接不少于6次</w:t>
            </w:r>
          </w:p>
        </w:tc>
      </w:tr>
      <w:tr w14:paraId="28C67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23" w:hRule="atLeast"/>
          <w:jc w:val="center"/>
        </w:trPr>
        <w:tc>
          <w:tcPr>
            <w:tcW w:w="1654" w:type="dxa"/>
            <w:vMerge w:val="continue"/>
            <w:vAlign w:val="center"/>
          </w:tcPr>
          <w:p w14:paraId="29144D1C">
            <w:pPr>
              <w:widowControl/>
              <w:jc w:val="center"/>
              <w:rPr>
                <w:rFonts w:asciiTheme="majorEastAsia" w:hAnsiTheme="majorEastAsia" w:eastAsiaTheme="majorEastAsia" w:cstheme="majorEastAsia"/>
                <w:bCs/>
                <w:szCs w:val="21"/>
                <w:highlight w:val="none"/>
              </w:rPr>
            </w:pPr>
          </w:p>
        </w:tc>
        <w:tc>
          <w:tcPr>
            <w:tcW w:w="3012" w:type="dxa"/>
            <w:vAlign w:val="center"/>
          </w:tcPr>
          <w:p w14:paraId="7C8672FE">
            <w:pPr>
              <w:snapToGrid w:val="0"/>
              <w:jc w:val="center"/>
              <w:rPr>
                <w:rFonts w:asciiTheme="majorEastAsia" w:hAnsiTheme="majorEastAsia" w:eastAsiaTheme="majorEastAsia" w:cstheme="majorEastAsia"/>
                <w:szCs w:val="21"/>
                <w:highlight w:val="none"/>
              </w:rPr>
            </w:pPr>
            <w:r>
              <w:rPr>
                <w:rFonts w:hint="eastAsia" w:asciiTheme="majorEastAsia" w:hAnsiTheme="majorEastAsia" w:eastAsiaTheme="majorEastAsia" w:cstheme="majorEastAsia"/>
                <w:szCs w:val="21"/>
                <w:highlight w:val="none"/>
              </w:rPr>
              <w:t>举办党建活动</w:t>
            </w:r>
          </w:p>
        </w:tc>
        <w:tc>
          <w:tcPr>
            <w:tcW w:w="1478" w:type="dxa"/>
            <w:vAlign w:val="center"/>
          </w:tcPr>
          <w:p w14:paraId="3832379D">
            <w:pPr>
              <w:snapToGrid w:val="0"/>
              <w:jc w:val="center"/>
              <w:rPr>
                <w:rFonts w:asciiTheme="majorEastAsia" w:hAnsiTheme="majorEastAsia" w:eastAsiaTheme="majorEastAsia" w:cstheme="majorEastAsia"/>
                <w:bCs/>
                <w:szCs w:val="21"/>
                <w:highlight w:val="none"/>
              </w:rPr>
            </w:pPr>
            <w:r>
              <w:rPr>
                <w:rFonts w:hint="eastAsia" w:asciiTheme="majorEastAsia" w:hAnsiTheme="majorEastAsia" w:eastAsiaTheme="majorEastAsia" w:cstheme="majorEastAsia"/>
                <w:bCs/>
                <w:szCs w:val="21"/>
                <w:highlight w:val="none"/>
              </w:rPr>
              <w:t>次数</w:t>
            </w:r>
          </w:p>
        </w:tc>
        <w:tc>
          <w:tcPr>
            <w:tcW w:w="3781" w:type="dxa"/>
            <w:vAlign w:val="center"/>
          </w:tcPr>
          <w:p w14:paraId="7017EDC9">
            <w:pPr>
              <w:snapToGrid w:val="0"/>
              <w:jc w:val="both"/>
              <w:rPr>
                <w:rFonts w:asciiTheme="majorEastAsia" w:hAnsiTheme="majorEastAsia" w:eastAsiaTheme="majorEastAsia" w:cstheme="majorEastAsia"/>
                <w:bCs/>
                <w:szCs w:val="21"/>
                <w:highlight w:val="none"/>
              </w:rPr>
            </w:pPr>
            <w:r>
              <w:rPr>
                <w:rFonts w:hint="eastAsia" w:asciiTheme="majorEastAsia" w:hAnsiTheme="majorEastAsia" w:eastAsiaTheme="majorEastAsia" w:cstheme="majorEastAsia"/>
                <w:bCs/>
                <w:szCs w:val="21"/>
                <w:highlight w:val="none"/>
              </w:rPr>
              <w:t>全年开展不少于4次党建活动</w:t>
            </w:r>
          </w:p>
        </w:tc>
      </w:tr>
      <w:tr w14:paraId="735C9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23" w:hRule="atLeast"/>
          <w:jc w:val="center"/>
        </w:trPr>
        <w:tc>
          <w:tcPr>
            <w:tcW w:w="1654" w:type="dxa"/>
            <w:vAlign w:val="center"/>
          </w:tcPr>
          <w:p w14:paraId="79EBDCFC">
            <w:pPr>
              <w:widowControl/>
              <w:jc w:val="center"/>
              <w:rPr>
                <w:rFonts w:asciiTheme="majorEastAsia" w:hAnsiTheme="majorEastAsia" w:eastAsiaTheme="majorEastAsia" w:cstheme="majorEastAsia"/>
                <w:bCs/>
                <w:szCs w:val="21"/>
                <w:highlight w:val="none"/>
              </w:rPr>
            </w:pPr>
            <w:r>
              <w:rPr>
                <w:rFonts w:hint="eastAsia" w:asciiTheme="majorEastAsia" w:hAnsiTheme="majorEastAsia" w:eastAsiaTheme="majorEastAsia" w:cstheme="majorEastAsia"/>
                <w:bCs/>
                <w:szCs w:val="21"/>
                <w:highlight w:val="none"/>
              </w:rPr>
              <w:t>其他活动</w:t>
            </w:r>
          </w:p>
        </w:tc>
        <w:tc>
          <w:tcPr>
            <w:tcW w:w="3012" w:type="dxa"/>
            <w:vAlign w:val="center"/>
          </w:tcPr>
          <w:p w14:paraId="227D61B4">
            <w:pPr>
              <w:snapToGrid w:val="0"/>
              <w:jc w:val="center"/>
              <w:rPr>
                <w:rFonts w:asciiTheme="majorEastAsia" w:hAnsiTheme="majorEastAsia" w:eastAsiaTheme="majorEastAsia" w:cstheme="majorEastAsia"/>
                <w:bCs/>
                <w:szCs w:val="21"/>
                <w:highlight w:val="none"/>
              </w:rPr>
            </w:pPr>
            <w:r>
              <w:rPr>
                <w:rFonts w:hint="eastAsia" w:asciiTheme="majorEastAsia" w:hAnsiTheme="majorEastAsia" w:eastAsiaTheme="majorEastAsia" w:cstheme="majorEastAsia"/>
                <w:color w:val="000000"/>
                <w:szCs w:val="21"/>
                <w:highlight w:val="none"/>
              </w:rPr>
              <w:t>根据社区实际情况配合开展</w:t>
            </w:r>
          </w:p>
        </w:tc>
        <w:tc>
          <w:tcPr>
            <w:tcW w:w="1478" w:type="dxa"/>
            <w:vAlign w:val="center"/>
          </w:tcPr>
          <w:p w14:paraId="395DE293">
            <w:pPr>
              <w:snapToGrid w:val="0"/>
              <w:jc w:val="center"/>
              <w:rPr>
                <w:rFonts w:asciiTheme="majorEastAsia" w:hAnsiTheme="majorEastAsia" w:eastAsiaTheme="majorEastAsia" w:cstheme="majorEastAsia"/>
                <w:bCs/>
                <w:szCs w:val="21"/>
                <w:highlight w:val="none"/>
              </w:rPr>
            </w:pPr>
            <w:r>
              <w:rPr>
                <w:rFonts w:hint="eastAsia" w:asciiTheme="majorEastAsia" w:hAnsiTheme="majorEastAsia" w:eastAsiaTheme="majorEastAsia" w:cstheme="majorEastAsia"/>
                <w:bCs/>
                <w:szCs w:val="21"/>
                <w:highlight w:val="none"/>
              </w:rPr>
              <w:t>次数</w:t>
            </w:r>
          </w:p>
        </w:tc>
        <w:tc>
          <w:tcPr>
            <w:tcW w:w="3781" w:type="dxa"/>
            <w:vAlign w:val="center"/>
          </w:tcPr>
          <w:p w14:paraId="1BBC685B">
            <w:pPr>
              <w:snapToGrid w:val="0"/>
              <w:jc w:val="both"/>
              <w:rPr>
                <w:rFonts w:asciiTheme="majorEastAsia" w:hAnsiTheme="majorEastAsia" w:eastAsiaTheme="majorEastAsia" w:cstheme="majorEastAsia"/>
                <w:bCs/>
                <w:szCs w:val="21"/>
                <w:highlight w:val="none"/>
              </w:rPr>
            </w:pPr>
            <w:r>
              <w:rPr>
                <w:rFonts w:hint="eastAsia" w:asciiTheme="majorEastAsia" w:hAnsiTheme="majorEastAsia" w:eastAsiaTheme="majorEastAsia" w:cstheme="majorEastAsia"/>
                <w:bCs/>
                <w:szCs w:val="21"/>
                <w:highlight w:val="none"/>
              </w:rPr>
              <w:t>按需开展</w:t>
            </w:r>
          </w:p>
        </w:tc>
      </w:tr>
    </w:tbl>
    <w:p w14:paraId="1EB64044"/>
    <w:p w14:paraId="520D70C7">
      <w:pPr>
        <w:keepNext w:val="0"/>
        <w:keepLines w:val="0"/>
        <w:pageBreakBefore w:val="0"/>
        <w:widowControl w:val="0"/>
        <w:kinsoku/>
        <w:wordWrap/>
        <w:overflowPunct/>
        <w:topLinePunct w:val="0"/>
        <w:autoSpaceDE/>
        <w:autoSpaceDN/>
        <w:bidi w:val="0"/>
        <w:adjustRightInd w:val="0"/>
        <w:snapToGrid w:val="0"/>
        <w:ind w:firstLine="420" w:firstLineChars="200"/>
        <w:textAlignment w:val="auto"/>
        <w:outlineLvl w:val="0"/>
        <w:rPr>
          <w:rFonts w:asciiTheme="minorEastAsia" w:hAnsiTheme="minorEastAsia" w:eastAsiaTheme="minorEastAsia" w:cstheme="minorEastAsia"/>
          <w:b/>
          <w:bCs/>
          <w:color w:val="000000"/>
          <w:szCs w:val="21"/>
        </w:rPr>
      </w:pPr>
      <w:r>
        <w:rPr>
          <w:rFonts w:hint="eastAsia" w:asciiTheme="minorEastAsia" w:hAnsiTheme="minorEastAsia" w:eastAsiaTheme="minorEastAsia" w:cstheme="minorEastAsia"/>
          <w:b/>
          <w:bCs/>
          <w:color w:val="000000"/>
          <w:szCs w:val="21"/>
        </w:rPr>
        <w:t>6运营管理制度建设与执行</w:t>
      </w:r>
    </w:p>
    <w:p w14:paraId="5147B835">
      <w:pPr>
        <w:keepNext w:val="0"/>
        <w:keepLines w:val="0"/>
        <w:pageBreakBefore w:val="0"/>
        <w:widowControl w:val="0"/>
        <w:kinsoku/>
        <w:wordWrap/>
        <w:overflowPunct/>
        <w:topLinePunct w:val="0"/>
        <w:autoSpaceDE/>
        <w:autoSpaceDN/>
        <w:bidi w:val="0"/>
        <w:ind w:firstLine="420" w:firstLineChars="200"/>
        <w:textAlignment w:val="auto"/>
        <w:outlineLvl w:val="1"/>
        <w:rPr>
          <w:rFonts w:asciiTheme="minorEastAsia" w:hAnsiTheme="minorEastAsia" w:eastAsiaTheme="minorEastAsia" w:cstheme="minorEastAsia"/>
          <w:b/>
          <w:szCs w:val="21"/>
        </w:rPr>
      </w:pPr>
      <w:r>
        <w:rPr>
          <w:rFonts w:hint="eastAsia" w:asciiTheme="minorEastAsia" w:hAnsiTheme="minorEastAsia" w:eastAsiaTheme="minorEastAsia" w:cstheme="minorEastAsia"/>
          <w:bCs/>
          <w:color w:val="000000"/>
          <w:szCs w:val="21"/>
        </w:rPr>
        <w:t>（1）场地使用制度。服务机构应在社区党委的安排下合理使用社区场地，并加强对场地的管理，落实安全、卫生、维护等职责。</w:t>
      </w:r>
    </w:p>
    <w:p w14:paraId="4A661C9D">
      <w:pPr>
        <w:keepNext w:val="0"/>
        <w:keepLines w:val="0"/>
        <w:pageBreakBefore w:val="0"/>
        <w:widowControl w:val="0"/>
        <w:kinsoku/>
        <w:wordWrap/>
        <w:overflowPunct/>
        <w:topLinePunct w:val="0"/>
        <w:autoSpaceDE/>
        <w:autoSpaceDN/>
        <w:bidi w:val="0"/>
        <w:ind w:firstLine="420" w:firstLineChars="200"/>
        <w:textAlignment w:val="auto"/>
        <w:outlineLvl w:val="1"/>
        <w:rPr>
          <w:rFonts w:asciiTheme="minorEastAsia" w:hAnsiTheme="minorEastAsia" w:eastAsiaTheme="minorEastAsia" w:cstheme="minorEastAsia"/>
          <w:bCs/>
          <w:color w:val="000000"/>
          <w:szCs w:val="21"/>
        </w:rPr>
      </w:pPr>
      <w:r>
        <w:rPr>
          <w:rFonts w:hint="eastAsia" w:asciiTheme="minorEastAsia" w:hAnsiTheme="minorEastAsia" w:eastAsiaTheme="minorEastAsia" w:cstheme="minorEastAsia"/>
          <w:bCs/>
          <w:color w:val="000000"/>
          <w:szCs w:val="21"/>
        </w:rPr>
        <w:t xml:space="preserve">（2）需求表达制度。服务机构应具有需求调研的学习和培训机制，具备形成科学调研模式及工具的能力；向政府、第三方评估机构和合作社会组织发布社区公共服务需求信息的制度和渠道。 </w:t>
      </w:r>
    </w:p>
    <w:p w14:paraId="79313953">
      <w:pPr>
        <w:keepNext w:val="0"/>
        <w:keepLines w:val="0"/>
        <w:pageBreakBefore w:val="0"/>
        <w:widowControl w:val="0"/>
        <w:kinsoku/>
        <w:wordWrap/>
        <w:overflowPunct/>
        <w:topLinePunct w:val="0"/>
        <w:autoSpaceDE/>
        <w:autoSpaceDN/>
        <w:bidi w:val="0"/>
        <w:ind w:firstLine="420" w:firstLineChars="200"/>
        <w:textAlignment w:val="auto"/>
        <w:outlineLvl w:val="1"/>
        <w:rPr>
          <w:rFonts w:asciiTheme="minorEastAsia" w:hAnsiTheme="minorEastAsia" w:eastAsiaTheme="minorEastAsia" w:cstheme="minorEastAsia"/>
          <w:bCs/>
          <w:color w:val="000000"/>
          <w:szCs w:val="21"/>
        </w:rPr>
      </w:pPr>
      <w:r>
        <w:rPr>
          <w:rFonts w:hint="eastAsia" w:asciiTheme="minorEastAsia" w:hAnsiTheme="minorEastAsia" w:eastAsiaTheme="minorEastAsia" w:cstheme="minorEastAsia"/>
          <w:bCs/>
          <w:color w:val="000000"/>
          <w:szCs w:val="21"/>
        </w:rPr>
        <w:t>（3）特色公共服务项目引入与协调制度。服务机构应具有包括项目选择与引入、沟通反馈、协调配合等内容的特色公共服务项目引入与协调机制，并有对服务机构及项目合作方权责的明确说明。</w:t>
      </w:r>
    </w:p>
    <w:p w14:paraId="20FB14C4">
      <w:pPr>
        <w:keepNext w:val="0"/>
        <w:keepLines w:val="0"/>
        <w:pageBreakBefore w:val="0"/>
        <w:widowControl w:val="0"/>
        <w:kinsoku/>
        <w:wordWrap/>
        <w:overflowPunct/>
        <w:topLinePunct w:val="0"/>
        <w:autoSpaceDE/>
        <w:autoSpaceDN/>
        <w:bidi w:val="0"/>
        <w:ind w:firstLine="420" w:firstLineChars="200"/>
        <w:textAlignment w:val="auto"/>
        <w:outlineLvl w:val="1"/>
        <w:rPr>
          <w:rFonts w:asciiTheme="minorEastAsia" w:hAnsiTheme="minorEastAsia" w:eastAsiaTheme="minorEastAsia" w:cstheme="minorEastAsia"/>
          <w:bCs/>
          <w:color w:val="000000"/>
          <w:szCs w:val="21"/>
        </w:rPr>
      </w:pPr>
      <w:r>
        <w:rPr>
          <w:rFonts w:hint="eastAsia" w:asciiTheme="minorEastAsia" w:hAnsiTheme="minorEastAsia" w:eastAsiaTheme="minorEastAsia" w:cstheme="minorEastAsia"/>
          <w:bCs/>
          <w:color w:val="000000"/>
          <w:szCs w:val="21"/>
        </w:rPr>
        <w:t>（4）服务质量内控管理制度。服务机构应具有对社区服务项目全过程质量监控、内部成效测评及总结机制。具有详细、操作性强的工作流程指引，规范的工作程序。</w:t>
      </w:r>
    </w:p>
    <w:p w14:paraId="3C6662EB">
      <w:pPr>
        <w:keepNext w:val="0"/>
        <w:keepLines w:val="0"/>
        <w:pageBreakBefore w:val="0"/>
        <w:widowControl w:val="0"/>
        <w:kinsoku/>
        <w:wordWrap/>
        <w:overflowPunct/>
        <w:topLinePunct w:val="0"/>
        <w:autoSpaceDE/>
        <w:autoSpaceDN/>
        <w:bidi w:val="0"/>
        <w:ind w:firstLine="420" w:firstLineChars="200"/>
        <w:textAlignment w:val="auto"/>
        <w:outlineLvl w:val="1"/>
        <w:rPr>
          <w:rFonts w:asciiTheme="minorEastAsia" w:hAnsiTheme="minorEastAsia" w:eastAsiaTheme="minorEastAsia" w:cstheme="minorEastAsia"/>
          <w:bCs/>
          <w:color w:val="000000"/>
          <w:szCs w:val="21"/>
        </w:rPr>
      </w:pPr>
      <w:r>
        <w:rPr>
          <w:rFonts w:hint="eastAsia" w:asciiTheme="minorEastAsia" w:hAnsiTheme="minorEastAsia" w:eastAsiaTheme="minorEastAsia" w:cstheme="minorEastAsia"/>
          <w:bCs/>
          <w:color w:val="000000"/>
          <w:szCs w:val="21"/>
        </w:rPr>
        <w:t>（5）信息化技术应用管理制度。服务机构应具有本服务机构信息管理系统操作办法，明确专人职责，能保证与管理系统、“12349”公益服务平台、社区居民、社区服务商等的联系畅通，能为社区提供方便快捷、优质放心的社区服务。</w:t>
      </w:r>
    </w:p>
    <w:p w14:paraId="7534BF9A">
      <w:pPr>
        <w:keepNext w:val="0"/>
        <w:keepLines w:val="0"/>
        <w:pageBreakBefore w:val="0"/>
        <w:widowControl w:val="0"/>
        <w:kinsoku/>
        <w:wordWrap/>
        <w:overflowPunct/>
        <w:topLinePunct w:val="0"/>
        <w:autoSpaceDE/>
        <w:autoSpaceDN/>
        <w:bidi w:val="0"/>
        <w:adjustRightInd w:val="0"/>
        <w:snapToGrid w:val="0"/>
        <w:ind w:firstLine="420" w:firstLineChars="200"/>
        <w:textAlignment w:val="auto"/>
        <w:rPr>
          <w:rFonts w:asciiTheme="minorEastAsia" w:hAnsiTheme="minorEastAsia" w:eastAsiaTheme="minorEastAsia" w:cstheme="minorEastAsia"/>
          <w:bCs/>
          <w:color w:val="000000"/>
          <w:szCs w:val="21"/>
        </w:rPr>
      </w:pPr>
      <w:r>
        <w:rPr>
          <w:rFonts w:hint="eastAsia" w:asciiTheme="minorEastAsia" w:hAnsiTheme="minorEastAsia" w:eastAsiaTheme="minorEastAsia" w:cstheme="minorEastAsia"/>
          <w:bCs/>
          <w:color w:val="000000"/>
          <w:szCs w:val="21"/>
        </w:rPr>
        <w:t>（6）志愿者（义工）管理制度。服务机构应具有包括志愿者申请、注册与服务准则，个人信息与志愿服务记录、查询、证明及管理，能力建设、回馈激励与惩罚退出等内容的志愿者管理制度。</w:t>
      </w:r>
    </w:p>
    <w:p w14:paraId="72CCD353">
      <w:pPr>
        <w:keepNext w:val="0"/>
        <w:keepLines w:val="0"/>
        <w:pageBreakBefore w:val="0"/>
        <w:widowControl w:val="0"/>
        <w:kinsoku/>
        <w:wordWrap/>
        <w:overflowPunct/>
        <w:topLinePunct w:val="0"/>
        <w:autoSpaceDE/>
        <w:autoSpaceDN/>
        <w:bidi w:val="0"/>
        <w:adjustRightInd w:val="0"/>
        <w:snapToGrid w:val="0"/>
        <w:ind w:firstLine="420" w:firstLineChars="200"/>
        <w:textAlignment w:val="auto"/>
        <w:rPr>
          <w:rFonts w:hint="eastAsia" w:asciiTheme="minorEastAsia" w:hAnsiTheme="minorEastAsia" w:eastAsiaTheme="minorEastAsia" w:cstheme="minorEastAsia"/>
          <w:bCs/>
          <w:color w:val="000000"/>
          <w:szCs w:val="21"/>
        </w:rPr>
      </w:pPr>
      <w:r>
        <w:rPr>
          <w:rFonts w:hint="eastAsia" w:asciiTheme="minorEastAsia" w:hAnsiTheme="minorEastAsia" w:eastAsiaTheme="minorEastAsia" w:cstheme="minorEastAsia"/>
          <w:bCs/>
          <w:color w:val="000000"/>
          <w:szCs w:val="21"/>
        </w:rPr>
        <w:t>（7）档案管理制度。服务机构应具有包含电子、纸质及其他媒介形式，涵盖行政、财务、人事、服务、评估等内容，以及对档案保管、使用与维护等方面做出详细规定的制度性文件。</w:t>
      </w:r>
    </w:p>
    <w:p w14:paraId="239BDB08">
      <w:pPr>
        <w:pStyle w:val="2"/>
      </w:pPr>
    </w:p>
    <w:p w14:paraId="34B83F7C">
      <w:pPr>
        <w:pStyle w:val="5"/>
        <w:numPr>
          <w:ilvl w:val="0"/>
          <w:numId w:val="8"/>
        </w:numPr>
        <w:spacing w:before="156" w:beforeLines="50" w:after="156" w:afterLines="50"/>
        <w:ind w:left="0" w:leftChars="0" w:firstLine="420" w:firstLineChars="0"/>
        <w:jc w:val="center"/>
        <w:rPr>
          <w:rFonts w:hint="eastAsia" w:ascii="黑体" w:hAnsi="宋体" w:eastAsia="黑体" w:cs="Times New Roman"/>
          <w:b w:val="0"/>
          <w:bCs w:val="0"/>
          <w:kern w:val="2"/>
          <w:sz w:val="28"/>
          <w:szCs w:val="24"/>
          <w:lang w:val="en-US" w:eastAsia="zh-CN" w:bidi="ar-SA"/>
        </w:rPr>
      </w:pPr>
      <w:r>
        <w:rPr>
          <w:rFonts w:hint="eastAsia" w:ascii="黑体" w:hAnsi="宋体" w:eastAsia="黑体" w:cs="Times New Roman"/>
          <w:b w:val="0"/>
          <w:bCs w:val="0"/>
          <w:kern w:val="2"/>
          <w:sz w:val="28"/>
          <w:szCs w:val="24"/>
          <w:lang w:val="en-US" w:eastAsia="zh-CN" w:bidi="ar-SA"/>
        </w:rPr>
        <w:t>商务要求</w:t>
      </w:r>
    </w:p>
    <w:p w14:paraId="2049F0CE">
      <w:pPr>
        <w:keepNext w:val="0"/>
        <w:keepLines w:val="0"/>
        <w:pageBreakBefore w:val="0"/>
        <w:widowControl w:val="0"/>
        <w:kinsoku/>
        <w:wordWrap/>
        <w:overflowPunct/>
        <w:topLinePunct w:val="0"/>
        <w:autoSpaceDE/>
        <w:autoSpaceDN/>
        <w:bidi w:val="0"/>
        <w:adjustRightInd/>
        <w:snapToGrid/>
        <w:ind w:firstLine="420" w:firstLineChars="200"/>
        <w:textAlignment w:val="auto"/>
        <w:outlineLvl w:val="0"/>
        <w:rPr>
          <w:rFonts w:ascii="宋体" w:hAnsi="宋体" w:cs="宋体"/>
          <w:color w:val="000000"/>
          <w:szCs w:val="21"/>
        </w:rPr>
      </w:pPr>
      <w:r>
        <w:rPr>
          <w:rFonts w:hint="eastAsia" w:ascii="宋体" w:hAnsi="宋体" w:cs="宋体"/>
          <w:b/>
          <w:color w:val="000000"/>
          <w:kern w:val="0"/>
          <w:szCs w:val="21"/>
        </w:rPr>
        <w:t>1.报价要求：</w:t>
      </w:r>
      <w:r>
        <w:rPr>
          <w:rFonts w:hint="eastAsia" w:ascii="宋体" w:hAnsi="宋体" w:cs="宋体"/>
          <w:color w:val="000000"/>
          <w:szCs w:val="21"/>
        </w:rPr>
        <w:t>本次项目报价为一年报价，本项目预算</w:t>
      </w:r>
      <w:r>
        <w:rPr>
          <w:rFonts w:hint="eastAsia" w:ascii="宋体" w:hAnsi="宋体" w:cs="宋体"/>
          <w:color w:val="000000"/>
          <w:szCs w:val="21"/>
          <w:lang w:val="en-US" w:eastAsia="zh-CN"/>
        </w:rPr>
        <w:t>金额</w:t>
      </w:r>
      <w:r>
        <w:rPr>
          <w:rFonts w:hint="eastAsia" w:ascii="宋体" w:hAnsi="宋体" w:cs="宋体"/>
          <w:color w:val="000000"/>
          <w:szCs w:val="21"/>
        </w:rPr>
        <w:t>为</w:t>
      </w:r>
      <w:r>
        <w:rPr>
          <w:rFonts w:hint="eastAsia" w:ascii="宋体" w:hAnsi="宋体" w:cs="宋体"/>
          <w:bCs/>
          <w:color w:val="000000"/>
          <w:kern w:val="0"/>
          <w:szCs w:val="21"/>
        </w:rPr>
        <w:t>（人民币）为</w:t>
      </w:r>
      <w:r>
        <w:rPr>
          <w:rFonts w:hint="eastAsia" w:ascii="宋体" w:hAnsi="宋体" w:cs="宋体"/>
          <w:bCs/>
          <w:color w:val="000000"/>
          <w:kern w:val="0"/>
          <w:szCs w:val="21"/>
          <w:lang w:val="en-US" w:eastAsia="zh-CN"/>
        </w:rPr>
        <w:t>244.5</w:t>
      </w:r>
      <w:r>
        <w:rPr>
          <w:rFonts w:hint="eastAsia" w:ascii="宋体" w:hAnsi="宋体" w:cs="宋体"/>
          <w:bCs/>
          <w:color w:val="000000"/>
          <w:kern w:val="0"/>
          <w:szCs w:val="21"/>
        </w:rPr>
        <w:t>万元/年。</w:t>
      </w:r>
      <w:r>
        <w:rPr>
          <w:rFonts w:hint="eastAsia" w:ascii="宋体" w:hAnsi="宋体" w:cs="宋体"/>
          <w:color w:val="000000"/>
          <w:szCs w:val="21"/>
        </w:rPr>
        <w:t>投标报价总价中，服务项目经费人力成本不得少于项目经费的85%，</w:t>
      </w:r>
      <w:r>
        <w:rPr>
          <w:rFonts w:hint="eastAsia" w:ascii="宋体" w:hAnsi="宋体" w:cs="宋体"/>
          <w:color w:val="000000"/>
          <w:kern w:val="0"/>
          <w:szCs w:val="21"/>
        </w:rPr>
        <w:t>督导经费、业务活动费、管理费、服务险和税费、人员培训费等不得超过项目经费的15%，</w:t>
      </w:r>
      <w:r>
        <w:rPr>
          <w:rFonts w:hint="eastAsia" w:ascii="宋体" w:hAnsi="宋体" w:cs="宋体"/>
          <w:color w:val="000000"/>
          <w:szCs w:val="21"/>
        </w:rPr>
        <w:t>投标人根据招标文件所提供的资料自行测算投标报价，一经中标，投标报价总价作为中标单位与采购单位签定的合同金额。如政府购买标准调整后，本项目依法根据中标价格比例进行调整。</w:t>
      </w:r>
    </w:p>
    <w:p w14:paraId="47E9310C">
      <w:pPr>
        <w:keepNext w:val="0"/>
        <w:keepLines w:val="0"/>
        <w:pageBreakBefore w:val="0"/>
        <w:widowControl w:val="0"/>
        <w:kinsoku/>
        <w:wordWrap/>
        <w:overflowPunct/>
        <w:topLinePunct w:val="0"/>
        <w:autoSpaceDE/>
        <w:autoSpaceDN/>
        <w:bidi w:val="0"/>
        <w:adjustRightInd/>
        <w:snapToGrid/>
        <w:ind w:firstLine="420" w:firstLineChars="200"/>
        <w:textAlignment w:val="auto"/>
        <w:outlineLvl w:val="0"/>
        <w:rPr>
          <w:rFonts w:ascii="宋体" w:hAnsi="宋体" w:cs="宋体"/>
          <w:color w:val="000000"/>
          <w:szCs w:val="21"/>
        </w:rPr>
      </w:pPr>
      <w:r>
        <w:rPr>
          <w:rFonts w:hint="eastAsia" w:ascii="宋体" w:hAnsi="宋体" w:cs="宋体"/>
          <w:b/>
          <w:bCs/>
          <w:color w:val="000000"/>
          <w:szCs w:val="21"/>
        </w:rPr>
        <w:t>2.</w:t>
      </w:r>
      <w:r>
        <w:rPr>
          <w:rFonts w:hint="eastAsia" w:ascii="宋体" w:hAnsi="宋体" w:cs="宋体"/>
          <w:b/>
          <w:color w:val="000000"/>
          <w:kern w:val="0"/>
          <w:szCs w:val="21"/>
        </w:rPr>
        <w:t>服务期限：</w:t>
      </w:r>
      <w:r>
        <w:rPr>
          <w:rFonts w:hint="eastAsia" w:ascii="宋体" w:hAnsi="宋体" w:cs="宋体"/>
          <w:bCs/>
          <w:color w:val="000000"/>
          <w:kern w:val="0"/>
          <w:szCs w:val="21"/>
        </w:rPr>
        <w:t>本项目有效期为</w:t>
      </w:r>
      <w:r>
        <w:rPr>
          <w:rFonts w:hint="eastAsia" w:ascii="宋体" w:hAnsi="宋体" w:cs="宋体"/>
          <w:bCs/>
          <w:color w:val="000000"/>
          <w:kern w:val="0"/>
          <w:szCs w:val="21"/>
          <w:lang w:val="en-US" w:eastAsia="zh-CN"/>
        </w:rPr>
        <w:t>24个月</w:t>
      </w:r>
      <w:r>
        <w:rPr>
          <w:rFonts w:hint="eastAsia" w:ascii="宋体" w:hAnsi="宋体" w:cs="宋体"/>
          <w:bCs/>
          <w:color w:val="000000"/>
          <w:kern w:val="0"/>
          <w:szCs w:val="21"/>
        </w:rPr>
        <w:t>，</w:t>
      </w:r>
      <w:r>
        <w:rPr>
          <w:rFonts w:hint="eastAsia" w:ascii="宋体" w:hAnsi="宋体" w:cs="宋体"/>
          <w:bCs/>
          <w:color w:val="000000"/>
          <w:kern w:val="0"/>
          <w:szCs w:val="21"/>
          <w:highlight w:val="yellow"/>
        </w:rPr>
        <w:t>服务期限为202</w:t>
      </w:r>
      <w:r>
        <w:rPr>
          <w:rFonts w:hint="eastAsia" w:ascii="宋体" w:hAnsi="宋体" w:cs="宋体"/>
          <w:bCs/>
          <w:color w:val="000000"/>
          <w:kern w:val="0"/>
          <w:szCs w:val="21"/>
          <w:highlight w:val="yellow"/>
          <w:lang w:eastAsia="zh-CN"/>
        </w:rPr>
        <w:t>4</w:t>
      </w:r>
      <w:r>
        <w:rPr>
          <w:rFonts w:hint="eastAsia" w:ascii="宋体" w:hAnsi="宋体" w:cs="宋体"/>
          <w:bCs/>
          <w:color w:val="000000"/>
          <w:kern w:val="0"/>
          <w:szCs w:val="21"/>
          <w:highlight w:val="yellow"/>
        </w:rPr>
        <w:t>年10月至2026年10月，</w:t>
      </w:r>
      <w:r>
        <w:rPr>
          <w:rFonts w:hint="eastAsia" w:ascii="宋体" w:hAnsi="宋体" w:cs="宋体"/>
          <w:bCs/>
          <w:color w:val="000000"/>
          <w:kern w:val="0"/>
          <w:szCs w:val="21"/>
        </w:rPr>
        <w:t>期满后，应重新进行招标。服务合同需一年一签。</w:t>
      </w:r>
    </w:p>
    <w:p w14:paraId="3EF8506A">
      <w:pPr>
        <w:keepNext w:val="0"/>
        <w:keepLines w:val="0"/>
        <w:pageBreakBefore w:val="0"/>
        <w:widowControl w:val="0"/>
        <w:kinsoku/>
        <w:wordWrap/>
        <w:overflowPunct/>
        <w:topLinePunct w:val="0"/>
        <w:autoSpaceDE/>
        <w:autoSpaceDN/>
        <w:bidi w:val="0"/>
        <w:adjustRightInd/>
        <w:snapToGrid/>
        <w:ind w:firstLine="420" w:firstLineChars="200"/>
        <w:textAlignment w:val="auto"/>
        <w:outlineLvl w:val="0"/>
        <w:rPr>
          <w:rFonts w:ascii="宋体" w:hAnsi="宋体" w:cs="宋体"/>
          <w:b/>
          <w:color w:val="000000"/>
          <w:kern w:val="0"/>
          <w:szCs w:val="21"/>
          <w:highlight w:val="yellow"/>
        </w:rPr>
      </w:pPr>
      <w:r>
        <w:rPr>
          <w:rFonts w:hint="eastAsia" w:ascii="宋体" w:hAnsi="宋体" w:cs="宋体"/>
          <w:b/>
          <w:color w:val="000000"/>
          <w:kern w:val="0"/>
          <w:szCs w:val="21"/>
          <w:highlight w:val="yellow"/>
        </w:rPr>
        <w:t>3.付款方式：</w:t>
      </w:r>
      <w:r>
        <w:rPr>
          <w:rFonts w:hint="eastAsia" w:ascii="宋体" w:hAnsi="宋体" w:cs="宋体"/>
          <w:b/>
          <w:color w:val="000000"/>
          <w:kern w:val="0"/>
          <w:szCs w:val="21"/>
          <w:highlight w:val="yellow"/>
          <w:lang w:eastAsia="zh-CN"/>
        </w:rPr>
        <w:t>共分三期支付：</w:t>
      </w:r>
      <w:r>
        <w:rPr>
          <w:rFonts w:hint="eastAsia" w:ascii="宋体" w:hAnsi="宋体" w:cs="宋体"/>
          <w:b w:val="0"/>
          <w:bCs/>
          <w:color w:val="000000"/>
          <w:kern w:val="0"/>
          <w:szCs w:val="21"/>
          <w:highlight w:val="yellow"/>
          <w:lang w:eastAsia="zh-CN"/>
        </w:rPr>
        <w:t>第一期为</w:t>
      </w:r>
      <w:r>
        <w:rPr>
          <w:rFonts w:hint="eastAsia" w:ascii="宋体" w:hAnsi="宋体"/>
          <w:szCs w:val="21"/>
          <w:highlight w:val="yellow"/>
        </w:rPr>
        <w:t>合同签订后，支付合同总价</w:t>
      </w:r>
      <w:r>
        <w:rPr>
          <w:rFonts w:hint="eastAsia" w:ascii="宋体" w:hAnsi="宋体"/>
          <w:szCs w:val="21"/>
          <w:highlight w:val="yellow"/>
          <w:u w:val="single"/>
          <w:lang w:val="en-US" w:eastAsia="zh-CN"/>
        </w:rPr>
        <w:t>30</w:t>
      </w:r>
      <w:r>
        <w:rPr>
          <w:rFonts w:hint="eastAsia" w:ascii="宋体" w:hAnsi="宋体"/>
          <w:szCs w:val="21"/>
          <w:highlight w:val="yellow"/>
        </w:rPr>
        <w:t>%的款项</w:t>
      </w:r>
      <w:r>
        <w:rPr>
          <w:rFonts w:hint="eastAsia" w:ascii="宋体" w:hAnsi="宋体"/>
          <w:szCs w:val="21"/>
          <w:highlight w:val="yellow"/>
          <w:lang w:eastAsia="zh-CN"/>
        </w:rPr>
        <w:t>；第二期为</w:t>
      </w:r>
      <w:r>
        <w:rPr>
          <w:rFonts w:hint="eastAsia" w:ascii="宋体" w:hAnsi="宋体"/>
          <w:szCs w:val="21"/>
          <w:highlight w:val="yellow"/>
          <w:lang w:val="en-US" w:eastAsia="zh-CN"/>
        </w:rPr>
        <w:t>2025年3月中旬，</w:t>
      </w:r>
      <w:r>
        <w:rPr>
          <w:rFonts w:hint="eastAsia" w:ascii="宋体" w:hAnsi="宋体"/>
          <w:szCs w:val="21"/>
          <w:highlight w:val="yellow"/>
        </w:rPr>
        <w:t>支付合同总价</w:t>
      </w:r>
      <w:r>
        <w:rPr>
          <w:rFonts w:hint="eastAsia" w:ascii="宋体" w:hAnsi="宋体"/>
          <w:szCs w:val="21"/>
          <w:highlight w:val="yellow"/>
          <w:u w:val="single"/>
          <w:lang w:val="en-US" w:eastAsia="zh-CN"/>
        </w:rPr>
        <w:t>55</w:t>
      </w:r>
      <w:r>
        <w:rPr>
          <w:rFonts w:hint="eastAsia" w:ascii="宋体" w:hAnsi="宋体"/>
          <w:szCs w:val="21"/>
          <w:highlight w:val="yellow"/>
        </w:rPr>
        <w:t>%的款项</w:t>
      </w:r>
      <w:r>
        <w:rPr>
          <w:rFonts w:hint="eastAsia" w:ascii="宋体" w:hAnsi="宋体" w:cs="宋体"/>
          <w:bCs/>
          <w:color w:val="000000"/>
          <w:kern w:val="0"/>
          <w:szCs w:val="21"/>
          <w:highlight w:val="yellow"/>
          <w:lang w:eastAsia="zh-CN"/>
        </w:rPr>
        <w:t>；第三期为项目结束并验收通过后，支付合同总价</w:t>
      </w:r>
      <w:r>
        <w:rPr>
          <w:rFonts w:hint="eastAsia" w:ascii="宋体" w:hAnsi="宋体" w:cs="宋体"/>
          <w:bCs/>
          <w:color w:val="000000"/>
          <w:kern w:val="0"/>
          <w:szCs w:val="21"/>
          <w:highlight w:val="yellow"/>
          <w:u w:val="single"/>
          <w:lang w:val="en-US" w:eastAsia="zh-CN"/>
        </w:rPr>
        <w:t>15</w:t>
      </w:r>
      <w:r>
        <w:rPr>
          <w:rFonts w:hint="eastAsia" w:ascii="宋体" w:hAnsi="宋体" w:cs="宋体"/>
          <w:bCs/>
          <w:color w:val="000000"/>
          <w:kern w:val="0"/>
          <w:szCs w:val="21"/>
          <w:highlight w:val="yellow"/>
          <w:lang w:val="en-US" w:eastAsia="zh-CN"/>
        </w:rPr>
        <w:t>%的款项。</w:t>
      </w:r>
    </w:p>
    <w:p w14:paraId="4A15DB8B">
      <w:pPr>
        <w:keepNext w:val="0"/>
        <w:keepLines w:val="0"/>
        <w:pageBreakBefore w:val="0"/>
        <w:widowControl w:val="0"/>
        <w:kinsoku/>
        <w:wordWrap/>
        <w:overflowPunct/>
        <w:topLinePunct w:val="0"/>
        <w:autoSpaceDE/>
        <w:autoSpaceDN/>
        <w:bidi w:val="0"/>
        <w:adjustRightInd/>
        <w:snapToGrid/>
        <w:ind w:firstLine="420" w:firstLineChars="200"/>
        <w:textAlignment w:val="auto"/>
        <w:outlineLvl w:val="0"/>
        <w:rPr>
          <w:rFonts w:ascii="宋体" w:hAnsi="宋体" w:cs="宋体"/>
          <w:b/>
          <w:color w:val="000000"/>
          <w:kern w:val="0"/>
          <w:szCs w:val="21"/>
        </w:rPr>
      </w:pPr>
      <w:r>
        <w:rPr>
          <w:rFonts w:hint="eastAsia" w:ascii="宋体" w:hAnsi="宋体" w:cs="宋体"/>
          <w:b/>
          <w:color w:val="000000"/>
          <w:kern w:val="0"/>
          <w:szCs w:val="21"/>
        </w:rPr>
        <w:t>4.售后服务要求：</w:t>
      </w:r>
      <w:r>
        <w:rPr>
          <w:rFonts w:hint="eastAsia" w:ascii="宋体" w:hAnsi="宋体" w:cs="宋体"/>
          <w:bCs/>
          <w:color w:val="000000"/>
          <w:kern w:val="0"/>
          <w:szCs w:val="21"/>
        </w:rPr>
        <w:t xml:space="preserve">按照服务协议内容及相关规定履行。 </w:t>
      </w:r>
    </w:p>
    <w:p w14:paraId="02D75407">
      <w:pPr>
        <w:keepNext w:val="0"/>
        <w:keepLines w:val="0"/>
        <w:pageBreakBefore w:val="0"/>
        <w:widowControl w:val="0"/>
        <w:kinsoku/>
        <w:wordWrap/>
        <w:overflowPunct/>
        <w:topLinePunct w:val="0"/>
        <w:autoSpaceDE/>
        <w:autoSpaceDN/>
        <w:bidi w:val="0"/>
        <w:adjustRightInd/>
        <w:snapToGrid/>
        <w:ind w:firstLine="420" w:firstLineChars="200"/>
        <w:textAlignment w:val="auto"/>
        <w:outlineLvl w:val="1"/>
        <w:rPr>
          <w:rFonts w:ascii="宋体" w:hAnsi="宋体" w:cs="宋体"/>
          <w:b/>
          <w:szCs w:val="21"/>
        </w:rPr>
      </w:pPr>
      <w:r>
        <w:rPr>
          <w:rFonts w:hint="eastAsia" w:ascii="宋体" w:hAnsi="宋体" w:cs="宋体"/>
          <w:b/>
          <w:color w:val="000000"/>
          <w:kern w:val="0"/>
          <w:szCs w:val="21"/>
        </w:rPr>
        <w:t>5.违约责任：</w:t>
      </w:r>
      <w:r>
        <w:rPr>
          <w:rFonts w:hint="eastAsia" w:ascii="宋体" w:hAnsi="宋体" w:cs="宋体"/>
          <w:bCs/>
          <w:color w:val="000000"/>
          <w:szCs w:val="21"/>
        </w:rPr>
        <w:t>任何一方违反协议约定，另一方均有权要求其赔偿因违约造成的损失。</w:t>
      </w:r>
    </w:p>
    <w:p w14:paraId="2622BCE5">
      <w:r>
        <w:rPr>
          <w:rFonts w:hint="eastAsia"/>
          <w:b/>
          <w:sz w:val="28"/>
          <w:szCs w:val="28"/>
        </w:rPr>
        <w:br w:type="page"/>
      </w:r>
    </w:p>
    <w:p w14:paraId="6FED0269">
      <w:pPr>
        <w:pStyle w:val="6"/>
        <w:spacing w:after="140" w:line="360" w:lineRule="auto"/>
        <w:jc w:val="center"/>
        <w:rPr>
          <w:rFonts w:ascii="黑体" w:eastAsia="黑体"/>
          <w:sz w:val="21"/>
          <w:szCs w:val="21"/>
        </w:rPr>
      </w:pPr>
      <w:r>
        <w:rPr>
          <w:rFonts w:hint="eastAsia" w:ascii="黑体" w:eastAsia="黑体"/>
          <w:sz w:val="24"/>
          <w:szCs w:val="24"/>
        </w:rPr>
        <w:t>其他重要条款</w:t>
      </w:r>
    </w:p>
    <w:p w14:paraId="1768BEED">
      <w:pPr>
        <w:keepNext w:val="0"/>
        <w:keepLines w:val="0"/>
        <w:pageBreakBefore w:val="0"/>
        <w:widowControl w:val="0"/>
        <w:kinsoku/>
        <w:wordWrap/>
        <w:overflowPunct/>
        <w:topLinePunct w:val="0"/>
        <w:autoSpaceDE/>
        <w:autoSpaceDN/>
        <w:bidi w:val="0"/>
        <w:ind w:firstLine="420" w:firstLineChars="200"/>
        <w:jc w:val="left"/>
        <w:textAlignment w:val="auto"/>
        <w:outlineLvl w:val="1"/>
        <w:rPr>
          <w:rFonts w:hint="eastAsia" w:asciiTheme="minorEastAsia" w:hAnsiTheme="minorEastAsia" w:eastAsiaTheme="minorEastAsia" w:cstheme="minorEastAsia"/>
          <w:bCs/>
          <w:color w:val="000000"/>
          <w:szCs w:val="21"/>
        </w:rPr>
      </w:pPr>
      <w:r>
        <w:rPr>
          <w:rFonts w:hint="eastAsia" w:asciiTheme="minorEastAsia" w:hAnsiTheme="minorEastAsia" w:eastAsiaTheme="minorEastAsia" w:cstheme="minorEastAsia"/>
          <w:bCs/>
          <w:color w:val="000000"/>
          <w:szCs w:val="21"/>
        </w:rPr>
        <w:t>1、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价。</w:t>
      </w:r>
    </w:p>
    <w:p w14:paraId="123B87F1">
      <w:pPr>
        <w:keepNext w:val="0"/>
        <w:keepLines w:val="0"/>
        <w:pageBreakBefore w:val="0"/>
        <w:widowControl w:val="0"/>
        <w:kinsoku/>
        <w:wordWrap/>
        <w:overflowPunct/>
        <w:topLinePunct w:val="0"/>
        <w:autoSpaceDE/>
        <w:autoSpaceDN/>
        <w:bidi w:val="0"/>
        <w:ind w:firstLine="420" w:firstLineChars="200"/>
        <w:jc w:val="left"/>
        <w:textAlignment w:val="auto"/>
        <w:outlineLvl w:val="1"/>
        <w:rPr>
          <w:rFonts w:hint="eastAsia" w:asciiTheme="minorEastAsia" w:hAnsiTheme="minorEastAsia" w:eastAsiaTheme="minorEastAsia" w:cstheme="minorEastAsia"/>
          <w:bCs/>
          <w:color w:val="000000"/>
          <w:szCs w:val="21"/>
        </w:rPr>
      </w:pPr>
      <w:r>
        <w:rPr>
          <w:rFonts w:hint="eastAsia" w:asciiTheme="minorEastAsia" w:hAnsiTheme="minorEastAsia" w:eastAsiaTheme="minorEastAsia" w:cstheme="minorEastAsia"/>
          <w:bCs/>
          <w:color w:val="000000"/>
          <w:szCs w:val="21"/>
        </w:rPr>
        <w:t>2、投标人应充分了解项目的位置、情况、道路及任何其它足以影响投标报价的情况，任何因忽视或误解项目情况而导致的索赔或服务期限延长申请将不获批准。</w:t>
      </w:r>
    </w:p>
    <w:p w14:paraId="3946EA35">
      <w:pPr>
        <w:keepNext w:val="0"/>
        <w:keepLines w:val="0"/>
        <w:pageBreakBefore w:val="0"/>
        <w:widowControl w:val="0"/>
        <w:kinsoku/>
        <w:wordWrap/>
        <w:overflowPunct/>
        <w:topLinePunct w:val="0"/>
        <w:autoSpaceDE/>
        <w:autoSpaceDN/>
        <w:bidi w:val="0"/>
        <w:ind w:firstLine="420" w:firstLineChars="200"/>
        <w:jc w:val="left"/>
        <w:textAlignment w:val="auto"/>
        <w:outlineLvl w:val="1"/>
        <w:rPr>
          <w:rFonts w:hint="eastAsia" w:asciiTheme="minorEastAsia" w:hAnsiTheme="minorEastAsia" w:eastAsiaTheme="minorEastAsia" w:cstheme="minorEastAsia"/>
          <w:bCs/>
          <w:color w:val="000000"/>
          <w:szCs w:val="21"/>
        </w:rPr>
      </w:pPr>
      <w:r>
        <w:rPr>
          <w:rFonts w:hint="eastAsia" w:asciiTheme="minorEastAsia" w:hAnsiTheme="minorEastAsia" w:eastAsiaTheme="minorEastAsia" w:cstheme="minorEastAsia"/>
          <w:bCs/>
          <w:color w:val="000000"/>
          <w:szCs w:val="21"/>
        </w:rPr>
        <w:t>3、投标人不得期望通过索赔等方式获取补偿，否则，除可能遭到拒绝外，还可能将被作为不良行为记录在案，并可能影响其以后参加政府采购的项目投标。各投标人在投标报价时，应充分考虑投标报价的风险。</w:t>
      </w:r>
    </w:p>
    <w:p w14:paraId="73A53198">
      <w:pPr>
        <w:keepNext w:val="0"/>
        <w:keepLines w:val="0"/>
        <w:pageBreakBefore w:val="0"/>
        <w:widowControl w:val="0"/>
        <w:kinsoku/>
        <w:wordWrap/>
        <w:overflowPunct/>
        <w:topLinePunct w:val="0"/>
        <w:autoSpaceDE/>
        <w:autoSpaceDN/>
        <w:bidi w:val="0"/>
        <w:ind w:firstLine="420" w:firstLineChars="200"/>
        <w:jc w:val="left"/>
        <w:textAlignment w:val="auto"/>
        <w:outlineLvl w:val="1"/>
        <w:rPr>
          <w:rFonts w:hint="eastAsia" w:asciiTheme="minorEastAsia" w:hAnsiTheme="minorEastAsia" w:eastAsiaTheme="minorEastAsia" w:cstheme="minorEastAsia"/>
          <w:bCs/>
          <w:color w:val="000000"/>
          <w:szCs w:val="21"/>
        </w:rPr>
      </w:pPr>
      <w:r>
        <w:rPr>
          <w:rFonts w:hint="eastAsia" w:asciiTheme="minorEastAsia" w:hAnsiTheme="minorEastAsia" w:eastAsiaTheme="minorEastAsia" w:cstheme="minorEastAsia"/>
          <w:bCs/>
          <w:color w:val="000000"/>
          <w:szCs w:val="21"/>
        </w:rPr>
        <w:t>4、除政府采购合同继续履行将损害国家利益和社会公共利益外，双方当事人不得擅自变更、中止或者终止合同。</w:t>
      </w:r>
    </w:p>
    <w:p w14:paraId="58005EED">
      <w:pPr>
        <w:keepNext w:val="0"/>
        <w:keepLines w:val="0"/>
        <w:pageBreakBefore w:val="0"/>
        <w:widowControl w:val="0"/>
        <w:kinsoku/>
        <w:wordWrap/>
        <w:overflowPunct/>
        <w:topLinePunct w:val="0"/>
        <w:autoSpaceDE/>
        <w:autoSpaceDN/>
        <w:bidi w:val="0"/>
        <w:ind w:firstLine="420" w:firstLineChars="200"/>
        <w:jc w:val="left"/>
        <w:textAlignment w:val="auto"/>
        <w:outlineLvl w:val="1"/>
        <w:rPr>
          <w:rFonts w:hint="eastAsia" w:asciiTheme="minorEastAsia" w:hAnsiTheme="minorEastAsia" w:eastAsiaTheme="minorEastAsia" w:cstheme="minorEastAsia"/>
          <w:bCs/>
          <w:color w:val="000000"/>
          <w:szCs w:val="21"/>
        </w:rPr>
        <w:sectPr>
          <w:pgSz w:w="11906" w:h="16838"/>
          <w:pgMar w:top="720" w:right="720" w:bottom="720" w:left="720" w:header="851" w:footer="992" w:gutter="0"/>
          <w:cols w:space="720" w:num="1"/>
          <w:docGrid w:type="lines" w:linePitch="312" w:charSpace="0"/>
        </w:sectPr>
      </w:pPr>
      <w:r>
        <w:rPr>
          <w:rFonts w:hint="eastAsia" w:asciiTheme="minorEastAsia" w:hAnsiTheme="minorEastAsia" w:eastAsiaTheme="minorEastAsia" w:cstheme="minorEastAsia"/>
          <w:bCs/>
          <w:color w:val="000000"/>
          <w:szCs w:val="21"/>
        </w:rPr>
        <w:t>5、“信用中国”中“信用服务”栏的“重大税收违法失信主体”“失信被执行人”，“中国政府采购网”中的“政府采购严重违法失信行为记录名单”，以及“深圳市政府采购监管网”为供应商信用信息的查询渠道，相关信息以开标当日的查询结果为准。</w:t>
      </w:r>
    </w:p>
    <w:p w14:paraId="3B42AB6A">
      <w:pPr>
        <w:pStyle w:val="3"/>
        <w:rPr>
          <w:rFonts w:hint="eastAsia"/>
        </w:rPr>
      </w:pPr>
    </w:p>
    <w:p w14:paraId="5DE093D1">
      <w:pPr>
        <w:keepNext w:val="0"/>
        <w:keepLines w:val="0"/>
        <w:pageBreakBefore w:val="0"/>
        <w:widowControl w:val="0"/>
        <w:kinsoku/>
        <w:wordWrap/>
        <w:overflowPunct/>
        <w:topLinePunct w:val="0"/>
        <w:autoSpaceDE/>
        <w:autoSpaceDN/>
        <w:bidi w:val="0"/>
        <w:ind w:firstLine="560" w:firstLineChars="200"/>
        <w:jc w:val="center"/>
        <w:textAlignment w:val="auto"/>
        <w:outlineLvl w:val="1"/>
        <w:rPr>
          <w:rFonts w:hint="eastAsia" w:ascii="黑体" w:hAnsi="黑体" w:eastAsia="黑体" w:cs="黑体"/>
          <w:b w:val="0"/>
          <w:bCs w:val="0"/>
          <w:sz w:val="28"/>
          <w:szCs w:val="28"/>
          <w:lang w:val="en-US" w:eastAsia="zh-CN"/>
        </w:rPr>
      </w:pPr>
      <w:r>
        <w:rPr>
          <w:rFonts w:hint="eastAsia" w:ascii="黑体" w:hAnsi="黑体" w:eastAsia="黑体" w:cs="黑体"/>
          <w:b w:val="0"/>
          <w:bCs w:val="0"/>
          <w:kern w:val="0"/>
          <w:sz w:val="28"/>
          <w:szCs w:val="28"/>
          <w:lang w:val="en-US" w:eastAsia="zh-CN" w:bidi="ar-SA"/>
        </w:rPr>
        <w:t>第四章 投标文件组成要求及格式</w:t>
      </w:r>
    </w:p>
    <w:p w14:paraId="64497FE3">
      <w:pPr>
        <w:rPr>
          <w:rStyle w:val="237"/>
          <w:rFonts w:hint="eastAsia"/>
          <w:sz w:val="24"/>
        </w:rPr>
      </w:pPr>
    </w:p>
    <w:p w14:paraId="57AF6302">
      <w:pPr>
        <w:rPr>
          <w:rStyle w:val="237"/>
          <w:sz w:val="24"/>
        </w:rPr>
      </w:pPr>
      <w:r>
        <w:rPr>
          <w:rStyle w:val="237"/>
          <w:rFonts w:hint="eastAsia"/>
          <w:sz w:val="24"/>
        </w:rPr>
        <w:t>特别提醒：</w:t>
      </w:r>
    </w:p>
    <w:p w14:paraId="3DE7CAC9">
      <w:pPr>
        <w:ind w:firstLine="480" w:firstLineChars="200"/>
        <w:rPr>
          <w:rFonts w:ascii="仿宋_GB2312" w:eastAsia="仿宋_GB2312"/>
          <w:sz w:val="24"/>
        </w:rPr>
      </w:pPr>
      <w:r>
        <w:rPr>
          <w:rFonts w:hint="eastAsia" w:ascii="仿宋_GB2312" w:eastAsia="仿宋_GB2312"/>
          <w:sz w:val="24"/>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14:paraId="580F6C7B">
      <w:pPr>
        <w:rPr>
          <w:rFonts w:ascii="仿宋_GB2312" w:eastAsia="仿宋_GB2312"/>
          <w:sz w:val="24"/>
        </w:rPr>
      </w:pPr>
      <w:r>
        <w:rPr>
          <w:rFonts w:hint="eastAsia" w:ascii="仿宋_GB2312" w:eastAsia="仿宋_GB2312"/>
          <w:sz w:val="24"/>
        </w:rPr>
        <w:t xml:space="preserve">    投标文件正文（信息公开部分）必须编制于“正文（公开部分）”，投标文件附件（非信息公开部分）必须编制于“附件（不公开部分）”，如下图所示。</w:t>
      </w:r>
    </w:p>
    <w:p w14:paraId="04BEDB98">
      <w:pPr>
        <w:widowControl/>
        <w:jc w:val="center"/>
      </w:pPr>
      <w:r>
        <w:drawing>
          <wp:inline distT="0" distB="0" distL="114300" distR="114300">
            <wp:extent cx="5203190" cy="4043045"/>
            <wp:effectExtent l="0" t="0" r="16510" b="14605"/>
            <wp:docPr id="8" name="图片 1" descr="c66f322b8feee32c1a3f0d48f365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descr="c66f322b8feee32c1a3f0d48f365c82"/>
                    <pic:cNvPicPr>
                      <a:picLocks noChangeAspect="1"/>
                    </pic:cNvPicPr>
                  </pic:nvPicPr>
                  <pic:blipFill>
                    <a:blip r:embed="rId7"/>
                    <a:stretch>
                      <a:fillRect/>
                    </a:stretch>
                  </pic:blipFill>
                  <pic:spPr>
                    <a:xfrm>
                      <a:off x="0" y="0"/>
                      <a:ext cx="5203190" cy="4043045"/>
                    </a:xfrm>
                    <a:prstGeom prst="rect">
                      <a:avLst/>
                    </a:prstGeom>
                  </pic:spPr>
                </pic:pic>
              </a:graphicData>
            </a:graphic>
          </wp:inline>
        </w:drawing>
      </w:r>
    </w:p>
    <w:p w14:paraId="2FAB2373">
      <w:pPr>
        <w:ind w:firstLine="480" w:firstLineChars="200"/>
        <w:rPr>
          <w:rFonts w:ascii="仿宋_GB2312" w:eastAsia="仿宋_GB2312"/>
          <w:sz w:val="24"/>
        </w:rPr>
      </w:pPr>
      <w:r>
        <w:rPr>
          <w:rFonts w:hint="eastAsia" w:ascii="仿宋_GB2312" w:eastAsia="仿宋_GB2312"/>
          <w:sz w:val="24"/>
        </w:rPr>
        <w:t>政府集中采购机构公布投标文件正文（信息公开部分）时为计算机截取信息自动公布，</w:t>
      </w:r>
      <w:r>
        <w:rPr>
          <w:rFonts w:hint="eastAsia" w:ascii="仿宋_GB2312" w:eastAsia="仿宋_GB2312"/>
          <w:b/>
          <w:bCs/>
          <w:sz w:val="24"/>
        </w:rPr>
        <w:t>如投标人误将涉及个人隐私的信息放入投标文件正文，相关后果由投标人自负；</w:t>
      </w:r>
      <w:r>
        <w:rPr>
          <w:rFonts w:hint="eastAsia" w:ascii="仿宋_GB2312" w:eastAsia="仿宋_GB2312"/>
          <w:sz w:val="24"/>
          <w:highlight w:val="yellow"/>
        </w:rPr>
        <w:t>如投标人将必须放于投标文件正文（信息公开部分）的内容放入投标文件附件（非信息公开部分），将作投标无效处理。</w:t>
      </w:r>
    </w:p>
    <w:p w14:paraId="50B28E20">
      <w:pPr>
        <w:ind w:firstLine="480" w:firstLineChars="200"/>
        <w:rPr>
          <w:rFonts w:ascii="仿宋_GB2312" w:eastAsia="仿宋_GB2312"/>
          <w:sz w:val="24"/>
        </w:rPr>
      </w:pPr>
    </w:p>
    <w:p w14:paraId="321AEC38">
      <w:pPr>
        <w:ind w:firstLine="480" w:firstLineChars="200"/>
        <w:rPr>
          <w:rFonts w:ascii="宋体" w:hAnsi="宋体"/>
          <w:b/>
          <w:sz w:val="24"/>
        </w:rPr>
      </w:pPr>
    </w:p>
    <w:p w14:paraId="0D79D884">
      <w:pPr>
        <w:rPr>
          <w:rFonts w:hint="eastAsia" w:ascii="宋体" w:hAnsi="宋体" w:eastAsia="宋体" w:cs="宋体"/>
          <w:sz w:val="24"/>
        </w:rPr>
      </w:pPr>
      <w:r>
        <w:rPr>
          <w:rFonts w:hint="eastAsia" w:ascii="宋体" w:hAnsi="宋体" w:eastAsia="宋体" w:cs="宋体"/>
          <w:b/>
          <w:bCs/>
          <w:sz w:val="32"/>
          <w:szCs w:val="32"/>
        </w:rPr>
        <w:t>投标文件组成：</w:t>
      </w:r>
    </w:p>
    <w:p w14:paraId="0BF9172F">
      <w:pPr>
        <w:ind w:firstLine="1200" w:firstLineChars="500"/>
        <w:outlineLvl w:val="0"/>
        <w:rPr>
          <w:rFonts w:hint="eastAsia" w:ascii="宋体" w:hAnsi="宋体" w:eastAsia="宋体" w:cs="宋体"/>
          <w:sz w:val="24"/>
        </w:rPr>
      </w:pPr>
      <w:r>
        <w:rPr>
          <w:rFonts w:hint="eastAsia" w:ascii="宋体" w:hAnsi="宋体" w:eastAsia="宋体" w:cs="宋体"/>
          <w:sz w:val="24"/>
        </w:rPr>
        <w:t>1.投标文件正文</w:t>
      </w:r>
      <w:r>
        <w:rPr>
          <w:rFonts w:hint="eastAsia" w:ascii="宋体" w:hAnsi="宋体" w:eastAsia="宋体" w:cs="宋体"/>
          <w:b/>
          <w:color w:val="FF0000"/>
          <w:sz w:val="24"/>
        </w:rPr>
        <w:t>（信息公开部分）</w:t>
      </w:r>
      <w:r>
        <w:rPr>
          <w:rFonts w:hint="eastAsia" w:ascii="宋体" w:hAnsi="宋体" w:eastAsia="宋体" w:cs="宋体"/>
          <w:sz w:val="24"/>
        </w:rPr>
        <w:t>，主要包括以下内容：</w:t>
      </w:r>
    </w:p>
    <w:p w14:paraId="17D62B8D">
      <w:pPr>
        <w:keepNext w:val="0"/>
        <w:keepLines w:val="0"/>
        <w:pageBreakBefore w:val="0"/>
        <w:widowControl w:val="0"/>
        <w:numPr>
          <w:ilvl w:val="0"/>
          <w:numId w:val="9"/>
        </w:numPr>
        <w:kinsoku/>
        <w:wordWrap/>
        <w:overflowPunct/>
        <w:topLinePunct w:val="0"/>
        <w:autoSpaceDE/>
        <w:autoSpaceDN/>
        <w:bidi w:val="0"/>
        <w:adjustRightInd/>
        <w:snapToGrid/>
        <w:ind w:left="0" w:leftChars="0" w:firstLine="2100" w:firstLineChars="1000"/>
        <w:textAlignment w:val="auto"/>
        <w:rPr>
          <w:rFonts w:hint="eastAsia" w:ascii="宋体" w:hAnsi="宋体" w:eastAsia="宋体" w:cs="宋体"/>
          <w:szCs w:val="21"/>
        </w:rPr>
      </w:pPr>
      <w:bookmarkStart w:id="15" w:name="_Hlk72070784"/>
      <w:r>
        <w:rPr>
          <w:rFonts w:hint="eastAsia" w:ascii="宋体" w:hAnsi="宋体" w:eastAsia="宋体" w:cs="宋体"/>
          <w:szCs w:val="21"/>
        </w:rPr>
        <w:t>投标函</w:t>
      </w:r>
      <w:bookmarkEnd w:id="15"/>
    </w:p>
    <w:p w14:paraId="383BA45A">
      <w:pPr>
        <w:keepNext w:val="0"/>
        <w:keepLines w:val="0"/>
        <w:pageBreakBefore w:val="0"/>
        <w:widowControl w:val="0"/>
        <w:numPr>
          <w:ilvl w:val="0"/>
          <w:numId w:val="9"/>
        </w:numPr>
        <w:kinsoku/>
        <w:wordWrap/>
        <w:overflowPunct/>
        <w:topLinePunct w:val="0"/>
        <w:autoSpaceDE/>
        <w:autoSpaceDN/>
        <w:bidi w:val="0"/>
        <w:adjustRightInd/>
        <w:snapToGrid/>
        <w:ind w:left="0" w:leftChars="0" w:firstLine="2100" w:firstLineChars="1000"/>
        <w:textAlignment w:val="auto"/>
        <w:rPr>
          <w:rFonts w:hint="eastAsia" w:ascii="宋体" w:hAnsi="宋体" w:eastAsia="宋体" w:cs="宋体"/>
          <w:szCs w:val="21"/>
        </w:rPr>
      </w:pPr>
      <w:bookmarkStart w:id="16" w:name="_Hlk72062521"/>
      <w:r>
        <w:rPr>
          <w:rFonts w:hint="eastAsia" w:ascii="宋体" w:hAnsi="宋体" w:eastAsia="宋体" w:cs="宋体"/>
          <w:szCs w:val="21"/>
        </w:rPr>
        <w:t>政府采购投标及履约承诺函</w:t>
      </w:r>
      <w:bookmarkEnd w:id="16"/>
    </w:p>
    <w:p w14:paraId="36B0070D">
      <w:pPr>
        <w:keepNext w:val="0"/>
        <w:keepLines w:val="0"/>
        <w:pageBreakBefore w:val="0"/>
        <w:widowControl w:val="0"/>
        <w:numPr>
          <w:ilvl w:val="0"/>
          <w:numId w:val="9"/>
        </w:numPr>
        <w:kinsoku/>
        <w:wordWrap/>
        <w:overflowPunct/>
        <w:topLinePunct w:val="0"/>
        <w:autoSpaceDE/>
        <w:autoSpaceDN/>
        <w:bidi w:val="0"/>
        <w:adjustRightInd/>
        <w:snapToGrid/>
        <w:ind w:left="0" w:leftChars="0" w:firstLine="2100" w:firstLineChars="1000"/>
        <w:textAlignment w:val="auto"/>
        <w:rPr>
          <w:rFonts w:hint="eastAsia" w:ascii="宋体" w:hAnsi="宋体" w:eastAsia="宋体" w:cs="宋体"/>
          <w:szCs w:val="21"/>
        </w:rPr>
      </w:pPr>
      <w:r>
        <w:rPr>
          <w:rFonts w:hint="eastAsia" w:ascii="宋体" w:hAnsi="宋体" w:eastAsia="宋体" w:cs="宋体"/>
          <w:szCs w:val="21"/>
        </w:rPr>
        <w:t>投标人情况及资格证明文件</w:t>
      </w:r>
    </w:p>
    <w:p w14:paraId="4CCFC463">
      <w:pPr>
        <w:keepNext w:val="0"/>
        <w:keepLines w:val="0"/>
        <w:pageBreakBefore w:val="0"/>
        <w:widowControl w:val="0"/>
        <w:numPr>
          <w:ilvl w:val="0"/>
          <w:numId w:val="9"/>
        </w:numPr>
        <w:kinsoku/>
        <w:wordWrap/>
        <w:overflowPunct/>
        <w:topLinePunct w:val="0"/>
        <w:autoSpaceDE/>
        <w:autoSpaceDN/>
        <w:bidi w:val="0"/>
        <w:adjustRightInd/>
        <w:snapToGrid/>
        <w:ind w:left="0" w:leftChars="0" w:firstLine="2100" w:firstLineChars="1000"/>
        <w:textAlignment w:val="auto"/>
        <w:rPr>
          <w:rFonts w:hint="eastAsia" w:ascii="宋体" w:hAnsi="宋体" w:eastAsia="宋体" w:cs="宋体"/>
          <w:szCs w:val="21"/>
        </w:rPr>
      </w:pPr>
      <w:bookmarkStart w:id="17" w:name="_Hlk72257201"/>
      <w:r>
        <w:rPr>
          <w:rFonts w:hint="eastAsia" w:ascii="宋体" w:hAnsi="宋体" w:eastAsia="宋体" w:cs="宋体"/>
          <w:szCs w:val="21"/>
        </w:rPr>
        <w:t>项目详细报价</w:t>
      </w:r>
      <w:bookmarkEnd w:id="17"/>
    </w:p>
    <w:p w14:paraId="521D6E8C">
      <w:pPr>
        <w:keepNext w:val="0"/>
        <w:keepLines w:val="0"/>
        <w:pageBreakBefore w:val="0"/>
        <w:widowControl w:val="0"/>
        <w:numPr>
          <w:ilvl w:val="0"/>
          <w:numId w:val="9"/>
        </w:numPr>
        <w:kinsoku/>
        <w:wordWrap/>
        <w:overflowPunct/>
        <w:topLinePunct w:val="0"/>
        <w:autoSpaceDE/>
        <w:autoSpaceDN/>
        <w:bidi w:val="0"/>
        <w:adjustRightInd/>
        <w:snapToGrid/>
        <w:ind w:left="0" w:leftChars="0" w:firstLine="2100" w:firstLineChars="1000"/>
        <w:textAlignment w:val="auto"/>
        <w:rPr>
          <w:rFonts w:hint="eastAsia" w:ascii="宋体" w:hAnsi="宋体" w:eastAsia="宋体" w:cs="宋体"/>
          <w:szCs w:val="21"/>
        </w:rPr>
      </w:pPr>
      <w:r>
        <w:rPr>
          <w:rFonts w:hint="eastAsia" w:ascii="宋体" w:hAnsi="宋体" w:eastAsia="宋体" w:cs="宋体"/>
          <w:szCs w:val="21"/>
        </w:rPr>
        <w:t>认证情况</w:t>
      </w:r>
    </w:p>
    <w:p w14:paraId="2EF181B5">
      <w:pPr>
        <w:keepNext w:val="0"/>
        <w:keepLines w:val="0"/>
        <w:pageBreakBefore w:val="0"/>
        <w:widowControl w:val="0"/>
        <w:numPr>
          <w:ilvl w:val="0"/>
          <w:numId w:val="9"/>
        </w:numPr>
        <w:kinsoku/>
        <w:wordWrap/>
        <w:overflowPunct/>
        <w:topLinePunct w:val="0"/>
        <w:autoSpaceDE/>
        <w:autoSpaceDN/>
        <w:bidi w:val="0"/>
        <w:adjustRightInd/>
        <w:snapToGrid/>
        <w:ind w:left="0" w:leftChars="0" w:firstLine="2100" w:firstLineChars="1000"/>
        <w:textAlignment w:val="auto"/>
        <w:rPr>
          <w:rFonts w:hint="eastAsia" w:ascii="宋体" w:hAnsi="宋体" w:eastAsia="宋体" w:cs="宋体"/>
          <w:szCs w:val="21"/>
        </w:rPr>
      </w:pPr>
      <w:r>
        <w:rPr>
          <w:rFonts w:hint="eastAsia" w:ascii="宋体" w:hAnsi="宋体" w:eastAsia="宋体" w:cs="宋体"/>
          <w:szCs w:val="21"/>
        </w:rPr>
        <w:t>社会组织等级评估</w:t>
      </w:r>
    </w:p>
    <w:p w14:paraId="50718C29">
      <w:pPr>
        <w:keepNext w:val="0"/>
        <w:keepLines w:val="0"/>
        <w:pageBreakBefore w:val="0"/>
        <w:widowControl w:val="0"/>
        <w:numPr>
          <w:ilvl w:val="0"/>
          <w:numId w:val="9"/>
        </w:numPr>
        <w:kinsoku/>
        <w:wordWrap/>
        <w:overflowPunct/>
        <w:topLinePunct w:val="0"/>
        <w:autoSpaceDE/>
        <w:autoSpaceDN/>
        <w:bidi w:val="0"/>
        <w:adjustRightInd/>
        <w:snapToGrid/>
        <w:ind w:left="0" w:leftChars="0" w:firstLine="2100" w:firstLineChars="1000"/>
        <w:textAlignment w:val="auto"/>
        <w:rPr>
          <w:rFonts w:hint="eastAsia" w:ascii="宋体" w:hAnsi="宋体" w:eastAsia="宋体" w:cs="宋体"/>
          <w:szCs w:val="21"/>
        </w:rPr>
      </w:pPr>
      <w:r>
        <w:rPr>
          <w:rFonts w:hint="eastAsia" w:ascii="宋体" w:hAnsi="宋体" w:eastAsia="宋体" w:cs="宋体"/>
          <w:szCs w:val="21"/>
        </w:rPr>
        <w:t>同类服务经验</w:t>
      </w:r>
    </w:p>
    <w:p w14:paraId="7F7D91D7">
      <w:pPr>
        <w:keepNext w:val="0"/>
        <w:keepLines w:val="0"/>
        <w:pageBreakBefore w:val="0"/>
        <w:widowControl w:val="0"/>
        <w:numPr>
          <w:ilvl w:val="0"/>
          <w:numId w:val="9"/>
        </w:numPr>
        <w:kinsoku/>
        <w:wordWrap/>
        <w:overflowPunct/>
        <w:topLinePunct w:val="0"/>
        <w:autoSpaceDE/>
        <w:autoSpaceDN/>
        <w:bidi w:val="0"/>
        <w:adjustRightInd/>
        <w:snapToGrid/>
        <w:ind w:left="0" w:leftChars="0" w:firstLine="2100" w:firstLineChars="1000"/>
        <w:textAlignment w:val="auto"/>
        <w:rPr>
          <w:rFonts w:hint="eastAsia" w:ascii="宋体" w:hAnsi="宋体" w:eastAsia="宋体" w:cs="宋体"/>
          <w:szCs w:val="21"/>
        </w:rPr>
      </w:pPr>
      <w:r>
        <w:rPr>
          <w:rFonts w:hint="eastAsia" w:ascii="宋体" w:hAnsi="宋体" w:eastAsia="宋体" w:cs="宋体"/>
          <w:szCs w:val="21"/>
        </w:rPr>
        <w:t>服务单位履约评价</w:t>
      </w:r>
    </w:p>
    <w:p w14:paraId="07864A88">
      <w:pPr>
        <w:keepNext w:val="0"/>
        <w:keepLines w:val="0"/>
        <w:pageBreakBefore w:val="0"/>
        <w:widowControl w:val="0"/>
        <w:numPr>
          <w:ilvl w:val="0"/>
          <w:numId w:val="9"/>
        </w:numPr>
        <w:kinsoku/>
        <w:wordWrap/>
        <w:overflowPunct/>
        <w:topLinePunct w:val="0"/>
        <w:autoSpaceDE/>
        <w:autoSpaceDN/>
        <w:bidi w:val="0"/>
        <w:adjustRightInd/>
        <w:snapToGrid/>
        <w:ind w:left="0" w:leftChars="0" w:firstLine="2100" w:firstLineChars="1000"/>
        <w:textAlignment w:val="auto"/>
        <w:rPr>
          <w:rFonts w:hint="eastAsia" w:ascii="宋体" w:hAnsi="宋体" w:eastAsia="宋体" w:cs="宋体"/>
          <w:szCs w:val="21"/>
        </w:rPr>
      </w:pPr>
      <w:r>
        <w:rPr>
          <w:rFonts w:hint="eastAsia" w:ascii="宋体" w:hAnsi="宋体" w:eastAsia="宋体" w:cs="宋体"/>
          <w:szCs w:val="21"/>
        </w:rPr>
        <w:t>投标人获得荣誉情况</w:t>
      </w:r>
    </w:p>
    <w:p w14:paraId="32B21E69">
      <w:pPr>
        <w:keepNext w:val="0"/>
        <w:keepLines w:val="0"/>
        <w:pageBreakBefore w:val="0"/>
        <w:widowControl w:val="0"/>
        <w:numPr>
          <w:ilvl w:val="0"/>
          <w:numId w:val="9"/>
        </w:numPr>
        <w:kinsoku/>
        <w:wordWrap/>
        <w:overflowPunct/>
        <w:topLinePunct w:val="0"/>
        <w:autoSpaceDE/>
        <w:autoSpaceDN/>
        <w:bidi w:val="0"/>
        <w:adjustRightInd/>
        <w:snapToGrid/>
        <w:ind w:left="0" w:leftChars="0" w:firstLine="2100" w:firstLineChars="1000"/>
        <w:textAlignment w:val="auto"/>
        <w:rPr>
          <w:rFonts w:hint="eastAsia" w:ascii="宋体" w:hAnsi="宋体" w:eastAsia="宋体" w:cs="宋体"/>
          <w:szCs w:val="21"/>
        </w:rPr>
      </w:pPr>
      <w:r>
        <w:rPr>
          <w:rFonts w:hint="eastAsia" w:ascii="宋体" w:hAnsi="宋体" w:eastAsia="宋体" w:cs="宋体"/>
          <w:szCs w:val="21"/>
        </w:rPr>
        <w:t>投标人党建工作情况</w:t>
      </w:r>
    </w:p>
    <w:p w14:paraId="0804225A">
      <w:pPr>
        <w:ind w:firstLine="1200" w:firstLineChars="500"/>
        <w:outlineLvl w:val="0"/>
        <w:rPr>
          <w:rFonts w:hint="eastAsia" w:ascii="宋体" w:hAnsi="宋体" w:eastAsia="宋体" w:cs="宋体"/>
          <w:sz w:val="24"/>
        </w:rPr>
      </w:pPr>
      <w:r>
        <w:rPr>
          <w:rFonts w:hint="eastAsia" w:ascii="宋体" w:hAnsi="宋体" w:eastAsia="宋体" w:cs="宋体"/>
          <w:sz w:val="24"/>
        </w:rPr>
        <w:t>2.投标文件附件</w:t>
      </w:r>
      <w:r>
        <w:rPr>
          <w:rFonts w:hint="eastAsia" w:ascii="宋体" w:hAnsi="宋体" w:eastAsia="宋体" w:cs="宋体"/>
          <w:b/>
          <w:color w:val="FF0000"/>
          <w:sz w:val="24"/>
        </w:rPr>
        <w:t>（信息不公开部分）</w:t>
      </w:r>
      <w:r>
        <w:rPr>
          <w:rFonts w:hint="eastAsia" w:ascii="宋体" w:hAnsi="宋体" w:eastAsia="宋体" w:cs="宋体"/>
          <w:sz w:val="24"/>
        </w:rPr>
        <w:t>：主要包括以下内容：</w:t>
      </w:r>
    </w:p>
    <w:p w14:paraId="2EF1D122">
      <w:pPr>
        <w:keepNext w:val="0"/>
        <w:keepLines w:val="0"/>
        <w:pageBreakBefore w:val="0"/>
        <w:widowControl w:val="0"/>
        <w:numPr>
          <w:ilvl w:val="0"/>
          <w:numId w:val="10"/>
        </w:numPr>
        <w:kinsoku/>
        <w:wordWrap/>
        <w:overflowPunct/>
        <w:topLinePunct w:val="0"/>
        <w:autoSpaceDE/>
        <w:autoSpaceDN/>
        <w:bidi w:val="0"/>
        <w:adjustRightInd/>
        <w:snapToGrid/>
        <w:ind w:left="0" w:leftChars="0" w:firstLine="2100" w:firstLineChars="1000"/>
        <w:textAlignment w:val="auto"/>
        <w:rPr>
          <w:rFonts w:hint="eastAsia" w:ascii="宋体" w:hAnsi="宋体" w:eastAsia="宋体" w:cs="宋体"/>
          <w:szCs w:val="21"/>
        </w:rPr>
      </w:pPr>
      <w:r>
        <w:rPr>
          <w:rFonts w:hint="eastAsia" w:ascii="宋体" w:hAnsi="宋体" w:eastAsia="宋体" w:cs="宋体"/>
          <w:szCs w:val="21"/>
        </w:rPr>
        <w:t>法定代表人（负责人）证明书</w:t>
      </w:r>
    </w:p>
    <w:p w14:paraId="730FE1D3">
      <w:pPr>
        <w:keepNext w:val="0"/>
        <w:keepLines w:val="0"/>
        <w:pageBreakBefore w:val="0"/>
        <w:widowControl w:val="0"/>
        <w:numPr>
          <w:ilvl w:val="0"/>
          <w:numId w:val="10"/>
        </w:numPr>
        <w:kinsoku/>
        <w:wordWrap/>
        <w:overflowPunct/>
        <w:topLinePunct w:val="0"/>
        <w:autoSpaceDE/>
        <w:autoSpaceDN/>
        <w:bidi w:val="0"/>
        <w:adjustRightInd/>
        <w:snapToGrid/>
        <w:ind w:left="0" w:leftChars="0" w:firstLine="2100" w:firstLineChars="1000"/>
        <w:textAlignment w:val="auto"/>
        <w:rPr>
          <w:rFonts w:hint="eastAsia" w:ascii="宋体" w:hAnsi="宋体" w:eastAsia="宋体" w:cs="宋体"/>
          <w:szCs w:val="21"/>
        </w:rPr>
      </w:pPr>
      <w:r>
        <w:rPr>
          <w:rFonts w:hint="eastAsia" w:ascii="宋体" w:hAnsi="宋体" w:eastAsia="宋体" w:cs="宋体"/>
          <w:szCs w:val="21"/>
        </w:rPr>
        <w:t>投标文件签署授权委托书</w:t>
      </w:r>
    </w:p>
    <w:p w14:paraId="5FAA0286">
      <w:pPr>
        <w:keepNext w:val="0"/>
        <w:keepLines w:val="0"/>
        <w:pageBreakBefore w:val="0"/>
        <w:widowControl w:val="0"/>
        <w:numPr>
          <w:ilvl w:val="0"/>
          <w:numId w:val="10"/>
        </w:numPr>
        <w:kinsoku/>
        <w:wordWrap/>
        <w:overflowPunct/>
        <w:topLinePunct w:val="0"/>
        <w:autoSpaceDE/>
        <w:autoSpaceDN/>
        <w:bidi w:val="0"/>
        <w:adjustRightInd/>
        <w:snapToGrid/>
        <w:ind w:left="0" w:leftChars="0" w:firstLine="2100" w:firstLineChars="1000"/>
        <w:textAlignment w:val="auto"/>
        <w:rPr>
          <w:rFonts w:hint="eastAsia" w:ascii="宋体" w:hAnsi="宋体" w:eastAsia="宋体" w:cs="宋体"/>
          <w:szCs w:val="21"/>
        </w:rPr>
      </w:pPr>
      <w:r>
        <w:rPr>
          <w:rFonts w:hint="eastAsia" w:ascii="宋体" w:hAnsi="宋体" w:eastAsia="宋体" w:cs="宋体"/>
          <w:szCs w:val="21"/>
        </w:rPr>
        <w:t>服务计划</w:t>
      </w:r>
    </w:p>
    <w:p w14:paraId="1FD7AE8C">
      <w:pPr>
        <w:keepNext w:val="0"/>
        <w:keepLines w:val="0"/>
        <w:pageBreakBefore w:val="0"/>
        <w:widowControl w:val="0"/>
        <w:numPr>
          <w:ilvl w:val="0"/>
          <w:numId w:val="10"/>
        </w:numPr>
        <w:kinsoku/>
        <w:wordWrap/>
        <w:overflowPunct/>
        <w:topLinePunct w:val="0"/>
        <w:autoSpaceDE/>
        <w:autoSpaceDN/>
        <w:bidi w:val="0"/>
        <w:adjustRightInd/>
        <w:snapToGrid/>
        <w:ind w:left="0" w:leftChars="0" w:firstLine="2100" w:firstLineChars="1000"/>
        <w:textAlignment w:val="auto"/>
        <w:rPr>
          <w:rFonts w:hint="eastAsia" w:ascii="宋体" w:hAnsi="宋体" w:eastAsia="宋体" w:cs="宋体"/>
          <w:szCs w:val="21"/>
        </w:rPr>
      </w:pPr>
      <w:r>
        <w:rPr>
          <w:rFonts w:hint="eastAsia" w:ascii="宋体" w:hAnsi="宋体" w:eastAsia="宋体" w:cs="宋体"/>
          <w:szCs w:val="21"/>
        </w:rPr>
        <w:t>专业服务流程及标准</w:t>
      </w:r>
    </w:p>
    <w:p w14:paraId="106EA802">
      <w:pPr>
        <w:keepNext w:val="0"/>
        <w:keepLines w:val="0"/>
        <w:pageBreakBefore w:val="0"/>
        <w:widowControl w:val="0"/>
        <w:numPr>
          <w:ilvl w:val="0"/>
          <w:numId w:val="10"/>
        </w:numPr>
        <w:kinsoku/>
        <w:wordWrap/>
        <w:overflowPunct/>
        <w:topLinePunct w:val="0"/>
        <w:autoSpaceDE/>
        <w:autoSpaceDN/>
        <w:bidi w:val="0"/>
        <w:adjustRightInd/>
        <w:snapToGrid/>
        <w:ind w:left="0" w:leftChars="0" w:firstLine="2100" w:firstLineChars="1000"/>
        <w:textAlignment w:val="auto"/>
        <w:rPr>
          <w:rFonts w:hint="eastAsia" w:ascii="宋体" w:hAnsi="宋体" w:eastAsia="宋体" w:cs="宋体"/>
          <w:szCs w:val="21"/>
        </w:rPr>
      </w:pPr>
      <w:r>
        <w:rPr>
          <w:rFonts w:hint="eastAsia" w:ascii="宋体" w:hAnsi="宋体" w:eastAsia="宋体" w:cs="宋体"/>
          <w:szCs w:val="21"/>
        </w:rPr>
        <w:t>管理制度</w:t>
      </w:r>
    </w:p>
    <w:p w14:paraId="7B03E087">
      <w:pPr>
        <w:keepNext w:val="0"/>
        <w:keepLines w:val="0"/>
        <w:pageBreakBefore w:val="0"/>
        <w:widowControl w:val="0"/>
        <w:numPr>
          <w:ilvl w:val="0"/>
          <w:numId w:val="10"/>
        </w:numPr>
        <w:kinsoku/>
        <w:wordWrap/>
        <w:overflowPunct/>
        <w:topLinePunct w:val="0"/>
        <w:autoSpaceDE/>
        <w:autoSpaceDN/>
        <w:bidi w:val="0"/>
        <w:adjustRightInd/>
        <w:snapToGrid/>
        <w:ind w:left="0" w:leftChars="0" w:firstLine="2100" w:firstLineChars="1000"/>
        <w:textAlignment w:val="auto"/>
        <w:rPr>
          <w:rFonts w:hint="eastAsia" w:ascii="宋体" w:hAnsi="宋体" w:eastAsia="宋体" w:cs="宋体"/>
          <w:szCs w:val="21"/>
        </w:rPr>
      </w:pPr>
      <w:r>
        <w:rPr>
          <w:rFonts w:hint="eastAsia" w:ascii="宋体" w:hAnsi="宋体" w:eastAsia="宋体" w:cs="宋体"/>
          <w:szCs w:val="21"/>
        </w:rPr>
        <w:t>服务监测与评估</w:t>
      </w:r>
    </w:p>
    <w:p w14:paraId="42942952">
      <w:pPr>
        <w:keepNext w:val="0"/>
        <w:keepLines w:val="0"/>
        <w:pageBreakBefore w:val="0"/>
        <w:widowControl w:val="0"/>
        <w:numPr>
          <w:ilvl w:val="0"/>
          <w:numId w:val="10"/>
        </w:numPr>
        <w:kinsoku/>
        <w:wordWrap/>
        <w:overflowPunct/>
        <w:topLinePunct w:val="0"/>
        <w:autoSpaceDE/>
        <w:autoSpaceDN/>
        <w:bidi w:val="0"/>
        <w:adjustRightInd/>
        <w:snapToGrid/>
        <w:ind w:left="0" w:leftChars="0" w:firstLine="2100" w:firstLineChars="1000"/>
        <w:textAlignment w:val="auto"/>
        <w:rPr>
          <w:rFonts w:hint="eastAsia" w:ascii="宋体" w:hAnsi="宋体" w:eastAsia="宋体" w:cs="宋体"/>
          <w:szCs w:val="21"/>
        </w:rPr>
      </w:pPr>
      <w:r>
        <w:rPr>
          <w:rFonts w:hint="eastAsia" w:ascii="宋体" w:hAnsi="宋体" w:eastAsia="宋体" w:cs="宋体"/>
          <w:szCs w:val="21"/>
        </w:rPr>
        <w:t>人员督导、培训计划</w:t>
      </w:r>
    </w:p>
    <w:p w14:paraId="4C698A10">
      <w:pPr>
        <w:keepNext w:val="0"/>
        <w:keepLines w:val="0"/>
        <w:pageBreakBefore w:val="0"/>
        <w:widowControl w:val="0"/>
        <w:numPr>
          <w:ilvl w:val="0"/>
          <w:numId w:val="10"/>
        </w:numPr>
        <w:kinsoku/>
        <w:wordWrap/>
        <w:overflowPunct/>
        <w:topLinePunct w:val="0"/>
        <w:autoSpaceDE/>
        <w:autoSpaceDN/>
        <w:bidi w:val="0"/>
        <w:adjustRightInd/>
        <w:snapToGrid/>
        <w:ind w:left="0" w:leftChars="0" w:firstLine="2100" w:firstLineChars="1000"/>
        <w:textAlignment w:val="auto"/>
        <w:rPr>
          <w:rFonts w:hint="eastAsia" w:ascii="宋体" w:hAnsi="宋体" w:eastAsia="宋体" w:cs="宋体"/>
          <w:szCs w:val="21"/>
        </w:rPr>
      </w:pPr>
      <w:r>
        <w:rPr>
          <w:rFonts w:hint="eastAsia" w:ascii="宋体" w:hAnsi="宋体" w:eastAsia="宋体" w:cs="宋体"/>
          <w:szCs w:val="21"/>
        </w:rPr>
        <w:t>项目督导人员</w:t>
      </w:r>
    </w:p>
    <w:p w14:paraId="5C728FE9">
      <w:pPr>
        <w:keepNext w:val="0"/>
        <w:keepLines w:val="0"/>
        <w:pageBreakBefore w:val="0"/>
        <w:widowControl w:val="0"/>
        <w:numPr>
          <w:ilvl w:val="0"/>
          <w:numId w:val="10"/>
        </w:numPr>
        <w:kinsoku/>
        <w:wordWrap/>
        <w:overflowPunct/>
        <w:topLinePunct w:val="0"/>
        <w:autoSpaceDE/>
        <w:autoSpaceDN/>
        <w:bidi w:val="0"/>
        <w:adjustRightInd/>
        <w:snapToGrid/>
        <w:ind w:left="0" w:leftChars="0" w:firstLine="2100" w:firstLineChars="1000"/>
        <w:textAlignment w:val="auto"/>
        <w:rPr>
          <w:rFonts w:hint="eastAsia" w:ascii="宋体" w:hAnsi="宋体" w:eastAsia="宋体" w:cs="宋体"/>
          <w:szCs w:val="21"/>
        </w:rPr>
      </w:pPr>
      <w:r>
        <w:rPr>
          <w:rFonts w:hint="eastAsia" w:ascii="宋体" w:hAnsi="宋体" w:eastAsia="宋体" w:cs="宋体"/>
          <w:szCs w:val="21"/>
        </w:rPr>
        <w:t>拟安排的项目团队负责人情况</w:t>
      </w:r>
    </w:p>
    <w:p w14:paraId="5550A3E0">
      <w:pPr>
        <w:keepNext w:val="0"/>
        <w:keepLines w:val="0"/>
        <w:pageBreakBefore w:val="0"/>
        <w:widowControl w:val="0"/>
        <w:numPr>
          <w:ilvl w:val="0"/>
          <w:numId w:val="10"/>
        </w:numPr>
        <w:kinsoku/>
        <w:wordWrap/>
        <w:overflowPunct/>
        <w:topLinePunct w:val="0"/>
        <w:autoSpaceDE/>
        <w:autoSpaceDN/>
        <w:bidi w:val="0"/>
        <w:adjustRightInd/>
        <w:snapToGrid/>
        <w:ind w:left="0" w:leftChars="0" w:firstLine="2100" w:firstLineChars="1000"/>
        <w:textAlignment w:val="auto"/>
        <w:rPr>
          <w:rFonts w:hint="eastAsia" w:ascii="宋体" w:hAnsi="宋体" w:eastAsia="宋体" w:cs="宋体"/>
          <w:szCs w:val="21"/>
        </w:rPr>
      </w:pPr>
      <w:r>
        <w:rPr>
          <w:rFonts w:hint="eastAsia" w:ascii="宋体" w:hAnsi="宋体" w:eastAsia="宋体" w:cs="宋体"/>
          <w:szCs w:val="21"/>
        </w:rPr>
        <w:t>拟安排的项目团队成员情况</w:t>
      </w:r>
    </w:p>
    <w:p w14:paraId="5AB6F476">
      <w:pPr>
        <w:keepNext w:val="0"/>
        <w:keepLines w:val="0"/>
        <w:pageBreakBefore w:val="0"/>
        <w:widowControl w:val="0"/>
        <w:numPr>
          <w:ilvl w:val="0"/>
          <w:numId w:val="10"/>
        </w:numPr>
        <w:kinsoku/>
        <w:wordWrap/>
        <w:overflowPunct/>
        <w:topLinePunct w:val="0"/>
        <w:autoSpaceDE/>
        <w:autoSpaceDN/>
        <w:bidi w:val="0"/>
        <w:adjustRightInd/>
        <w:snapToGrid/>
        <w:ind w:left="0" w:leftChars="0" w:firstLine="2100" w:firstLineChars="1000"/>
        <w:textAlignment w:val="auto"/>
        <w:rPr>
          <w:rFonts w:hint="eastAsia" w:ascii="宋体" w:hAnsi="宋体" w:eastAsia="宋体" w:cs="宋体"/>
          <w:szCs w:val="21"/>
        </w:rPr>
      </w:pPr>
      <w:r>
        <w:rPr>
          <w:rFonts w:hint="eastAsia" w:ascii="宋体" w:hAnsi="宋体" w:eastAsia="宋体" w:cs="宋体"/>
          <w:szCs w:val="21"/>
        </w:rPr>
        <w:t>投标人认为需要加以说明的其他内容</w:t>
      </w:r>
    </w:p>
    <w:p w14:paraId="61FA8B52">
      <w:pPr>
        <w:pStyle w:val="10"/>
        <w:ind w:left="210" w:leftChars="100" w:firstLine="781" w:firstLineChars="372"/>
        <w:rPr>
          <w:rFonts w:hint="eastAsia" w:ascii="宋体" w:hAnsi="宋体" w:eastAsia="宋体" w:cs="宋体"/>
          <w:szCs w:val="21"/>
        </w:rPr>
      </w:pPr>
    </w:p>
    <w:p w14:paraId="6306DA22">
      <w:pPr>
        <w:rPr>
          <w:rFonts w:hint="eastAsia" w:ascii="宋体" w:hAnsi="宋体" w:eastAsia="宋体" w:cs="宋体"/>
          <w:sz w:val="24"/>
        </w:rPr>
      </w:pPr>
    </w:p>
    <w:p w14:paraId="7F4D8FDF">
      <w:pPr>
        <w:ind w:firstLine="425" w:firstLineChars="202"/>
        <w:rPr>
          <w:rFonts w:hint="eastAsia" w:ascii="宋体" w:hAnsi="宋体" w:eastAsia="宋体" w:cs="宋体"/>
          <w:b/>
          <w:szCs w:val="21"/>
        </w:rPr>
      </w:pPr>
      <w:r>
        <w:rPr>
          <w:rFonts w:hint="eastAsia" w:ascii="宋体" w:hAnsi="宋体" w:eastAsia="宋体" w:cs="宋体"/>
          <w:b/>
          <w:szCs w:val="21"/>
        </w:rPr>
        <w:t>备注：</w:t>
      </w:r>
    </w:p>
    <w:p w14:paraId="6EC60775">
      <w:pPr>
        <w:ind w:firstLine="425" w:firstLineChars="202"/>
        <w:rPr>
          <w:rFonts w:hint="eastAsia" w:ascii="宋体" w:hAnsi="宋体" w:eastAsia="宋体" w:cs="宋体"/>
          <w:b/>
          <w:szCs w:val="21"/>
        </w:rPr>
      </w:pPr>
      <w:r>
        <w:rPr>
          <w:rFonts w:hint="eastAsia" w:ascii="宋体" w:hAnsi="宋体" w:eastAsia="宋体" w:cs="宋体"/>
          <w:b/>
          <w:szCs w:val="21"/>
        </w:rPr>
        <w:t>1.本项目为网上电子投标项目，投标文件不需法人或授权委托人另行签字，无需加盖单位公章，招标文件另有规定的除外。</w:t>
      </w:r>
    </w:p>
    <w:p w14:paraId="35120371">
      <w:pPr>
        <w:ind w:firstLine="425" w:firstLineChars="202"/>
        <w:rPr>
          <w:rFonts w:hint="eastAsia" w:ascii="宋体" w:hAnsi="宋体" w:eastAsia="宋体" w:cs="宋体"/>
          <w:b/>
          <w:szCs w:val="21"/>
        </w:rPr>
      </w:pPr>
      <w:r>
        <w:rPr>
          <w:rFonts w:hint="eastAsia" w:ascii="宋体" w:hAnsi="宋体" w:eastAsia="宋体" w:cs="宋体"/>
          <w:b/>
          <w:szCs w:val="21"/>
        </w:rPr>
        <w:t>2.关于填写“开标一览表”的说明：“开标一览表”中除“投标总价”外，其他信息不作评审依据。</w:t>
      </w:r>
    </w:p>
    <w:p w14:paraId="73CCDDD1">
      <w:pPr>
        <w:rPr>
          <w:rFonts w:ascii="仿宋_GB2312" w:eastAsia="仿宋_GB2312"/>
          <w:sz w:val="24"/>
        </w:rPr>
      </w:pPr>
    </w:p>
    <w:p w14:paraId="1097228C">
      <w:pPr>
        <w:rPr>
          <w:szCs w:val="21"/>
        </w:rPr>
        <w:sectPr>
          <w:pgSz w:w="11906" w:h="16838"/>
          <w:pgMar w:top="720" w:right="720" w:bottom="720" w:left="720" w:header="851" w:footer="992" w:gutter="0"/>
          <w:cols w:space="720" w:num="1"/>
          <w:docGrid w:type="lines" w:linePitch="312" w:charSpace="0"/>
        </w:sectPr>
      </w:pPr>
    </w:p>
    <w:p w14:paraId="5954A7E0">
      <w:pPr>
        <w:outlineLvl w:val="1"/>
        <w:rPr>
          <w:rFonts w:ascii="宋体" w:hAnsi="宋体"/>
          <w:b/>
          <w:color w:val="FF0000"/>
          <w:sz w:val="28"/>
          <w:szCs w:val="28"/>
        </w:rPr>
      </w:pPr>
      <w:r>
        <w:rPr>
          <w:rFonts w:hint="eastAsia" w:ascii="宋体" w:hAnsi="宋体"/>
          <w:b/>
          <w:color w:val="FF0000"/>
          <w:sz w:val="28"/>
          <w:szCs w:val="28"/>
        </w:rPr>
        <w:t>投标文件正文（信息公开部分）</w:t>
      </w:r>
    </w:p>
    <w:p w14:paraId="7319CBEC">
      <w:pPr>
        <w:pStyle w:val="6"/>
        <w:numPr>
          <w:ilvl w:val="0"/>
          <w:numId w:val="11"/>
        </w:numPr>
        <w:ind w:left="0" w:leftChars="0" w:firstLine="420" w:firstLineChars="0"/>
        <w:jc w:val="center"/>
        <w:rPr>
          <w:rFonts w:ascii="黑体" w:eastAsia="黑体"/>
          <w:b w:val="0"/>
          <w:kern w:val="0"/>
          <w:sz w:val="24"/>
        </w:rPr>
      </w:pPr>
      <w:r>
        <w:rPr>
          <w:rFonts w:hint="eastAsia" w:ascii="黑体" w:eastAsia="黑体"/>
          <w:b w:val="0"/>
          <w:kern w:val="0"/>
          <w:sz w:val="24"/>
        </w:rPr>
        <w:t>投标函</w:t>
      </w:r>
    </w:p>
    <w:p w14:paraId="738D297B">
      <w:pPr>
        <w:spacing w:line="360" w:lineRule="auto"/>
        <w:rPr>
          <w:rFonts w:ascii="宋体" w:hAnsi="宋体"/>
          <w:szCs w:val="21"/>
        </w:rPr>
      </w:pPr>
      <w:r>
        <w:rPr>
          <w:rFonts w:hint="eastAsia" w:ascii="宋体" w:hAnsi="宋体"/>
          <w:szCs w:val="21"/>
        </w:rPr>
        <w:t>致：</w:t>
      </w:r>
      <w:r>
        <w:rPr>
          <w:rFonts w:hint="eastAsia" w:ascii="宋体" w:hAnsi="宋体"/>
          <w:szCs w:val="21"/>
          <w:u w:val="single"/>
        </w:rPr>
        <w:t xml:space="preserve">  </w:t>
      </w:r>
      <w:r>
        <w:rPr>
          <w:rFonts w:hint="eastAsia" w:ascii="宋体" w:hAnsi="宋体"/>
          <w:color w:val="FF0000"/>
          <w:szCs w:val="21"/>
          <w:u w:val="single"/>
        </w:rPr>
        <w:t>深圳公共资源交易中心</w:t>
      </w:r>
      <w:r>
        <w:rPr>
          <w:rFonts w:hint="eastAsia" w:ascii="宋体" w:hAnsi="宋体"/>
          <w:szCs w:val="21"/>
          <w:u w:val="single"/>
        </w:rPr>
        <w:t xml:space="preserve">  </w:t>
      </w:r>
    </w:p>
    <w:p w14:paraId="579AA53F">
      <w:pPr>
        <w:keepNext w:val="0"/>
        <w:keepLines w:val="0"/>
        <w:pageBreakBefore w:val="0"/>
        <w:widowControl w:val="0"/>
        <w:kinsoku/>
        <w:wordWrap/>
        <w:overflowPunct/>
        <w:topLinePunct w:val="0"/>
        <w:autoSpaceDE/>
        <w:autoSpaceDN/>
        <w:bidi w:val="0"/>
        <w:adjustRightInd/>
        <w:snapToGrid/>
        <w:ind w:left="0" w:leftChars="0" w:firstLine="420" w:firstLineChars="200"/>
        <w:textAlignment w:val="auto"/>
        <w:rPr>
          <w:rFonts w:hint="eastAsia" w:ascii="宋体" w:hAnsi="宋体" w:eastAsia="宋体" w:cs="宋体"/>
          <w:szCs w:val="21"/>
        </w:rPr>
      </w:pPr>
      <w:bookmarkStart w:id="18" w:name="_Hlk73818812"/>
      <w:r>
        <w:rPr>
          <w:rFonts w:hint="eastAsia" w:ascii="宋体" w:hAnsi="宋体" w:eastAsia="宋体" w:cs="宋体"/>
          <w:szCs w:val="21"/>
        </w:rPr>
        <w:t>1、根据已收到贵单位的项目编号为</w:t>
      </w:r>
      <w:r>
        <w:rPr>
          <w:rFonts w:hint="eastAsia" w:ascii="宋体" w:hAnsi="宋体" w:eastAsia="宋体" w:cs="宋体"/>
          <w:szCs w:val="21"/>
          <w:u w:val="thick"/>
        </w:rPr>
        <w:t xml:space="preserve">        </w:t>
      </w:r>
      <w:r>
        <w:rPr>
          <w:rFonts w:hint="eastAsia" w:ascii="宋体" w:hAnsi="宋体" w:eastAsia="宋体" w:cs="宋体"/>
          <w:szCs w:val="21"/>
        </w:rPr>
        <w:t>的</w:t>
      </w:r>
      <w:r>
        <w:rPr>
          <w:rFonts w:hint="eastAsia" w:ascii="宋体" w:hAnsi="宋体" w:eastAsia="宋体" w:cs="宋体"/>
          <w:szCs w:val="21"/>
          <w:u w:val="thick"/>
        </w:rPr>
        <w:t xml:space="preserve">    </w:t>
      </w:r>
      <w:r>
        <w:rPr>
          <w:rFonts w:hint="eastAsia" w:ascii="宋体" w:hAnsi="宋体" w:eastAsia="宋体" w:cs="宋体"/>
          <w:szCs w:val="21"/>
          <w:u w:val="thick"/>
          <w:lang w:eastAsia="zh-CN"/>
        </w:rPr>
        <w:t>（</w:t>
      </w:r>
      <w:r>
        <w:rPr>
          <w:rFonts w:hint="eastAsia" w:ascii="宋体" w:hAnsi="宋体" w:eastAsia="宋体" w:cs="宋体"/>
          <w:szCs w:val="21"/>
          <w:u w:val="thick"/>
        </w:rPr>
        <w:t>项目</w:t>
      </w:r>
      <w:r>
        <w:rPr>
          <w:rFonts w:hint="eastAsia" w:ascii="宋体" w:hAnsi="宋体" w:eastAsia="宋体" w:cs="宋体"/>
          <w:szCs w:val="21"/>
          <w:u w:val="thick"/>
          <w:lang w:val="en-US" w:eastAsia="zh-CN"/>
        </w:rPr>
        <w:t>名称</w:t>
      </w:r>
      <w:r>
        <w:rPr>
          <w:rFonts w:hint="eastAsia" w:ascii="宋体" w:hAnsi="宋体" w:eastAsia="宋体" w:cs="宋体"/>
          <w:szCs w:val="21"/>
          <w:u w:val="thick"/>
          <w:lang w:eastAsia="zh-CN"/>
        </w:rPr>
        <w:t>）</w:t>
      </w:r>
      <w:r>
        <w:rPr>
          <w:rFonts w:hint="eastAsia" w:ascii="宋体" w:hAnsi="宋体" w:eastAsia="宋体" w:cs="宋体"/>
          <w:szCs w:val="21"/>
          <w:u w:val="thick"/>
        </w:rPr>
        <w:t xml:space="preserve">       </w:t>
      </w:r>
      <w:r>
        <w:rPr>
          <w:rFonts w:hint="eastAsia" w:ascii="宋体" w:hAnsi="宋体" w:eastAsia="宋体" w:cs="宋体"/>
          <w:szCs w:val="21"/>
        </w:rPr>
        <w:t>项目的招标文件，遵照《深圳经济特区政府采购条例》和《深圳网上政府采购管理暂行办法》等有关规定，我单位经研究上述招标文件的专用条款及通用条款后，</w:t>
      </w:r>
      <w:bookmarkStart w:id="19" w:name="_Hlk72263588"/>
      <w:r>
        <w:rPr>
          <w:rFonts w:hint="eastAsia" w:ascii="宋体" w:hAnsi="宋体" w:eastAsia="宋体" w:cs="宋体"/>
          <w:szCs w:val="21"/>
        </w:rPr>
        <w:t>愿意按照招标文件要求承包上述项目并修补其任何缺陷。</w:t>
      </w:r>
      <w:bookmarkEnd w:id="19"/>
    </w:p>
    <w:p w14:paraId="5DD0318F">
      <w:pPr>
        <w:keepNext w:val="0"/>
        <w:keepLines w:val="0"/>
        <w:pageBreakBefore w:val="0"/>
        <w:widowControl w:val="0"/>
        <w:kinsoku/>
        <w:wordWrap/>
        <w:overflowPunct/>
        <w:topLinePunct w:val="0"/>
        <w:autoSpaceDE/>
        <w:autoSpaceDN/>
        <w:bidi w:val="0"/>
        <w:adjustRightInd/>
        <w:snapToGrid/>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2、投标价格见投标书编制软件中《开标一览表》中填写的投标总价。</w:t>
      </w:r>
    </w:p>
    <w:p w14:paraId="06CCF038">
      <w:pPr>
        <w:keepNext w:val="0"/>
        <w:keepLines w:val="0"/>
        <w:pageBreakBefore w:val="0"/>
        <w:widowControl w:val="0"/>
        <w:kinsoku/>
        <w:wordWrap/>
        <w:overflowPunct/>
        <w:topLinePunct w:val="0"/>
        <w:autoSpaceDE/>
        <w:autoSpaceDN/>
        <w:bidi w:val="0"/>
        <w:adjustRightInd/>
        <w:snapToGrid/>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3、如果我单位中标，我单位将按照招标文件的要求足额提交履约担保。</w:t>
      </w:r>
    </w:p>
    <w:p w14:paraId="4B164CD1">
      <w:pPr>
        <w:keepNext w:val="0"/>
        <w:keepLines w:val="0"/>
        <w:pageBreakBefore w:val="0"/>
        <w:widowControl w:val="0"/>
        <w:kinsoku/>
        <w:wordWrap/>
        <w:overflowPunct/>
        <w:topLinePunct w:val="0"/>
        <w:autoSpaceDE/>
        <w:autoSpaceDN/>
        <w:bidi w:val="0"/>
        <w:adjustRightInd/>
        <w:snapToGrid/>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4、我单位同意所递交的投标文件在“对通用条款的补充内容”中明确的投标有效期内有效，在此期间内我单位的投标有可能中标，我方将受此约束。</w:t>
      </w:r>
    </w:p>
    <w:p w14:paraId="082B57A5">
      <w:pPr>
        <w:keepNext w:val="0"/>
        <w:keepLines w:val="0"/>
        <w:pageBreakBefore w:val="0"/>
        <w:widowControl w:val="0"/>
        <w:kinsoku/>
        <w:wordWrap/>
        <w:overflowPunct/>
        <w:topLinePunct w:val="0"/>
        <w:autoSpaceDE/>
        <w:autoSpaceDN/>
        <w:bidi w:val="0"/>
        <w:adjustRightInd/>
        <w:snapToGrid/>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5、除非另外达成协议并生效，贵单位的中标通知书和本投标文件将构成合同的重要内容。</w:t>
      </w:r>
    </w:p>
    <w:p w14:paraId="38D1878B">
      <w:pPr>
        <w:keepNext w:val="0"/>
        <w:keepLines w:val="0"/>
        <w:pageBreakBefore w:val="0"/>
        <w:widowControl w:val="0"/>
        <w:kinsoku/>
        <w:wordWrap/>
        <w:overflowPunct/>
        <w:topLinePunct w:val="0"/>
        <w:autoSpaceDE/>
        <w:autoSpaceDN/>
        <w:bidi w:val="0"/>
        <w:adjustRightInd/>
        <w:snapToGrid/>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6、我单位理解贵单位将不受必须接受所收到的最低报价或其它任何投标文件的约束。</w:t>
      </w:r>
      <w:bookmarkEnd w:id="18"/>
    </w:p>
    <w:p w14:paraId="143B1F25">
      <w:pPr>
        <w:keepNext w:val="0"/>
        <w:keepLines w:val="0"/>
        <w:pageBreakBefore w:val="0"/>
        <w:widowControl w:val="0"/>
        <w:kinsoku/>
        <w:wordWrap/>
        <w:overflowPunct/>
        <w:topLinePunct w:val="0"/>
        <w:autoSpaceDE/>
        <w:autoSpaceDN/>
        <w:bidi w:val="0"/>
        <w:adjustRightInd/>
        <w:snapToGrid/>
        <w:ind w:left="0" w:leftChars="0" w:firstLine="420" w:firstLineChars="200"/>
        <w:textAlignment w:val="auto"/>
        <w:rPr>
          <w:rFonts w:hint="eastAsia" w:ascii="宋体" w:hAnsi="宋体" w:eastAsia="宋体" w:cs="宋体"/>
          <w:b/>
          <w:szCs w:val="21"/>
        </w:rPr>
      </w:pPr>
      <w:r>
        <w:rPr>
          <w:rFonts w:hint="eastAsia" w:ascii="宋体" w:hAnsi="宋体" w:eastAsia="宋体" w:cs="宋体"/>
          <w:b/>
          <w:szCs w:val="21"/>
        </w:rPr>
        <w:t>7、如我单位提交样品，且未在规定时间内取回样品的，视同放弃取回，同意深圳公共资源交易中心对我单位提交的样品进行清理。</w:t>
      </w:r>
    </w:p>
    <w:p w14:paraId="0662AD77">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szCs w:val="21"/>
        </w:rPr>
      </w:pPr>
    </w:p>
    <w:p w14:paraId="487F7BE9">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szCs w:val="21"/>
          <w:u w:val="none"/>
          <w:lang w:eastAsia="zh-CN"/>
        </w:rPr>
      </w:pPr>
      <w:r>
        <w:rPr>
          <w:rFonts w:hint="eastAsia"/>
          <w:szCs w:val="21"/>
        </w:rPr>
        <w:t>投标人：</w:t>
      </w:r>
      <w:r>
        <w:rPr>
          <w:rFonts w:hint="eastAsia"/>
          <w:szCs w:val="21"/>
          <w:u w:val="thick"/>
        </w:rPr>
        <w:t xml:space="preserve">       </w:t>
      </w:r>
      <w:r>
        <w:rPr>
          <w:rFonts w:hint="eastAsia"/>
          <w:szCs w:val="21"/>
          <w:u w:val="thick"/>
          <w:lang w:val="en-US" w:eastAsia="zh-CN"/>
        </w:rPr>
        <w:t xml:space="preserve">    </w:t>
      </w:r>
      <w:r>
        <w:rPr>
          <w:rFonts w:hint="eastAsia" w:eastAsia="宋体"/>
          <w:szCs w:val="21"/>
          <w:lang w:eastAsia="zh-CN"/>
        </w:rPr>
        <w:t>；</w:t>
      </w:r>
      <w:r>
        <w:rPr>
          <w:rFonts w:hint="eastAsia"/>
          <w:szCs w:val="21"/>
        </w:rPr>
        <w:t xml:space="preserve">  单位地址：</w:t>
      </w:r>
      <w:r>
        <w:rPr>
          <w:rFonts w:hint="eastAsia"/>
          <w:szCs w:val="21"/>
          <w:u w:val="thick"/>
        </w:rPr>
        <w:t xml:space="preserve">       </w:t>
      </w:r>
      <w:r>
        <w:rPr>
          <w:rFonts w:hint="eastAsia" w:ascii="Times New Roman" w:eastAsia="宋体"/>
          <w:szCs w:val="21"/>
          <w:u w:val="thick"/>
          <w:lang w:val="en-US" w:eastAsia="zh-CN"/>
        </w:rPr>
        <w:t xml:space="preserve">          </w:t>
      </w:r>
      <w:r>
        <w:rPr>
          <w:rFonts w:hint="eastAsia"/>
          <w:szCs w:val="21"/>
          <w:u w:val="thick"/>
          <w:lang w:val="en-US" w:eastAsia="zh-CN"/>
        </w:rPr>
        <w:t xml:space="preserve"> </w:t>
      </w:r>
      <w:r>
        <w:rPr>
          <w:rFonts w:hint="eastAsia" w:ascii="Times New Roman" w:eastAsia="宋体"/>
          <w:szCs w:val="21"/>
          <w:u w:val="thick"/>
          <w:lang w:val="en-US" w:eastAsia="zh-CN"/>
        </w:rPr>
        <w:t xml:space="preserve">  </w:t>
      </w:r>
      <w:r>
        <w:rPr>
          <w:rFonts w:hint="eastAsia" w:eastAsia="宋体"/>
          <w:szCs w:val="21"/>
          <w:u w:val="none"/>
          <w:lang w:eastAsia="zh-CN"/>
        </w:rPr>
        <w:t>；</w:t>
      </w:r>
    </w:p>
    <w:p w14:paraId="3C381227">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szCs w:val="21"/>
          <w:u w:val="none"/>
          <w:lang w:eastAsia="zh-CN"/>
        </w:rPr>
      </w:pPr>
      <w:r>
        <w:rPr>
          <w:rFonts w:hint="eastAsia"/>
          <w:szCs w:val="21"/>
        </w:rPr>
        <w:t>法定代表人（负责人）或其</w:t>
      </w:r>
      <w:r>
        <w:rPr>
          <w:rFonts w:hint="eastAsia" w:ascii="Times New Roman" w:eastAsia="宋体"/>
          <w:szCs w:val="21"/>
          <w:lang w:val="en-US" w:eastAsia="zh-CN"/>
        </w:rPr>
        <w:t>授权</w:t>
      </w:r>
      <w:r>
        <w:rPr>
          <w:rFonts w:hint="eastAsia"/>
          <w:szCs w:val="21"/>
        </w:rPr>
        <w:t>委托代理人：</w:t>
      </w:r>
      <w:r>
        <w:rPr>
          <w:rFonts w:hint="eastAsia"/>
          <w:szCs w:val="21"/>
          <w:u w:val="thick"/>
        </w:rPr>
        <w:t xml:space="preserve">         </w:t>
      </w:r>
      <w:r>
        <w:rPr>
          <w:rFonts w:hint="eastAsia" w:eastAsia="宋体"/>
          <w:szCs w:val="21"/>
          <w:u w:val="none"/>
          <w:lang w:eastAsia="zh-CN"/>
        </w:rPr>
        <w:t>；</w:t>
      </w:r>
    </w:p>
    <w:p w14:paraId="3D9727B3">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szCs w:val="21"/>
          <w:u w:val="none"/>
        </w:rPr>
      </w:pPr>
      <w:r>
        <w:rPr>
          <w:rFonts w:hint="eastAsia"/>
          <w:szCs w:val="21"/>
        </w:rPr>
        <w:t>电话</w:t>
      </w:r>
      <w:r>
        <w:rPr>
          <w:rFonts w:hint="eastAsia"/>
          <w:szCs w:val="21"/>
          <w:u w:val="none"/>
        </w:rPr>
        <w:t>：</w:t>
      </w:r>
      <w:r>
        <w:rPr>
          <w:rFonts w:hint="eastAsia"/>
          <w:szCs w:val="21"/>
          <w:u w:val="thick"/>
        </w:rPr>
        <w:t xml:space="preserve">         </w:t>
      </w:r>
      <w:r>
        <w:rPr>
          <w:rFonts w:hint="eastAsia"/>
          <w:szCs w:val="21"/>
        </w:rPr>
        <w:t xml:space="preserve"> </w:t>
      </w:r>
      <w:r>
        <w:rPr>
          <w:rFonts w:hint="eastAsia" w:eastAsia="宋体"/>
          <w:szCs w:val="21"/>
          <w:u w:val="none"/>
          <w:lang w:eastAsia="zh-CN"/>
        </w:rPr>
        <w:t>；</w:t>
      </w:r>
      <w:r>
        <w:rPr>
          <w:rFonts w:hint="eastAsia"/>
          <w:szCs w:val="21"/>
          <w:u w:val="none"/>
        </w:rPr>
        <w:t xml:space="preserve">     </w:t>
      </w:r>
    </w:p>
    <w:p w14:paraId="36EC3EB1">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ascii="黑体" w:hAnsi="宋体" w:eastAsia="黑体"/>
        </w:rPr>
      </w:pPr>
      <w:r>
        <w:rPr>
          <w:rFonts w:hint="eastAsia" w:ascii="宋体" w:hAnsi="宋体"/>
          <w:szCs w:val="21"/>
        </w:rPr>
        <w:t>日期：</w:t>
      </w:r>
      <w:r>
        <w:rPr>
          <w:rFonts w:hint="eastAsia" w:ascii="宋体" w:hAnsi="宋体"/>
          <w:szCs w:val="21"/>
          <w:u w:val="thick"/>
        </w:rPr>
        <w:t xml:space="preserve">       </w:t>
      </w:r>
      <w:r>
        <w:rPr>
          <w:rFonts w:hint="eastAsia" w:ascii="宋体" w:hAnsi="宋体"/>
          <w:szCs w:val="21"/>
        </w:rPr>
        <w:t>年</w:t>
      </w:r>
      <w:r>
        <w:rPr>
          <w:rFonts w:hint="eastAsia" w:ascii="宋体" w:hAnsi="宋体"/>
          <w:szCs w:val="21"/>
          <w:u w:val="thick"/>
        </w:rPr>
        <w:t xml:space="preserve">     </w:t>
      </w:r>
      <w:r>
        <w:rPr>
          <w:rFonts w:hint="eastAsia" w:ascii="宋体" w:hAnsi="宋体"/>
          <w:szCs w:val="21"/>
        </w:rPr>
        <w:t>月</w:t>
      </w:r>
      <w:r>
        <w:rPr>
          <w:rFonts w:hint="eastAsia" w:ascii="宋体" w:hAnsi="宋体"/>
          <w:szCs w:val="21"/>
          <w:u w:val="thick"/>
        </w:rPr>
        <w:t xml:space="preserve">    </w:t>
      </w:r>
      <w:r>
        <w:rPr>
          <w:rFonts w:hint="eastAsia" w:ascii="宋体" w:hAnsi="宋体"/>
          <w:szCs w:val="21"/>
        </w:rPr>
        <w:t>日</w:t>
      </w:r>
      <w:r>
        <w:rPr>
          <w:rFonts w:hint="eastAsia"/>
          <w:sz w:val="24"/>
        </w:rPr>
        <w:t xml:space="preserve">  </w:t>
      </w:r>
    </w:p>
    <w:p w14:paraId="2C71D1F8">
      <w:pPr>
        <w:rPr>
          <w:rFonts w:ascii="宋体" w:hAnsi="宋体"/>
          <w:szCs w:val="21"/>
        </w:rPr>
      </w:pPr>
    </w:p>
    <w:p w14:paraId="1B1B6715">
      <w:pPr>
        <w:pStyle w:val="6"/>
        <w:numPr>
          <w:ilvl w:val="0"/>
          <w:numId w:val="11"/>
        </w:numPr>
        <w:ind w:left="0" w:leftChars="0" w:firstLine="420" w:firstLineChars="0"/>
        <w:jc w:val="center"/>
        <w:rPr>
          <w:rFonts w:hint="eastAsia" w:ascii="黑体" w:hAnsi="宋体" w:eastAsia="黑体"/>
          <w:b w:val="0"/>
          <w:kern w:val="0"/>
          <w:sz w:val="24"/>
        </w:rPr>
      </w:pPr>
      <w:r>
        <w:rPr>
          <w:rFonts w:hint="eastAsia" w:ascii="黑体" w:hAnsi="宋体" w:eastAsia="黑体"/>
          <w:b w:val="0"/>
          <w:kern w:val="0"/>
          <w:sz w:val="24"/>
        </w:rPr>
        <w:t>政府采购投标及履约承诺函</w:t>
      </w:r>
    </w:p>
    <w:p w14:paraId="7AF55DAE">
      <w:pPr>
        <w:rPr>
          <w:rFonts w:ascii="宋体" w:hAnsi="宋体"/>
          <w:sz w:val="24"/>
        </w:rPr>
      </w:pPr>
    </w:p>
    <w:p w14:paraId="5DC41E09">
      <w:pPr>
        <w:rPr>
          <w:rFonts w:hint="eastAsia" w:ascii="宋体" w:hAnsi="宋体" w:eastAsia="宋体" w:cs="宋体"/>
          <w:color w:val="FF0000"/>
          <w:sz w:val="21"/>
          <w:szCs w:val="21"/>
        </w:rPr>
      </w:pPr>
      <w:r>
        <w:rPr>
          <w:rFonts w:hint="eastAsia" w:ascii="宋体" w:hAnsi="宋体" w:eastAsia="宋体" w:cs="宋体"/>
          <w:color w:val="FF0000"/>
          <w:sz w:val="21"/>
          <w:szCs w:val="21"/>
        </w:rPr>
        <w:t>致：</w:t>
      </w:r>
      <w:r>
        <w:rPr>
          <w:rFonts w:hint="eastAsia" w:ascii="宋体" w:hAnsi="宋体" w:eastAsia="宋体" w:cs="宋体"/>
          <w:color w:val="FF0000"/>
          <w:sz w:val="21"/>
          <w:szCs w:val="21"/>
          <w:u w:val="single"/>
        </w:rPr>
        <w:t>深圳公共资源交易中心</w:t>
      </w:r>
    </w:p>
    <w:p w14:paraId="73D0634A">
      <w:pPr>
        <w:ind w:right="-815" w:firstLine="420" w:firstLineChars="200"/>
        <w:rPr>
          <w:rFonts w:hint="eastAsia" w:ascii="宋体" w:hAnsi="宋体" w:eastAsia="宋体" w:cs="宋体"/>
          <w:sz w:val="21"/>
          <w:szCs w:val="21"/>
        </w:rPr>
      </w:pPr>
      <w:r>
        <w:rPr>
          <w:rFonts w:hint="eastAsia" w:ascii="宋体" w:hAnsi="宋体" w:eastAsia="宋体" w:cs="宋体"/>
          <w:sz w:val="21"/>
          <w:szCs w:val="21"/>
        </w:rPr>
        <w:t>我单位承诺：</w:t>
      </w:r>
    </w:p>
    <w:p w14:paraId="40ADBB64">
      <w:pPr>
        <w:ind w:firstLine="420" w:firstLineChars="200"/>
        <w:rPr>
          <w:rFonts w:hint="eastAsia" w:ascii="宋体" w:hAnsi="宋体" w:eastAsia="宋体" w:cs="宋体"/>
          <w:sz w:val="21"/>
          <w:szCs w:val="21"/>
        </w:rPr>
      </w:pPr>
      <w:r>
        <w:rPr>
          <w:rFonts w:hint="eastAsia" w:ascii="宋体" w:hAnsi="宋体" w:eastAsia="宋体" w:cs="宋体"/>
          <w:sz w:val="21"/>
          <w:szCs w:val="21"/>
        </w:rPr>
        <w:t>1.我单位参与本项目所投标（响应）的货物、工程或服务，不存在侵犯知识产权的情况。</w:t>
      </w:r>
    </w:p>
    <w:p w14:paraId="3707D7C4">
      <w:pPr>
        <w:ind w:firstLine="420" w:firstLineChars="200"/>
        <w:rPr>
          <w:rFonts w:hint="eastAsia" w:ascii="宋体" w:hAnsi="宋体" w:eastAsia="宋体" w:cs="宋体"/>
          <w:sz w:val="21"/>
          <w:szCs w:val="21"/>
        </w:rPr>
      </w:pPr>
      <w:r>
        <w:rPr>
          <w:rFonts w:hint="eastAsia" w:ascii="宋体" w:hAnsi="宋体" w:eastAsia="宋体" w:cs="宋体"/>
          <w:sz w:val="21"/>
          <w:szCs w:val="21"/>
        </w:rPr>
        <w:t>2.我单位参与本项目政府采购活动时不存在被有关部门禁止参与政府采购活动且在有效期内的情况。</w:t>
      </w:r>
    </w:p>
    <w:p w14:paraId="796CD785">
      <w:pPr>
        <w:ind w:firstLine="420" w:firstLineChars="200"/>
        <w:rPr>
          <w:rFonts w:hint="eastAsia" w:ascii="宋体" w:hAnsi="宋体" w:eastAsia="宋体" w:cs="宋体"/>
          <w:sz w:val="21"/>
          <w:szCs w:val="21"/>
        </w:rPr>
      </w:pPr>
      <w:r>
        <w:rPr>
          <w:rFonts w:hint="eastAsia" w:ascii="宋体" w:hAnsi="宋体" w:eastAsia="宋体" w:cs="宋体"/>
          <w:sz w:val="21"/>
          <w:szCs w:val="21"/>
        </w:rPr>
        <w:t>3.我单位具备《中华人民共和国政府采购法》第二十二条第一款规定的六项条件。</w:t>
      </w:r>
    </w:p>
    <w:p w14:paraId="36DAF487">
      <w:pPr>
        <w:ind w:firstLine="420" w:firstLineChars="200"/>
        <w:rPr>
          <w:rFonts w:hint="eastAsia" w:ascii="宋体" w:hAnsi="宋体" w:eastAsia="宋体" w:cs="宋体"/>
          <w:sz w:val="21"/>
          <w:szCs w:val="21"/>
          <w:lang w:eastAsia="zh-CN"/>
        </w:rPr>
      </w:pPr>
      <w:r>
        <w:rPr>
          <w:rFonts w:hint="eastAsia" w:ascii="宋体" w:hAnsi="宋体" w:eastAsia="宋体" w:cs="宋体"/>
          <w:sz w:val="21"/>
          <w:szCs w:val="21"/>
        </w:rPr>
        <w:t>4.我单位未被列入失信被执行人、重大税收违法案件当事人名单、政府采购严重违法失信行为记录名单</w:t>
      </w:r>
      <w:r>
        <w:rPr>
          <w:rFonts w:hint="eastAsia" w:ascii="宋体" w:hAnsi="宋体" w:eastAsia="宋体" w:cs="宋体"/>
          <w:sz w:val="21"/>
          <w:szCs w:val="21"/>
          <w:lang w:eastAsia="zh-CN"/>
        </w:rPr>
        <w:t>。</w:t>
      </w:r>
    </w:p>
    <w:p w14:paraId="16220387">
      <w:pPr>
        <w:ind w:firstLine="420" w:firstLineChars="200"/>
        <w:rPr>
          <w:rFonts w:hint="eastAsia" w:ascii="宋体" w:hAnsi="宋体" w:eastAsia="宋体" w:cs="宋体"/>
          <w:sz w:val="21"/>
          <w:szCs w:val="21"/>
          <w:lang w:eastAsia="zh-CN"/>
        </w:rPr>
      </w:pPr>
      <w:r>
        <w:rPr>
          <w:rFonts w:hint="eastAsia" w:ascii="宋体" w:hAnsi="宋体" w:eastAsia="宋体" w:cs="宋体"/>
          <w:color w:val="FF0000"/>
          <w:sz w:val="21"/>
          <w:szCs w:val="21"/>
          <w:lang w:val="en-US" w:eastAsia="zh-CN"/>
        </w:rPr>
        <w:t>5.我单位不存在《深圳市财政局政府采购供应商信用信息管理办法》（深财规〔2023〕3号）列明的严重违法失信行为。</w:t>
      </w:r>
    </w:p>
    <w:p w14:paraId="3F4131DC">
      <w:pPr>
        <w:ind w:firstLine="420" w:firstLineChars="200"/>
        <w:rPr>
          <w:rFonts w:hint="eastAsia" w:ascii="宋体" w:hAnsi="宋体" w:eastAsia="宋体" w:cs="宋体"/>
          <w:sz w:val="21"/>
          <w:szCs w:val="21"/>
        </w:rPr>
      </w:pPr>
      <w:r>
        <w:rPr>
          <w:rFonts w:hint="eastAsia" w:ascii="宋体" w:hAnsi="宋体" w:eastAsia="宋体" w:cs="宋体"/>
          <w:sz w:val="21"/>
          <w:szCs w:val="21"/>
          <w:lang w:val="en-US" w:eastAsia="zh-CN"/>
        </w:rPr>
        <w:t>6</w:t>
      </w:r>
      <w:r>
        <w:rPr>
          <w:rFonts w:hint="eastAsia" w:ascii="宋体" w:hAnsi="宋体" w:eastAsia="宋体" w:cs="宋体"/>
          <w:sz w:val="21"/>
          <w:szCs w:val="21"/>
        </w:rPr>
        <w:t>.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p>
    <w:p w14:paraId="6F81FD65">
      <w:pPr>
        <w:ind w:firstLine="420" w:firstLineChars="200"/>
        <w:rPr>
          <w:rFonts w:hint="eastAsia" w:ascii="宋体" w:hAnsi="宋体" w:eastAsia="宋体" w:cs="宋体"/>
          <w:sz w:val="21"/>
          <w:szCs w:val="21"/>
        </w:rPr>
      </w:pPr>
      <w:r>
        <w:rPr>
          <w:rFonts w:hint="eastAsia" w:ascii="宋体" w:hAnsi="宋体" w:eastAsia="宋体" w:cs="宋体"/>
          <w:sz w:val="21"/>
          <w:szCs w:val="21"/>
          <w:lang w:val="en-US" w:eastAsia="zh-CN"/>
        </w:rPr>
        <w:t>7</w:t>
      </w:r>
      <w:r>
        <w:rPr>
          <w:rFonts w:hint="eastAsia" w:ascii="宋体" w:hAnsi="宋体" w:eastAsia="宋体" w:cs="宋体"/>
          <w:sz w:val="21"/>
          <w:szCs w:val="21"/>
        </w:rPr>
        <w:t>.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14:paraId="12F8ABAD">
      <w:pPr>
        <w:ind w:firstLine="420" w:firstLineChars="200"/>
        <w:rPr>
          <w:rFonts w:hint="eastAsia" w:ascii="宋体" w:hAnsi="宋体" w:eastAsia="宋体" w:cs="宋体"/>
          <w:sz w:val="21"/>
          <w:szCs w:val="21"/>
        </w:rPr>
      </w:pPr>
      <w:r>
        <w:rPr>
          <w:rFonts w:hint="eastAsia" w:ascii="宋体" w:hAnsi="宋体" w:eastAsia="宋体" w:cs="宋体"/>
          <w:sz w:val="21"/>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14:paraId="0247D39E">
      <w:pPr>
        <w:ind w:firstLine="420" w:firstLineChars="200"/>
        <w:rPr>
          <w:rFonts w:hint="eastAsia" w:ascii="宋体" w:hAnsi="宋体" w:eastAsia="宋体" w:cs="宋体"/>
          <w:sz w:val="21"/>
          <w:szCs w:val="21"/>
        </w:rPr>
      </w:pPr>
      <w:r>
        <w:rPr>
          <w:rFonts w:hint="eastAsia" w:ascii="宋体" w:hAnsi="宋体" w:eastAsia="宋体" w:cs="宋体"/>
          <w:sz w:val="21"/>
          <w:szCs w:val="21"/>
          <w:lang w:val="en-US" w:eastAsia="zh-CN"/>
        </w:rPr>
        <w:t>8</w:t>
      </w:r>
      <w:r>
        <w:rPr>
          <w:rFonts w:hint="eastAsia" w:ascii="宋体" w:hAnsi="宋体" w:eastAsia="宋体" w:cs="宋体"/>
          <w:sz w:val="21"/>
          <w:szCs w:val="21"/>
        </w:rPr>
        <w:t>.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14:paraId="28CFDE07">
      <w:pPr>
        <w:ind w:firstLine="420" w:firstLineChars="200"/>
        <w:rPr>
          <w:rFonts w:hint="eastAsia" w:ascii="宋体" w:hAnsi="宋体" w:eastAsia="宋体" w:cs="宋体"/>
          <w:sz w:val="21"/>
          <w:szCs w:val="21"/>
        </w:rPr>
      </w:pPr>
      <w:r>
        <w:rPr>
          <w:rFonts w:hint="eastAsia" w:ascii="宋体" w:hAnsi="宋体" w:eastAsia="宋体" w:cs="宋体"/>
          <w:sz w:val="21"/>
          <w:szCs w:val="21"/>
          <w:lang w:val="en-US" w:eastAsia="zh-CN"/>
        </w:rPr>
        <w:t>9</w:t>
      </w:r>
      <w:r>
        <w:rPr>
          <w:rFonts w:hint="eastAsia" w:ascii="宋体" w:hAnsi="宋体" w:eastAsia="宋体" w:cs="宋体"/>
          <w:sz w:val="21"/>
          <w:szCs w:val="21"/>
        </w:rPr>
        <w:t>.我单位承诺中标后项目不转包，未经采购人同意不进行分包。</w:t>
      </w:r>
    </w:p>
    <w:p w14:paraId="510D2DD0">
      <w:pPr>
        <w:ind w:firstLine="420" w:firstLineChars="200"/>
        <w:rPr>
          <w:rFonts w:hint="eastAsia" w:ascii="宋体" w:hAnsi="宋体" w:eastAsia="宋体" w:cs="宋体"/>
          <w:sz w:val="21"/>
          <w:szCs w:val="21"/>
        </w:rPr>
      </w:pPr>
      <w:r>
        <w:rPr>
          <w:rFonts w:hint="eastAsia" w:ascii="宋体" w:hAnsi="宋体" w:eastAsia="宋体" w:cs="宋体"/>
          <w:sz w:val="21"/>
          <w:szCs w:val="21"/>
          <w:lang w:val="en-US" w:eastAsia="zh-CN"/>
        </w:rPr>
        <w:t>10</w:t>
      </w:r>
      <w:r>
        <w:rPr>
          <w:rFonts w:hint="eastAsia" w:ascii="宋体" w:hAnsi="宋体" w:eastAsia="宋体" w:cs="宋体"/>
          <w:sz w:val="21"/>
          <w:szCs w:val="21"/>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14:paraId="11736EB3">
      <w:pPr>
        <w:ind w:firstLine="420" w:firstLineChars="200"/>
        <w:rPr>
          <w:rFonts w:hint="eastAsia" w:ascii="宋体" w:hAnsi="宋体" w:eastAsia="宋体" w:cs="宋体"/>
          <w:b/>
          <w:kern w:val="0"/>
          <w:sz w:val="21"/>
          <w:szCs w:val="21"/>
        </w:rPr>
      </w:pPr>
      <w:r>
        <w:rPr>
          <w:rFonts w:hint="eastAsia" w:ascii="宋体" w:hAnsi="宋体" w:eastAsia="宋体" w:cs="宋体"/>
          <w:sz w:val="21"/>
          <w:szCs w:val="21"/>
        </w:rPr>
        <w:t>1</w:t>
      </w:r>
      <w:r>
        <w:rPr>
          <w:rFonts w:hint="eastAsia" w:ascii="宋体" w:hAnsi="宋体" w:eastAsia="宋体" w:cs="宋体"/>
          <w:sz w:val="21"/>
          <w:szCs w:val="21"/>
          <w:lang w:val="en-US" w:eastAsia="zh-CN"/>
        </w:rPr>
        <w:t>1</w:t>
      </w:r>
      <w:r>
        <w:rPr>
          <w:rFonts w:hint="eastAsia" w:ascii="宋体" w:hAnsi="宋体" w:eastAsia="宋体" w:cs="宋体"/>
          <w:sz w:val="21"/>
          <w:szCs w:val="21"/>
        </w:rPr>
        <w:t>.我单位保证，若所投货物涉及《财政部生态环境部关于印发节能产品政府采购品目清单的通知》（财库〔2019〕19号）列明的政府采购强制产品，则所投该产品符合节能产品的认证要求。</w:t>
      </w:r>
      <w:r>
        <w:rPr>
          <w:rFonts w:hint="eastAsia" w:ascii="宋体" w:hAnsi="宋体" w:eastAsia="宋体" w:cs="宋体"/>
          <w:sz w:val="21"/>
          <w:szCs w:val="21"/>
          <w:lang w:val="en-US" w:eastAsia="zh-CN"/>
        </w:rPr>
        <w:t>若所投产品包括数据中心相关设备的，应满足</w:t>
      </w:r>
      <w:r>
        <w:rPr>
          <w:rFonts w:hint="eastAsia" w:ascii="宋体" w:hAnsi="宋体" w:eastAsia="宋体" w:cs="宋体"/>
          <w:sz w:val="21"/>
          <w:szCs w:val="21"/>
        </w:rPr>
        <w:t>《财政部 生态环境部 工业和信息化部关于印发&lt;绿色数据中心政府采购需求标准（试行）&gt;的通知》</w:t>
      </w:r>
      <w:r>
        <w:rPr>
          <w:rFonts w:hint="eastAsia" w:ascii="宋体" w:hAnsi="宋体" w:eastAsia="宋体" w:cs="宋体"/>
          <w:sz w:val="21"/>
          <w:szCs w:val="21"/>
          <w:lang w:eastAsia="zh-CN"/>
        </w:rPr>
        <w:t>（</w:t>
      </w:r>
      <w:r>
        <w:rPr>
          <w:rFonts w:hint="eastAsia" w:ascii="宋体" w:hAnsi="宋体" w:eastAsia="宋体" w:cs="宋体"/>
          <w:sz w:val="21"/>
          <w:szCs w:val="21"/>
        </w:rPr>
        <w:t>财库〔2023〕7号）</w:t>
      </w:r>
      <w:r>
        <w:rPr>
          <w:rFonts w:hint="eastAsia" w:ascii="宋体" w:hAnsi="宋体" w:eastAsia="宋体" w:cs="宋体"/>
          <w:sz w:val="21"/>
          <w:szCs w:val="21"/>
          <w:lang w:val="en-US" w:eastAsia="zh-CN"/>
        </w:rPr>
        <w:t>要求。若所投产品涉及国家强制性标准的，所投产品应符合国家强制性标准相关要求。</w:t>
      </w:r>
    </w:p>
    <w:p w14:paraId="2752E6F6">
      <w:pPr>
        <w:ind w:firstLine="420" w:firstLineChars="200"/>
        <w:rPr>
          <w:rFonts w:hint="eastAsia" w:ascii="宋体" w:hAnsi="宋体" w:eastAsia="宋体" w:cs="宋体"/>
          <w:b w:val="0"/>
          <w:bCs/>
          <w:sz w:val="21"/>
          <w:szCs w:val="21"/>
        </w:rPr>
      </w:pPr>
      <w:r>
        <w:rPr>
          <w:rFonts w:hint="eastAsia" w:ascii="宋体" w:hAnsi="宋体" w:eastAsia="宋体" w:cs="宋体"/>
          <w:b w:val="0"/>
          <w:bCs/>
          <w:kern w:val="0"/>
          <w:sz w:val="21"/>
          <w:szCs w:val="21"/>
        </w:rPr>
        <w:t>1</w:t>
      </w:r>
      <w:r>
        <w:rPr>
          <w:rFonts w:hint="eastAsia" w:ascii="宋体" w:hAnsi="宋体" w:eastAsia="宋体" w:cs="宋体"/>
          <w:b w:val="0"/>
          <w:bCs/>
          <w:kern w:val="0"/>
          <w:sz w:val="21"/>
          <w:szCs w:val="21"/>
          <w:lang w:val="en-US" w:eastAsia="zh-CN"/>
        </w:rPr>
        <w:t>2</w:t>
      </w:r>
      <w:r>
        <w:rPr>
          <w:rFonts w:hint="eastAsia" w:ascii="宋体" w:hAnsi="宋体" w:eastAsia="宋体" w:cs="宋体"/>
          <w:b w:val="0"/>
          <w:bCs/>
          <w:kern w:val="0"/>
          <w:sz w:val="21"/>
          <w:szCs w:val="21"/>
        </w:rPr>
        <w:t>.</w:t>
      </w:r>
      <w:r>
        <w:rPr>
          <w:rFonts w:hint="eastAsia" w:ascii="宋体" w:hAnsi="宋体" w:eastAsia="宋体" w:cs="宋体"/>
          <w:b w:val="0"/>
          <w:bCs/>
          <w:sz w:val="21"/>
          <w:szCs w:val="21"/>
        </w:rPr>
        <w:t>我单位已知悉并同意中标（成交）结果信息公示（公开）的内容。</w:t>
      </w:r>
    </w:p>
    <w:p w14:paraId="08514E06">
      <w:pPr>
        <w:ind w:firstLine="420" w:firstLineChars="200"/>
        <w:rPr>
          <w:rFonts w:hint="eastAsia" w:ascii="宋体" w:hAnsi="宋体" w:eastAsia="宋体" w:cs="宋体"/>
          <w:b w:val="0"/>
          <w:bCs/>
          <w:sz w:val="21"/>
          <w:szCs w:val="21"/>
        </w:rPr>
      </w:pPr>
      <w:r>
        <w:rPr>
          <w:rFonts w:hint="eastAsia" w:ascii="宋体" w:hAnsi="宋体" w:eastAsia="宋体" w:cs="宋体"/>
          <w:b w:val="0"/>
          <w:bCs/>
          <w:sz w:val="21"/>
          <w:szCs w:val="21"/>
        </w:rPr>
        <w:t>1</w:t>
      </w:r>
      <w:r>
        <w:rPr>
          <w:rFonts w:hint="eastAsia" w:ascii="宋体" w:hAnsi="宋体" w:eastAsia="宋体" w:cs="宋体"/>
          <w:b w:val="0"/>
          <w:bCs/>
          <w:sz w:val="21"/>
          <w:szCs w:val="21"/>
          <w:lang w:val="en-US" w:eastAsia="zh-CN"/>
        </w:rPr>
        <w:t>3</w:t>
      </w:r>
      <w:r>
        <w:rPr>
          <w:rFonts w:hint="eastAsia" w:ascii="宋体" w:hAnsi="宋体" w:eastAsia="宋体" w:cs="宋体"/>
          <w:b w:val="0"/>
          <w:bCs/>
          <w:sz w:val="21"/>
          <w:szCs w:val="21"/>
        </w:rPr>
        <w:t>.我单位保证，符合《中华人民共和国政府采购法实施条例》第十八条规定，与其他投标供应商不存在单位负责人为同一人或者存在直接控股、管理关系；不存在为本次采购项目提供整体设计、规范编制或者项目管理、监理、检测等服务的情形。若存在“不同供应商的董事、股东或其他高级管理人员为同一人的”情形的，我单位保证不存在串通投标、恶意串通或者视为串通投标的情</w:t>
      </w:r>
      <w:r>
        <w:rPr>
          <w:rFonts w:hint="eastAsia" w:ascii="宋体" w:hAnsi="宋体" w:eastAsia="宋体" w:cs="宋体"/>
          <w:b w:val="0"/>
          <w:bCs/>
          <w:color w:val="auto"/>
          <w:sz w:val="21"/>
          <w:szCs w:val="21"/>
        </w:rPr>
        <w:t>形</w:t>
      </w:r>
      <w:r>
        <w:rPr>
          <w:rFonts w:hint="eastAsia" w:ascii="宋体" w:hAnsi="宋体" w:eastAsia="宋体" w:cs="宋体"/>
          <w:b w:val="0"/>
          <w:bCs/>
          <w:color w:val="auto"/>
          <w:sz w:val="21"/>
          <w:szCs w:val="21"/>
          <w:lang w:eastAsia="zh-CN"/>
        </w:rPr>
        <w:t>。</w:t>
      </w:r>
    </w:p>
    <w:p w14:paraId="28BDCEA9">
      <w:pPr>
        <w:ind w:firstLine="420" w:firstLineChars="200"/>
        <w:rPr>
          <w:rFonts w:hint="eastAsia" w:ascii="宋体" w:hAnsi="宋体" w:eastAsia="宋体" w:cs="宋体"/>
          <w:b/>
          <w:sz w:val="21"/>
          <w:szCs w:val="21"/>
        </w:rPr>
      </w:pPr>
      <w:r>
        <w:rPr>
          <w:rFonts w:hint="eastAsia" w:ascii="宋体" w:hAnsi="宋体" w:eastAsia="宋体" w:cs="宋体"/>
          <w:b/>
          <w:bCs w:val="0"/>
          <w:sz w:val="21"/>
          <w:szCs w:val="21"/>
          <w:lang w:val="en-US" w:eastAsia="zh-CN"/>
        </w:rPr>
        <w:t>14.我单位清楚，如存在违反投标承诺行为情节严重的，将根据《深圳市财政局关于印发&lt;深圳市财政局政府采购供应商信用信息管理办法&gt;的通知》，依法被列入失信信息。</w:t>
      </w:r>
    </w:p>
    <w:p w14:paraId="3B0B6F5A">
      <w:pPr>
        <w:pStyle w:val="2"/>
        <w:ind w:firstLine="420" w:firstLineChars="200"/>
        <w:rPr>
          <w:rFonts w:hint="eastAsia" w:ascii="宋体" w:hAnsi="宋体" w:eastAsia="宋体" w:cs="宋体"/>
          <w:sz w:val="21"/>
          <w:szCs w:val="21"/>
        </w:rPr>
      </w:pPr>
    </w:p>
    <w:p w14:paraId="0EAC519E">
      <w:pPr>
        <w:ind w:firstLine="420" w:firstLineChars="200"/>
        <w:rPr>
          <w:rFonts w:hint="eastAsia" w:ascii="宋体" w:hAnsi="宋体" w:eastAsia="宋体" w:cs="宋体"/>
          <w:sz w:val="21"/>
          <w:szCs w:val="21"/>
        </w:rPr>
      </w:pPr>
      <w:r>
        <w:rPr>
          <w:rFonts w:hint="eastAsia" w:ascii="宋体" w:hAnsi="宋体" w:eastAsia="宋体" w:cs="宋体"/>
          <w:sz w:val="21"/>
          <w:szCs w:val="21"/>
        </w:rPr>
        <w:t>以上承诺，如有违反，愿依照国家相关法律法规处理，并承担由此给采购人带来的损失。</w:t>
      </w:r>
    </w:p>
    <w:p w14:paraId="4CCC0542">
      <w:pPr>
        <w:spacing w:before="60" w:beforeLines="25" w:after="60" w:afterLines="25"/>
        <w:ind w:firstLine="5460" w:firstLineChars="2600"/>
        <w:rPr>
          <w:rFonts w:ascii="宋体" w:hAnsi="宋体"/>
          <w:szCs w:val="21"/>
        </w:rPr>
      </w:pPr>
      <w:r>
        <w:rPr>
          <w:rFonts w:hint="eastAsia" w:ascii="宋体" w:hAnsi="宋体"/>
          <w:szCs w:val="21"/>
        </w:rPr>
        <w:t xml:space="preserve">                                    </w:t>
      </w:r>
    </w:p>
    <w:p w14:paraId="5E018BCE">
      <w:pPr>
        <w:spacing w:before="60" w:beforeLines="25" w:after="60" w:afterLines="25"/>
        <w:ind w:firstLine="5460" w:firstLineChars="2600"/>
        <w:rPr>
          <w:color w:val="FF0000"/>
        </w:rPr>
      </w:pPr>
      <w:r>
        <w:rPr>
          <w:rFonts w:hint="eastAsia"/>
          <w:color w:val="FF0000"/>
          <w:szCs w:val="21"/>
        </w:rPr>
        <w:t>投标人：</w:t>
      </w:r>
      <w:r>
        <w:rPr>
          <w:rFonts w:hint="eastAsia"/>
          <w:szCs w:val="21"/>
          <w:u w:val="thick"/>
        </w:rPr>
        <w:t xml:space="preserve">       </w:t>
      </w:r>
      <w:r>
        <w:rPr>
          <w:rFonts w:hint="eastAsia"/>
          <w:szCs w:val="21"/>
          <w:u w:val="thick"/>
          <w:lang w:val="en-US" w:eastAsia="zh-CN"/>
        </w:rPr>
        <w:t xml:space="preserve">    </w:t>
      </w:r>
      <w:r>
        <w:rPr>
          <w:rFonts w:hint="eastAsia"/>
          <w:color w:val="FF0000"/>
          <w:szCs w:val="21"/>
          <w:u w:val="single"/>
        </w:rPr>
        <w:t xml:space="preserve"> </w:t>
      </w:r>
    </w:p>
    <w:p w14:paraId="1FF304A8">
      <w:pPr>
        <w:ind w:firstLine="645"/>
        <w:rPr>
          <w:rFonts w:ascii="宋体" w:hAnsi="宋体"/>
          <w:color w:val="FF0000"/>
          <w:szCs w:val="21"/>
        </w:rPr>
      </w:pPr>
      <w:r>
        <w:rPr>
          <w:rFonts w:hint="eastAsia" w:ascii="宋体" w:hAnsi="宋体"/>
          <w:color w:val="FF0000"/>
          <w:szCs w:val="21"/>
        </w:rPr>
        <w:t xml:space="preserve">                                              日期：</w:t>
      </w:r>
      <w:r>
        <w:rPr>
          <w:rFonts w:hint="eastAsia" w:ascii="宋体" w:hAnsi="宋体"/>
          <w:color w:val="FF0000"/>
          <w:szCs w:val="21"/>
          <w:u w:val="single"/>
        </w:rPr>
        <w:t xml:space="preserve">    </w:t>
      </w:r>
      <w:r>
        <w:rPr>
          <w:rFonts w:hint="eastAsia" w:ascii="宋体" w:hAnsi="宋体"/>
          <w:color w:val="FF0000"/>
          <w:szCs w:val="21"/>
        </w:rPr>
        <w:t>年</w:t>
      </w:r>
      <w:r>
        <w:rPr>
          <w:rFonts w:hint="eastAsia" w:ascii="宋体" w:hAnsi="宋体"/>
          <w:color w:val="FF0000"/>
          <w:szCs w:val="21"/>
          <w:u w:val="single"/>
        </w:rPr>
        <w:t xml:space="preserve">   </w:t>
      </w:r>
      <w:r>
        <w:rPr>
          <w:rFonts w:hint="eastAsia" w:ascii="宋体" w:hAnsi="宋体"/>
          <w:color w:val="FF0000"/>
          <w:szCs w:val="21"/>
        </w:rPr>
        <w:t>月</w:t>
      </w:r>
      <w:r>
        <w:rPr>
          <w:rFonts w:hint="eastAsia" w:ascii="宋体" w:hAnsi="宋体"/>
          <w:color w:val="FF0000"/>
          <w:szCs w:val="21"/>
          <w:u w:val="single"/>
        </w:rPr>
        <w:t xml:space="preserve">   </w:t>
      </w:r>
      <w:r>
        <w:rPr>
          <w:rFonts w:hint="eastAsia" w:ascii="宋体" w:hAnsi="宋体"/>
          <w:color w:val="FF0000"/>
          <w:szCs w:val="21"/>
        </w:rPr>
        <w:t>日</w:t>
      </w:r>
    </w:p>
    <w:p w14:paraId="2563C4D9">
      <w:pPr>
        <w:rPr>
          <w:rFonts w:ascii="宋体" w:hAnsi="宋体"/>
          <w:szCs w:val="21"/>
        </w:rPr>
      </w:pPr>
    </w:p>
    <w:p w14:paraId="0F403C60">
      <w:pPr>
        <w:rPr>
          <w:rFonts w:ascii="宋体" w:hAnsi="宋体"/>
          <w:szCs w:val="21"/>
        </w:rPr>
      </w:pPr>
    </w:p>
    <w:p w14:paraId="1F10EA6A"/>
    <w:p w14:paraId="375B4618"/>
    <w:p w14:paraId="13122785">
      <w:pPr>
        <w:pStyle w:val="6"/>
        <w:numPr>
          <w:ilvl w:val="0"/>
          <w:numId w:val="11"/>
        </w:numPr>
        <w:spacing w:before="120" w:after="120"/>
        <w:ind w:left="0" w:leftChars="0" w:firstLine="420" w:firstLineChars="0"/>
        <w:jc w:val="center"/>
        <w:rPr>
          <w:rFonts w:ascii="黑体" w:eastAsia="黑体"/>
          <w:b w:val="0"/>
          <w:kern w:val="0"/>
          <w:sz w:val="24"/>
        </w:rPr>
      </w:pPr>
      <w:r>
        <w:rPr>
          <w:rFonts w:hint="eastAsia" w:ascii="黑体" w:eastAsia="黑体"/>
          <w:b w:val="0"/>
          <w:kern w:val="0"/>
          <w:sz w:val="24"/>
        </w:rPr>
        <w:t>投标人情况及资格证明文件</w:t>
      </w:r>
    </w:p>
    <w:p w14:paraId="70FFD2A9">
      <w:pPr>
        <w:ind w:firstLine="2640" w:firstLineChars="1100"/>
        <w:outlineLvl w:val="3"/>
        <w:rPr>
          <w:rFonts w:ascii="黑体" w:hAnsi="宋体" w:eastAsia="黑体"/>
          <w:bCs/>
          <w:kern w:val="0"/>
          <w:sz w:val="24"/>
          <w:szCs w:val="32"/>
        </w:rPr>
      </w:pPr>
      <w:r>
        <w:rPr>
          <w:rFonts w:hint="eastAsia" w:ascii="黑体" w:hAnsi="宋体" w:eastAsia="黑体"/>
          <w:bCs/>
          <w:kern w:val="0"/>
          <w:sz w:val="24"/>
          <w:szCs w:val="32"/>
        </w:rPr>
        <w:t>（一）投标人资格证明文件</w:t>
      </w:r>
    </w:p>
    <w:p w14:paraId="5387DEE2">
      <w:pPr>
        <w:spacing w:before="120" w:beforeLines="50"/>
        <w:ind w:firstLine="420" w:firstLineChars="200"/>
        <w:rPr>
          <w:rFonts w:hint="eastAsia"/>
          <w:b/>
          <w:bCs/>
          <w:color w:val="FF0000"/>
        </w:rPr>
      </w:pPr>
      <w:bookmarkStart w:id="20" w:name="OLE_LINK6"/>
      <w:r>
        <w:rPr>
          <w:rFonts w:hint="eastAsia"/>
          <w:b/>
          <w:bCs/>
          <w:color w:val="FF0000"/>
        </w:rPr>
        <w:t>（特别提示：投标人须按本招标文件第一册第一章招标公告 “申请人的资格要求”（即投标人资格要求）提供相关的资格证明资料，未提供或提供不完整、不符合要求的，将作投标无效处理，其中要求提供《政府采购投标及履约承诺函》且已在“二、政府采购投标及履约承诺函”章节中提供了，此处可不重复提供。）</w:t>
      </w:r>
    </w:p>
    <w:p w14:paraId="3EC252AE">
      <w:pPr>
        <w:pStyle w:val="2"/>
      </w:pPr>
    </w:p>
    <w:bookmarkEnd w:id="20"/>
    <w:p w14:paraId="3C86932E">
      <w:pPr>
        <w:ind w:firstLine="480" w:firstLineChars="200"/>
        <w:rPr>
          <w:b/>
          <w:sz w:val="24"/>
        </w:rPr>
      </w:pPr>
    </w:p>
    <w:p w14:paraId="31992BE6">
      <w:pPr>
        <w:ind w:firstLine="480" w:firstLineChars="200"/>
        <w:outlineLvl w:val="3"/>
        <w:rPr>
          <w:rFonts w:ascii="黑体" w:hAnsi="宋体" w:eastAsia="黑体"/>
          <w:bCs/>
          <w:kern w:val="0"/>
          <w:sz w:val="24"/>
          <w:szCs w:val="32"/>
        </w:rPr>
      </w:pPr>
      <w:r>
        <w:rPr>
          <w:rFonts w:hint="eastAsia" w:ascii="黑体" w:hAnsi="宋体" w:eastAsia="黑体"/>
          <w:bCs/>
          <w:kern w:val="0"/>
          <w:sz w:val="24"/>
          <w:szCs w:val="32"/>
        </w:rPr>
        <w:t>（二）中小企业声明函、残疾人福利性单位声明函及监狱企业声明函</w:t>
      </w:r>
    </w:p>
    <w:p w14:paraId="43A72645">
      <w:pPr>
        <w:jc w:val="left"/>
        <w:outlineLvl w:val="3"/>
        <w:rPr>
          <w:rFonts w:ascii="黑体" w:hAnsi="宋体" w:eastAsia="黑体"/>
          <w:bCs/>
          <w:kern w:val="0"/>
          <w:sz w:val="24"/>
          <w:szCs w:val="32"/>
        </w:rPr>
      </w:pPr>
    </w:p>
    <w:p w14:paraId="2AAB77A2">
      <w:pPr>
        <w:ind w:firstLine="420" w:firstLineChars="200"/>
        <w:outlineLvl w:val="3"/>
        <w:rPr>
          <w:rFonts w:ascii="黑体" w:hAnsi="宋体" w:eastAsia="黑体"/>
          <w:bCs/>
          <w:color w:val="FF0000"/>
          <w:kern w:val="0"/>
          <w:szCs w:val="21"/>
        </w:rPr>
      </w:pPr>
      <w:r>
        <w:rPr>
          <w:rFonts w:hint="eastAsia" w:ascii="黑体" w:hAnsi="宋体" w:eastAsia="黑体"/>
          <w:bCs/>
          <w:color w:val="FF0000"/>
          <w:kern w:val="0"/>
          <w:szCs w:val="21"/>
        </w:rPr>
        <w:t>填写指引：</w:t>
      </w:r>
    </w:p>
    <w:p w14:paraId="214DDBEA">
      <w:pPr>
        <w:ind w:firstLine="420" w:firstLineChars="200"/>
        <w:outlineLvl w:val="3"/>
        <w:rPr>
          <w:rFonts w:ascii="黑体" w:hAnsi="黑体" w:eastAsia="黑体"/>
          <w:color w:val="FF0000"/>
          <w:szCs w:val="21"/>
        </w:rPr>
      </w:pPr>
      <w:r>
        <w:rPr>
          <w:rFonts w:hint="eastAsia" w:ascii="黑体" w:hAnsi="宋体" w:eastAsia="黑体"/>
          <w:bCs/>
          <w:color w:val="FF0000"/>
          <w:kern w:val="0"/>
          <w:szCs w:val="21"/>
        </w:rPr>
        <w:t>1、</w:t>
      </w:r>
      <w:r>
        <w:rPr>
          <w:rFonts w:hint="eastAsia" w:ascii="黑体" w:hAnsi="宋体" w:eastAsia="黑体"/>
          <w:bCs/>
          <w:color w:val="FF0000"/>
          <w:kern w:val="0"/>
          <w:szCs w:val="21"/>
          <w:highlight w:val="yellow"/>
        </w:rPr>
        <w:t>该部分内容由投标人根据自身实际情况填写，不符合要求的投标人可以不填写或直接删除相应的声明函。</w:t>
      </w:r>
      <w:r>
        <w:rPr>
          <w:rFonts w:hint="eastAsia" w:ascii="黑体" w:hAnsi="黑体" w:eastAsia="黑体"/>
          <w:color w:val="FF0000"/>
          <w:szCs w:val="21"/>
        </w:rPr>
        <w:t>投标人提供的声明函不属实的，属于提供虚假资料谋取中标，依照《中华人民共和国政府采购法》等国家有关规定追究相应责任。</w:t>
      </w:r>
    </w:p>
    <w:p w14:paraId="5AC83162">
      <w:pPr>
        <w:ind w:firstLine="420" w:firstLineChars="200"/>
        <w:outlineLvl w:val="3"/>
        <w:rPr>
          <w:rFonts w:ascii="黑体" w:hAnsi="黑体" w:eastAsia="黑体"/>
          <w:color w:val="FF0000"/>
          <w:szCs w:val="21"/>
        </w:rPr>
      </w:pPr>
      <w:r>
        <w:rPr>
          <w:rFonts w:hint="eastAsia" w:ascii="黑体" w:hAnsi="黑体" w:eastAsia="黑体"/>
          <w:color w:val="FF0000"/>
          <w:szCs w:val="21"/>
        </w:rPr>
        <w:t>2、该部分内容填写需要参考的相关文件：</w:t>
      </w:r>
    </w:p>
    <w:p w14:paraId="4A000FAE">
      <w:pPr>
        <w:ind w:firstLine="420" w:firstLineChars="200"/>
        <w:outlineLvl w:val="3"/>
        <w:rPr>
          <w:rFonts w:ascii="黑体" w:hAnsi="黑体" w:eastAsia="黑体"/>
          <w:color w:val="FF0000"/>
          <w:szCs w:val="21"/>
        </w:rPr>
      </w:pPr>
      <w:r>
        <w:rPr>
          <w:rFonts w:hint="eastAsia" w:ascii="黑体" w:hAnsi="黑体" w:eastAsia="黑体"/>
          <w:color w:val="FF0000"/>
          <w:szCs w:val="21"/>
        </w:rPr>
        <w:t>(</w:t>
      </w:r>
      <w:r>
        <w:rPr>
          <w:rFonts w:ascii="黑体" w:hAnsi="黑体" w:eastAsia="黑体"/>
          <w:color w:val="FF0000"/>
          <w:szCs w:val="21"/>
        </w:rPr>
        <w:t>1</w:t>
      </w:r>
      <w:r>
        <w:rPr>
          <w:rFonts w:hint="eastAsia" w:ascii="黑体" w:hAnsi="黑体" w:eastAsia="黑体"/>
          <w:color w:val="FF0000"/>
          <w:szCs w:val="21"/>
        </w:rPr>
        <w:t>)财政部《政府采购促进中小企业发展管理办法》（财库〔2020〕46号）</w:t>
      </w:r>
    </w:p>
    <w:p w14:paraId="24FA78AF">
      <w:pPr>
        <w:ind w:firstLine="420" w:firstLineChars="200"/>
        <w:outlineLvl w:val="3"/>
        <w:rPr>
          <w:rFonts w:ascii="黑体" w:hAnsi="黑体" w:eastAsia="黑体"/>
          <w:color w:val="FF0000"/>
          <w:szCs w:val="21"/>
        </w:rPr>
      </w:pPr>
      <w:r>
        <w:rPr>
          <w:rFonts w:hint="eastAsia" w:ascii="黑体" w:hAnsi="黑体" w:eastAsia="黑体"/>
          <w:color w:val="FF0000"/>
          <w:szCs w:val="21"/>
        </w:rPr>
        <w:t>(</w:t>
      </w:r>
      <w:r>
        <w:rPr>
          <w:rFonts w:ascii="黑体" w:hAnsi="黑体" w:eastAsia="黑体"/>
          <w:color w:val="FF0000"/>
          <w:szCs w:val="21"/>
        </w:rPr>
        <w:t>2</w:t>
      </w:r>
      <w:r>
        <w:rPr>
          <w:rFonts w:hint="eastAsia" w:ascii="黑体" w:hAnsi="黑体" w:eastAsia="黑体"/>
          <w:color w:val="FF0000"/>
          <w:szCs w:val="21"/>
        </w:rPr>
        <w:t>)</w:t>
      </w:r>
      <w:bookmarkStart w:id="21" w:name="_Hlk71925120"/>
      <w:r>
        <w:rPr>
          <w:rFonts w:hint="eastAsia" w:ascii="黑体" w:hAnsi="黑体" w:eastAsia="黑体"/>
          <w:color w:val="FF0000"/>
          <w:szCs w:val="21"/>
        </w:rPr>
        <w:t>《工业和信息化部、国家统计局、国家发展和改革委员会、财政部关于印发中小企业划型标准规定的通知》（工信部联企业〔2011〕300 号</w:t>
      </w:r>
      <w:bookmarkEnd w:id="21"/>
      <w:r>
        <w:rPr>
          <w:rFonts w:hint="eastAsia" w:ascii="黑体" w:hAnsi="黑体" w:eastAsia="黑体"/>
          <w:color w:val="FF0000"/>
          <w:szCs w:val="21"/>
        </w:rPr>
        <w:t>，以下简称3</w:t>
      </w:r>
      <w:r>
        <w:rPr>
          <w:rFonts w:ascii="黑体" w:hAnsi="黑体" w:eastAsia="黑体"/>
          <w:color w:val="FF0000"/>
          <w:szCs w:val="21"/>
        </w:rPr>
        <w:t>00</w:t>
      </w:r>
      <w:r>
        <w:rPr>
          <w:rFonts w:hint="eastAsia" w:ascii="黑体" w:hAnsi="黑体" w:eastAsia="黑体"/>
          <w:color w:val="FF0000"/>
          <w:szCs w:val="21"/>
        </w:rPr>
        <w:t>号文）</w:t>
      </w:r>
    </w:p>
    <w:p w14:paraId="4AC72048">
      <w:pPr>
        <w:ind w:firstLine="420" w:firstLineChars="200"/>
        <w:outlineLvl w:val="3"/>
        <w:rPr>
          <w:rFonts w:ascii="黑体" w:hAnsi="黑体" w:eastAsia="黑体"/>
          <w:color w:val="FF0000"/>
          <w:szCs w:val="21"/>
        </w:rPr>
      </w:pPr>
      <w:r>
        <w:rPr>
          <w:rFonts w:hint="eastAsia" w:ascii="黑体" w:hAnsi="黑体" w:eastAsia="黑体"/>
          <w:color w:val="FF0000"/>
          <w:szCs w:val="21"/>
        </w:rPr>
        <w:t>(3)《统计上大中小微型企业划分办法(2017)》（国统字〔2017〕213 号）</w:t>
      </w:r>
    </w:p>
    <w:p w14:paraId="601DC54B">
      <w:pPr>
        <w:ind w:firstLine="420" w:firstLineChars="200"/>
        <w:outlineLvl w:val="3"/>
        <w:rPr>
          <w:rFonts w:ascii="黑体" w:hAnsi="黑体" w:eastAsia="黑体"/>
          <w:color w:val="FF0000"/>
          <w:szCs w:val="21"/>
        </w:rPr>
      </w:pPr>
      <w:r>
        <w:rPr>
          <w:rFonts w:hint="eastAsia" w:ascii="黑体" w:hAnsi="黑体" w:eastAsia="黑体"/>
          <w:color w:val="FF0000"/>
          <w:szCs w:val="21"/>
        </w:rPr>
        <w:t>(4)《关于促进残疾人就业政府采购政策的通知》（财库〔2017〕141号）</w:t>
      </w:r>
    </w:p>
    <w:p w14:paraId="67D7FAC9">
      <w:pPr>
        <w:ind w:firstLine="420" w:firstLineChars="200"/>
        <w:outlineLvl w:val="3"/>
        <w:rPr>
          <w:rFonts w:ascii="黑体" w:hAnsi="黑体" w:eastAsia="黑体"/>
          <w:color w:val="FF0000"/>
          <w:szCs w:val="21"/>
        </w:rPr>
      </w:pPr>
      <w:r>
        <w:rPr>
          <w:rFonts w:hint="eastAsia" w:ascii="黑体" w:hAnsi="黑体" w:eastAsia="黑体"/>
          <w:color w:val="FF0000"/>
          <w:szCs w:val="21"/>
        </w:rPr>
        <w:t>(5)《关于政府采购支持监狱企业发展有关问题的通知》（财库〔2014〕68号）</w:t>
      </w:r>
    </w:p>
    <w:p w14:paraId="03F24E5C">
      <w:pPr>
        <w:ind w:firstLine="420" w:firstLineChars="200"/>
        <w:outlineLvl w:val="3"/>
        <w:rPr>
          <w:rFonts w:ascii="黑体" w:hAnsi="宋体" w:eastAsia="黑体"/>
          <w:bCs/>
          <w:color w:val="FF0000"/>
          <w:kern w:val="0"/>
          <w:szCs w:val="21"/>
        </w:rPr>
      </w:pPr>
      <w:r>
        <w:rPr>
          <w:rFonts w:hint="eastAsia" w:ascii="黑体" w:hAnsi="宋体" w:eastAsia="黑体"/>
          <w:bCs/>
          <w:color w:val="FF0000"/>
          <w:kern w:val="0"/>
          <w:szCs w:val="21"/>
        </w:rPr>
        <w:t>3、请依照提供的格式和内容填写声明函，不要随意变更格式；声明函不需要盖章或签字；</w:t>
      </w:r>
      <w:r>
        <w:rPr>
          <w:rFonts w:hint="eastAsia" w:ascii="黑体" w:hAnsi="黑体" w:eastAsia="黑体"/>
          <w:color w:val="FF0000"/>
          <w:szCs w:val="21"/>
        </w:rPr>
        <w:t>满足多项优惠政策的投标人，不重复享受多项价格扣除政策。</w:t>
      </w:r>
    </w:p>
    <w:p w14:paraId="5FF13792">
      <w:pPr>
        <w:ind w:firstLine="420" w:firstLineChars="200"/>
        <w:outlineLvl w:val="3"/>
        <w:rPr>
          <w:rFonts w:ascii="黑体" w:hAnsi="宋体" w:eastAsia="黑体"/>
          <w:bCs/>
          <w:color w:val="FF0000"/>
          <w:kern w:val="0"/>
          <w:szCs w:val="21"/>
        </w:rPr>
      </w:pPr>
      <w:r>
        <w:rPr>
          <w:rFonts w:hint="eastAsia" w:ascii="黑体" w:hAnsi="宋体" w:eastAsia="黑体"/>
          <w:bCs/>
          <w:color w:val="FF0000"/>
          <w:kern w:val="0"/>
          <w:szCs w:val="21"/>
        </w:rPr>
        <w:t>4、声明函具体填写要求：</w:t>
      </w:r>
    </w:p>
    <w:p w14:paraId="7728632A">
      <w:pPr>
        <w:ind w:firstLine="420" w:firstLineChars="200"/>
        <w:outlineLvl w:val="3"/>
        <w:rPr>
          <w:rFonts w:ascii="黑体" w:hAnsi="宋体" w:eastAsia="黑体"/>
          <w:bCs/>
          <w:color w:val="FF0000"/>
          <w:kern w:val="0"/>
          <w:szCs w:val="21"/>
        </w:rPr>
      </w:pPr>
      <w:r>
        <w:rPr>
          <w:rFonts w:hint="eastAsia" w:ascii="黑体" w:hAnsi="宋体" w:eastAsia="黑体"/>
          <w:bCs/>
          <w:color w:val="FF0000"/>
          <w:kern w:val="0"/>
          <w:szCs w:val="21"/>
        </w:rPr>
        <w:t>（1）声明是中小企业须填写《中小企业声明函》的以下内容：</w:t>
      </w:r>
    </w:p>
    <w:p w14:paraId="7996C3C8">
      <w:pPr>
        <w:ind w:firstLine="420" w:firstLineChars="200"/>
        <w:outlineLvl w:val="3"/>
        <w:rPr>
          <w:rFonts w:ascii="黑体" w:hAnsi="宋体" w:eastAsia="黑体"/>
          <w:bCs/>
          <w:color w:val="FF0000"/>
          <w:kern w:val="0"/>
          <w:szCs w:val="21"/>
        </w:rPr>
      </w:pPr>
      <w:r>
        <w:rPr>
          <w:rFonts w:hint="eastAsia" w:ascii="黑体" w:hAnsi="宋体" w:eastAsia="黑体"/>
          <w:bCs/>
          <w:color w:val="FF0000"/>
          <w:kern w:val="0"/>
          <w:szCs w:val="21"/>
        </w:rPr>
        <w:t>第一处，在“单位名称”下划线处如实填写采购人名称（深圳公共资源交易中心不是本项目的采购人，而是组织实施机构）；</w:t>
      </w:r>
    </w:p>
    <w:p w14:paraId="07F8DA20">
      <w:pPr>
        <w:ind w:firstLine="420" w:firstLineChars="200"/>
        <w:outlineLvl w:val="3"/>
        <w:rPr>
          <w:rFonts w:ascii="黑体" w:hAnsi="宋体" w:eastAsia="黑体"/>
          <w:bCs/>
          <w:color w:val="FF0000"/>
          <w:kern w:val="0"/>
          <w:szCs w:val="21"/>
        </w:rPr>
      </w:pPr>
      <w:r>
        <w:rPr>
          <w:rFonts w:hint="eastAsia" w:ascii="黑体" w:hAnsi="宋体" w:eastAsia="黑体"/>
          <w:bCs/>
          <w:color w:val="FF0000"/>
          <w:kern w:val="0"/>
          <w:szCs w:val="21"/>
        </w:rPr>
        <w:t>第二处，在“项目名称”下划线处如实填写采购项目名称；</w:t>
      </w:r>
    </w:p>
    <w:p w14:paraId="33DB1356">
      <w:pPr>
        <w:ind w:firstLine="420" w:firstLineChars="200"/>
        <w:outlineLvl w:val="3"/>
        <w:rPr>
          <w:rFonts w:ascii="黑体" w:hAnsi="宋体" w:eastAsia="黑体"/>
          <w:bCs/>
          <w:color w:val="FF0000"/>
          <w:kern w:val="0"/>
          <w:szCs w:val="21"/>
        </w:rPr>
      </w:pPr>
      <w:r>
        <w:rPr>
          <w:rFonts w:hint="eastAsia" w:ascii="黑体" w:hAnsi="宋体" w:eastAsia="黑体"/>
          <w:bCs/>
          <w:color w:val="FF0000"/>
          <w:kern w:val="0"/>
          <w:szCs w:val="21"/>
        </w:rPr>
        <w:t>第三处，在“标的名称”下划线处填写所采购服务（标的）的具体名称（以招标文件第一册第三章用户需求书“服务需求明细”的“服务需求名称”一栏为准）；如果涉及多项服务（标的）为同一企业制造，“标的名称”下划线处可以如实填写多项服务；</w:t>
      </w:r>
    </w:p>
    <w:p w14:paraId="7DE3F04C">
      <w:pPr>
        <w:ind w:firstLine="420" w:firstLineChars="200"/>
        <w:outlineLvl w:val="3"/>
        <w:rPr>
          <w:rFonts w:ascii="黑体" w:hAnsi="宋体" w:eastAsia="黑体"/>
          <w:bCs/>
          <w:color w:val="FF0000"/>
          <w:kern w:val="0"/>
          <w:szCs w:val="21"/>
        </w:rPr>
      </w:pPr>
      <w:r>
        <w:rPr>
          <w:rFonts w:hint="eastAsia" w:ascii="黑体" w:hAnsi="宋体" w:eastAsia="黑体"/>
          <w:bCs/>
          <w:color w:val="FF0000"/>
          <w:kern w:val="0"/>
          <w:szCs w:val="21"/>
        </w:rPr>
        <w:t>第四处，在“招标文件中明确的所属行业”下划线处填写采购标的对应的中小企业划分标准所属行业（所属行业可在招标文件第一册第二章“对通用条款的补充内容及其他关键信息”章节查看）；</w:t>
      </w:r>
    </w:p>
    <w:p w14:paraId="69132C41">
      <w:pPr>
        <w:ind w:firstLine="420" w:firstLineChars="200"/>
        <w:outlineLvl w:val="3"/>
        <w:rPr>
          <w:rFonts w:hint="eastAsia" w:ascii="黑体" w:hAnsi="宋体" w:eastAsia="黑体"/>
          <w:bCs/>
          <w:color w:val="FF0000"/>
          <w:kern w:val="0"/>
          <w:szCs w:val="21"/>
          <w:lang w:eastAsia="zh-CN"/>
        </w:rPr>
      </w:pPr>
      <w:r>
        <w:rPr>
          <w:rFonts w:hint="eastAsia" w:ascii="黑体" w:hAnsi="宋体" w:eastAsia="黑体"/>
          <w:bCs/>
          <w:color w:val="FF0000"/>
          <w:kern w:val="0"/>
          <w:szCs w:val="21"/>
        </w:rPr>
        <w:t>第五处，在“企业名称”下划线处如实填写制造商名称；在“从业人员”、“营业收入”、“资产总额”下划线处如实填写从业人员、营业收入、资产总额；在“中型企业、小型企业、微型企业”下划线处如实依照300号文填写相应的企业类型；从业人员、营业收入、资产总额填报上一年度数据，无上一年度数据的新成立企业可以不填报。《中小企业声明函》中</w:t>
      </w:r>
      <w:r>
        <w:rPr>
          <w:rFonts w:hint="eastAsia" w:ascii="黑体" w:hAnsi="宋体" w:eastAsia="黑体"/>
          <w:bCs/>
          <w:color w:val="FF0000"/>
          <w:kern w:val="0"/>
          <w:szCs w:val="21"/>
          <w:lang w:val="en-US" w:eastAsia="zh-CN"/>
        </w:rPr>
        <w:t>供应商</w:t>
      </w:r>
      <w:r>
        <w:rPr>
          <w:rFonts w:hint="eastAsia" w:ascii="黑体" w:hAnsi="宋体" w:eastAsia="黑体"/>
          <w:bCs/>
          <w:color w:val="FF0000"/>
          <w:kern w:val="0"/>
          <w:szCs w:val="21"/>
        </w:rPr>
        <w:t>所属行业应当与招标文件要求的行业相一致，供应商如有疑问，可根据《国民经济行业分类》（GB/T 4754-2017），结合《关于印发中小企业划型标准规定的通知》（工信部联企业〔2011〕300号）进行判断。</w:t>
      </w:r>
      <w:r>
        <w:rPr>
          <w:rFonts w:hint="eastAsia" w:ascii="黑体" w:hAnsi="宋体" w:eastAsia="黑体"/>
          <w:bCs/>
          <w:color w:val="FF0000"/>
          <w:kern w:val="0"/>
          <w:szCs w:val="21"/>
          <w:highlight w:val="yellow"/>
        </w:rPr>
        <w:t>事业单位、社会组织等非企业主体不享受中小企业扶持政策</w:t>
      </w:r>
      <w:r>
        <w:rPr>
          <w:rFonts w:hint="eastAsia" w:ascii="黑体" w:hAnsi="宋体" w:eastAsia="黑体"/>
          <w:bCs/>
          <w:color w:val="FF0000"/>
          <w:kern w:val="0"/>
          <w:szCs w:val="21"/>
          <w:highlight w:val="yellow"/>
          <w:lang w:eastAsia="zh-CN"/>
        </w:rPr>
        <w:t>。</w:t>
      </w:r>
    </w:p>
    <w:p w14:paraId="43F18D5D">
      <w:pPr>
        <w:ind w:firstLine="420" w:firstLineChars="200"/>
        <w:outlineLvl w:val="3"/>
        <w:rPr>
          <w:rFonts w:ascii="黑体" w:hAnsi="宋体" w:eastAsia="黑体"/>
          <w:bCs/>
          <w:color w:val="FF0000"/>
          <w:kern w:val="0"/>
          <w:szCs w:val="21"/>
        </w:rPr>
      </w:pPr>
      <w:r>
        <w:rPr>
          <w:rFonts w:hint="eastAsia" w:ascii="黑体" w:hAnsi="宋体" w:eastAsia="黑体"/>
          <w:bCs/>
          <w:color w:val="FF0000"/>
          <w:kern w:val="0"/>
          <w:szCs w:val="21"/>
        </w:rPr>
        <w:t>（2）声明是残疾人福利性单位须填写《残疾人福利性单位声明函》的相关内容，具体参照以上《中小企业声明函》填写要求执行。</w:t>
      </w:r>
    </w:p>
    <w:p w14:paraId="40500638">
      <w:pPr>
        <w:ind w:firstLine="420" w:firstLineChars="200"/>
        <w:outlineLvl w:val="3"/>
        <w:rPr>
          <w:rFonts w:ascii="黑体" w:hAnsi="宋体" w:eastAsia="黑体"/>
          <w:bCs/>
          <w:color w:val="FF0000"/>
          <w:kern w:val="0"/>
          <w:szCs w:val="21"/>
        </w:rPr>
      </w:pPr>
      <w:r>
        <w:rPr>
          <w:rFonts w:hint="eastAsia" w:ascii="黑体" w:hAnsi="宋体" w:eastAsia="黑体"/>
          <w:bCs/>
          <w:color w:val="FF0000"/>
          <w:kern w:val="0"/>
          <w:szCs w:val="21"/>
        </w:rPr>
        <w:t>（3）声明是监狱企业须填写《监狱企业声明函》的三项内容（填写位置的字体已加粗），具体参照以上《中小企业声明函》填写要求执行。</w:t>
      </w:r>
    </w:p>
    <w:p w14:paraId="296243D5">
      <w:pPr>
        <w:ind w:firstLine="420" w:firstLineChars="200"/>
        <w:rPr>
          <w:rFonts w:hint="default" w:ascii="黑体" w:hAnsi="宋体" w:eastAsia="黑体"/>
          <w:bCs/>
          <w:color w:val="FF0000"/>
          <w:kern w:val="0"/>
          <w:szCs w:val="21"/>
          <w:lang w:val="en-US" w:eastAsia="zh-CN"/>
        </w:rPr>
      </w:pPr>
      <w:r>
        <w:rPr>
          <w:rFonts w:hint="eastAsia" w:ascii="黑体" w:hAnsi="宋体" w:eastAsia="黑体"/>
          <w:bCs/>
          <w:color w:val="FF0000"/>
          <w:kern w:val="0"/>
          <w:szCs w:val="21"/>
        </w:rPr>
        <w:t>5、若本项目属于专门面向中小企业、残疾人福利性单位或监狱企业，则声明函有效性由采购人或代理机构判定，如判定声明函无效的，相关供应商将作资格审查不通过处理；若本项目非专门面向中小企业、残疾人福利性单位或监狱企业，声明函的有效性由评审委员会判定，如评审委员会判定声明函无效，相关供应商不享受价格扣除（但不作投标无效处理）。</w:t>
      </w:r>
      <w:r>
        <w:rPr>
          <w:rFonts w:hint="eastAsia" w:ascii="黑体" w:hAnsi="宋体" w:eastAsia="黑体"/>
          <w:bCs/>
          <w:color w:val="FF0000"/>
          <w:kern w:val="0"/>
          <w:szCs w:val="21"/>
          <w:lang w:val="en-US" w:eastAsia="zh-CN"/>
        </w:rPr>
        <w:t>6、本项目属于服务类项目，相关服务的承接商应当为中小企业或残疾人福利性单位或监狱企业，如包含硬件设备、产品等货物采购的，不再对其中涉及的货物的制造商作出要求。</w:t>
      </w:r>
    </w:p>
    <w:p w14:paraId="08BEE045">
      <w:pPr>
        <w:ind w:firstLine="420" w:firstLineChars="200"/>
      </w:pPr>
    </w:p>
    <w:p w14:paraId="74958BB7">
      <w:pPr>
        <w:ind w:firstLine="420" w:firstLineChars="200"/>
      </w:pPr>
    </w:p>
    <w:p w14:paraId="00A84605">
      <w:pPr>
        <w:ind w:firstLine="420" w:firstLineChars="200"/>
      </w:pPr>
    </w:p>
    <w:p w14:paraId="574E4324">
      <w:pPr>
        <w:numPr>
          <w:ilvl w:val="0"/>
          <w:numId w:val="12"/>
        </w:numPr>
        <w:jc w:val="center"/>
        <w:outlineLvl w:val="3"/>
        <w:rPr>
          <w:b/>
          <w:sz w:val="24"/>
        </w:rPr>
      </w:pPr>
      <w:bookmarkStart w:id="22" w:name="OLE_LINK7"/>
      <w:r>
        <w:rPr>
          <w:b/>
          <w:sz w:val="24"/>
        </w:rPr>
        <w:t>中小企业声明函（</w:t>
      </w:r>
      <w:r>
        <w:rPr>
          <w:rFonts w:hint="eastAsia"/>
          <w:b/>
          <w:sz w:val="24"/>
        </w:rPr>
        <w:t>服务</w:t>
      </w:r>
      <w:r>
        <w:rPr>
          <w:rFonts w:hint="eastAsia"/>
          <w:b/>
          <w:sz w:val="24"/>
          <w:lang w:val="en-US" w:eastAsia="zh-CN"/>
        </w:rPr>
        <w:t>类</w:t>
      </w:r>
      <w:r>
        <w:rPr>
          <w:b/>
          <w:sz w:val="24"/>
        </w:rPr>
        <w:t>）</w:t>
      </w:r>
    </w:p>
    <w:p w14:paraId="1ECCEB86">
      <w:pPr>
        <w:pStyle w:val="2"/>
        <w:numPr>
          <w:ilvl w:val="0"/>
          <w:numId w:val="0"/>
        </w:numPr>
      </w:pPr>
    </w:p>
    <w:p w14:paraId="18CAAF0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3"/>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本公司（联合体）郑重声明，根据《政府采购促进中小企业发展管理办法》（财库﹝2020﹞46号）的规定，本公司（联合体）参加</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（单位名称）</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sz w:val="21"/>
          <w:szCs w:val="21"/>
        </w:rPr>
        <w:t>的</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（项目名称）</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kern w:val="2"/>
          <w:sz w:val="21"/>
          <w:szCs w:val="21"/>
          <w:lang w:val="en-US" w:eastAsia="zh-CN" w:bidi="ar-SA"/>
        </w:rPr>
        <w:t>采购活动，服务全部由符合政策要求的中小企业承接。相关企业（含联合体中的中小企业、签订分包意向协议的中小企业）的具体情况如下：</w:t>
      </w:r>
    </w:p>
    <w:p w14:paraId="4373C53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3"/>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1.</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（标的名称）</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 xml:space="preserve"> </w:t>
      </w:r>
      <w:r>
        <w:rPr>
          <w:rFonts w:hint="eastAsia" w:asciiTheme="minorEastAsia" w:hAnsiTheme="minorEastAsia" w:eastAsiaTheme="minorEastAsia" w:cstheme="minorEastAsia"/>
          <w:sz w:val="21"/>
          <w:szCs w:val="21"/>
        </w:rPr>
        <w:t>，属于</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（采购文件中明确的所属行业）</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sz w:val="21"/>
          <w:szCs w:val="21"/>
        </w:rPr>
        <w:t>行业</w:t>
      </w:r>
      <w:r>
        <w:rPr>
          <w:rFonts w:hint="eastAsia" w:asciiTheme="minorEastAsia" w:hAnsiTheme="minorEastAsia" w:eastAsiaTheme="minorEastAsia" w:cstheme="minorEastAsia"/>
          <w:kern w:val="2"/>
          <w:sz w:val="21"/>
          <w:szCs w:val="21"/>
          <w:lang w:val="en-US" w:eastAsia="zh-CN" w:bidi="ar-SA"/>
        </w:rPr>
        <w:t>；承接企业为</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（企业名称</w:t>
      </w:r>
      <w:r>
        <w:rPr>
          <w:rFonts w:hint="eastAsia" w:asciiTheme="minorEastAsia" w:hAnsiTheme="minorEastAsia" w:eastAsiaTheme="minorEastAsia" w:cstheme="minorEastAsia"/>
          <w:b/>
          <w:bCs/>
          <w:i/>
          <w:iCs/>
          <w:sz w:val="21"/>
          <w:szCs w:val="21"/>
          <w:u w:val="single"/>
          <w:lang w:eastAsia="zh-CN"/>
        </w:rPr>
        <w:t>，要求</w:t>
      </w:r>
      <w:r>
        <w:rPr>
          <w:rFonts w:hint="eastAsia" w:asciiTheme="minorEastAsia" w:hAnsiTheme="minorEastAsia" w:eastAsiaTheme="minorEastAsia" w:cstheme="minorEastAsia"/>
          <w:b/>
          <w:bCs/>
          <w:i/>
          <w:iCs/>
          <w:sz w:val="21"/>
          <w:szCs w:val="21"/>
          <w:u w:val="single"/>
          <w:lang w:val="en-US" w:eastAsia="zh-CN"/>
        </w:rPr>
        <w:t>承接企业本身</w:t>
      </w:r>
      <w:r>
        <w:rPr>
          <w:rFonts w:hint="eastAsia" w:asciiTheme="minorEastAsia" w:hAnsiTheme="minorEastAsia" w:eastAsiaTheme="minorEastAsia" w:cstheme="minorEastAsia"/>
          <w:b/>
          <w:bCs/>
          <w:i/>
          <w:iCs/>
          <w:sz w:val="21"/>
          <w:szCs w:val="21"/>
          <w:u w:val="single"/>
          <w:lang w:eastAsia="zh-CN"/>
        </w:rPr>
        <w:t>所属行业应当与招标文件要求的行业相一致</w:t>
      </w:r>
      <w:r>
        <w:rPr>
          <w:rFonts w:hint="eastAsia" w:asciiTheme="minorEastAsia" w:hAnsiTheme="minorEastAsia" w:eastAsiaTheme="minorEastAsia" w:cstheme="minorEastAsia"/>
          <w:b/>
          <w:bCs/>
          <w:i/>
          <w:iCs/>
          <w:sz w:val="21"/>
          <w:szCs w:val="21"/>
          <w:u w:val="single"/>
        </w:rPr>
        <w:t>）</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kern w:val="2"/>
          <w:sz w:val="21"/>
          <w:szCs w:val="21"/>
          <w:lang w:val="en-US" w:eastAsia="zh-CN" w:bidi="ar-SA"/>
        </w:rPr>
        <w:t>，从业人员</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kern w:val="2"/>
          <w:sz w:val="21"/>
          <w:szCs w:val="21"/>
          <w:lang w:val="en-US" w:eastAsia="zh-CN" w:bidi="ar-SA"/>
        </w:rPr>
        <w:t>人，营业收入为</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kern w:val="2"/>
          <w:sz w:val="21"/>
          <w:szCs w:val="21"/>
          <w:lang w:val="en-US" w:eastAsia="zh-CN" w:bidi="ar-SA"/>
        </w:rPr>
        <w:t>万元，资产总额为</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kern w:val="2"/>
          <w:sz w:val="21"/>
          <w:szCs w:val="21"/>
          <w:lang w:val="en-US" w:eastAsia="zh-CN" w:bidi="ar-SA"/>
        </w:rPr>
        <w:t>万元，属于</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（中型企业、小型企业、微型企业）</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kern w:val="2"/>
          <w:sz w:val="21"/>
          <w:szCs w:val="21"/>
          <w:lang w:val="en-US" w:eastAsia="zh-CN" w:bidi="ar-SA"/>
        </w:rPr>
        <w:t>；</w:t>
      </w:r>
    </w:p>
    <w:p w14:paraId="02F4625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3"/>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2.</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（标的名称）</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 xml:space="preserve"> </w:t>
      </w:r>
      <w:r>
        <w:rPr>
          <w:rFonts w:hint="eastAsia" w:asciiTheme="minorEastAsia" w:hAnsiTheme="minorEastAsia" w:eastAsiaTheme="minorEastAsia" w:cstheme="minorEastAsia"/>
          <w:sz w:val="21"/>
          <w:szCs w:val="21"/>
        </w:rPr>
        <w:t>，属于</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（采购文件中明确的所属行业）</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sz w:val="21"/>
          <w:szCs w:val="21"/>
        </w:rPr>
        <w:t>行业</w:t>
      </w:r>
      <w:r>
        <w:rPr>
          <w:rFonts w:hint="eastAsia" w:asciiTheme="minorEastAsia" w:hAnsiTheme="minorEastAsia" w:eastAsiaTheme="minorEastAsia" w:cstheme="minorEastAsia"/>
          <w:kern w:val="2"/>
          <w:sz w:val="21"/>
          <w:szCs w:val="21"/>
          <w:lang w:val="en-US" w:eastAsia="zh-CN" w:bidi="ar-SA"/>
        </w:rPr>
        <w:t>；承接企业为</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（企业名称</w:t>
      </w:r>
      <w:r>
        <w:rPr>
          <w:rFonts w:hint="eastAsia" w:asciiTheme="minorEastAsia" w:hAnsiTheme="minorEastAsia" w:eastAsiaTheme="minorEastAsia" w:cstheme="minorEastAsia"/>
          <w:b/>
          <w:bCs/>
          <w:i/>
          <w:iCs/>
          <w:sz w:val="21"/>
          <w:szCs w:val="21"/>
          <w:u w:val="single"/>
          <w:lang w:eastAsia="zh-CN"/>
        </w:rPr>
        <w:t>，要求</w:t>
      </w:r>
      <w:r>
        <w:rPr>
          <w:rFonts w:hint="eastAsia" w:asciiTheme="minorEastAsia" w:hAnsiTheme="minorEastAsia" w:eastAsiaTheme="minorEastAsia" w:cstheme="minorEastAsia"/>
          <w:b/>
          <w:bCs/>
          <w:i/>
          <w:iCs/>
          <w:sz w:val="21"/>
          <w:szCs w:val="21"/>
          <w:u w:val="single"/>
          <w:lang w:val="en-US" w:eastAsia="zh-CN"/>
        </w:rPr>
        <w:t>承接企业本身</w:t>
      </w:r>
      <w:r>
        <w:rPr>
          <w:rFonts w:hint="eastAsia" w:asciiTheme="minorEastAsia" w:hAnsiTheme="minorEastAsia" w:eastAsiaTheme="minorEastAsia" w:cstheme="minorEastAsia"/>
          <w:b/>
          <w:bCs/>
          <w:i/>
          <w:iCs/>
          <w:sz w:val="21"/>
          <w:szCs w:val="21"/>
          <w:u w:val="single"/>
          <w:lang w:eastAsia="zh-CN"/>
        </w:rPr>
        <w:t>所属行业应当与招标文件要求的行业相一致</w:t>
      </w:r>
      <w:r>
        <w:rPr>
          <w:rFonts w:hint="eastAsia" w:asciiTheme="minorEastAsia" w:hAnsiTheme="minorEastAsia" w:eastAsiaTheme="minorEastAsia" w:cstheme="minorEastAsia"/>
          <w:b/>
          <w:bCs/>
          <w:i/>
          <w:iCs/>
          <w:sz w:val="21"/>
          <w:szCs w:val="21"/>
          <w:u w:val="single"/>
        </w:rPr>
        <w:t>）</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kern w:val="2"/>
          <w:sz w:val="21"/>
          <w:szCs w:val="21"/>
          <w:lang w:val="en-US" w:eastAsia="zh-CN" w:bidi="ar-SA"/>
        </w:rPr>
        <w:t>，从业人员</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kern w:val="2"/>
          <w:sz w:val="21"/>
          <w:szCs w:val="21"/>
          <w:lang w:val="en-US" w:eastAsia="zh-CN" w:bidi="ar-SA"/>
        </w:rPr>
        <w:t>人，营业收入为</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kern w:val="2"/>
          <w:sz w:val="21"/>
          <w:szCs w:val="21"/>
          <w:lang w:val="en-US" w:eastAsia="zh-CN" w:bidi="ar-SA"/>
        </w:rPr>
        <w:t>万元，资产总额为</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kern w:val="2"/>
          <w:sz w:val="21"/>
          <w:szCs w:val="21"/>
          <w:lang w:val="en-US" w:eastAsia="zh-CN" w:bidi="ar-SA"/>
        </w:rPr>
        <w:t>万元，属于</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（中型企业、小型企业、微型企业）</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kern w:val="2"/>
          <w:sz w:val="21"/>
          <w:szCs w:val="21"/>
          <w:lang w:val="en-US" w:eastAsia="zh-CN" w:bidi="ar-SA"/>
        </w:rPr>
        <w:t>；</w:t>
      </w:r>
    </w:p>
    <w:p w14:paraId="37821A9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3"/>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w:t>
      </w:r>
    </w:p>
    <w:p w14:paraId="5A49F03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3"/>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以上企业，不属于大企业的分支机构，不存在控股股东为大企业的情形，也不存在与大企业的负责人为同一人的情形。</w:t>
      </w:r>
    </w:p>
    <w:p w14:paraId="07FB11C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3"/>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本企业对上述声明内容的真实性负责。如有虚假，将依法承担相应责任。</w:t>
      </w:r>
    </w:p>
    <w:p w14:paraId="4331989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3"/>
        <w:rPr>
          <w:rFonts w:hint="eastAsia" w:asciiTheme="minorEastAsia" w:hAnsiTheme="minorEastAsia" w:eastAsiaTheme="minorEastAsia" w:cstheme="minorEastAsia"/>
          <w:kern w:val="2"/>
          <w:sz w:val="21"/>
          <w:szCs w:val="21"/>
          <w:lang w:val="en-US" w:eastAsia="zh-CN" w:bidi="ar-SA"/>
        </w:rPr>
      </w:pPr>
      <w:bookmarkStart w:id="23" w:name="_Hlk73562275"/>
      <w:r>
        <w:rPr>
          <w:rFonts w:hint="eastAsia" w:asciiTheme="minorEastAsia" w:hAnsiTheme="minorEastAsia" w:eastAsiaTheme="minorEastAsia" w:cstheme="minorEastAsia"/>
          <w:kern w:val="2"/>
          <w:sz w:val="21"/>
          <w:szCs w:val="21"/>
          <w:lang w:val="en-US" w:eastAsia="zh-CN" w:bidi="ar-SA"/>
        </w:rPr>
        <w:t>本投标人已知悉《政府采购促进中小企业发展管理办法》（财库〔2020〕 46 号）、《中小企业划型标准规定》（工信部联企〔2011〕 300 号）、《统计上大中小微型企业划分办法（2017）》等规定，承诺提供的声明函内容是真实的，并知悉根据《政府采购促进中小企业发展管理办法》（财库〔2020〕46 号）第二十条规定，投标人按照本办法规定提供声明函内容不实的，属于提供虚假材料谋取中标，依照《政府采购法》等政府采购有关法律法规规定追究相应责任。</w:t>
      </w:r>
      <w:bookmarkEnd w:id="23"/>
    </w:p>
    <w:p w14:paraId="3952A69A">
      <w:pPr>
        <w:ind w:firstLine="420" w:firstLineChars="200"/>
      </w:pPr>
    </w:p>
    <w:p w14:paraId="3E6E28BB">
      <w:pPr>
        <w:jc w:val="center"/>
        <w:outlineLvl w:val="3"/>
        <w:rPr>
          <w:b/>
          <w:sz w:val="24"/>
        </w:rPr>
      </w:pPr>
      <w:r>
        <w:rPr>
          <w:rFonts w:hint="eastAsia"/>
          <w:b/>
          <w:sz w:val="24"/>
        </w:rPr>
        <w:t>2、残疾人福利性单位声明函</w:t>
      </w:r>
      <w:r>
        <w:rPr>
          <w:rFonts w:hint="eastAsia"/>
          <w:b/>
          <w:sz w:val="24"/>
          <w:lang w:eastAsia="zh-CN"/>
        </w:rPr>
        <w:t>（</w:t>
      </w:r>
      <w:r>
        <w:rPr>
          <w:rFonts w:hint="eastAsia"/>
          <w:b/>
          <w:sz w:val="24"/>
          <w:lang w:val="en-US" w:eastAsia="zh-CN"/>
        </w:rPr>
        <w:t>服务</w:t>
      </w:r>
      <w:r>
        <w:rPr>
          <w:rFonts w:hint="eastAsia"/>
          <w:b/>
          <w:sz w:val="24"/>
        </w:rPr>
        <w:t>类）</w:t>
      </w:r>
    </w:p>
    <w:p w14:paraId="7579338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本单位郑重声明，根据《财政部 民政部 中国残疾人联合会关于促进残疾人就业政府采购政策的通知》（财库〔2017〕141号）的规定，本单位为符合条件的残疾人福利性单位，且本单位参加</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（单位名称）</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kern w:val="2"/>
          <w:sz w:val="21"/>
          <w:szCs w:val="21"/>
          <w:lang w:val="en-US" w:eastAsia="zh-CN" w:bidi="ar-SA"/>
        </w:rPr>
        <w:t>单位的</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（项目名称）</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kern w:val="2"/>
          <w:sz w:val="21"/>
          <w:szCs w:val="21"/>
          <w:lang w:val="en-US" w:eastAsia="zh-CN" w:bidi="ar-SA"/>
        </w:rPr>
        <w:t>项目采购活动由本单位提供服务。</w:t>
      </w:r>
    </w:p>
    <w:p w14:paraId="6675DFC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本单位对上述声明的真实性负责。如有虚假，将依法承担相应责任。</w:t>
      </w:r>
    </w:p>
    <w:p w14:paraId="7F923C2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本投标人已知悉《财政部民政部中国残疾人联合会关于促进残疾人就业政府采购政策的通知》（财库〔2017〕141号）的规定，承诺提供的声明函内容是真实的，如提供声明函内容不实，则依法追究相关法律责任。</w:t>
      </w:r>
    </w:p>
    <w:p w14:paraId="4CBFB617">
      <w:pPr>
        <w:ind w:firstLine="420" w:firstLineChars="200"/>
        <w:rPr>
          <w:rFonts w:ascii="宋体" w:hAnsi="宋体"/>
          <w:szCs w:val="21"/>
        </w:rPr>
      </w:pPr>
    </w:p>
    <w:p w14:paraId="3D6D346E">
      <w:pPr>
        <w:ind w:firstLine="420" w:firstLineChars="200"/>
        <w:rPr>
          <w:rFonts w:ascii="宋体" w:hAnsi="宋体"/>
          <w:szCs w:val="21"/>
        </w:rPr>
      </w:pPr>
    </w:p>
    <w:p w14:paraId="209E0221">
      <w:pPr>
        <w:ind w:firstLine="420" w:firstLineChars="200"/>
        <w:rPr>
          <w:rFonts w:ascii="宋体" w:hAnsi="宋体"/>
          <w:szCs w:val="21"/>
        </w:rPr>
      </w:pPr>
    </w:p>
    <w:p w14:paraId="78FA0D0C">
      <w:pPr>
        <w:jc w:val="center"/>
        <w:outlineLvl w:val="3"/>
        <w:rPr>
          <w:b/>
          <w:sz w:val="24"/>
        </w:rPr>
      </w:pPr>
      <w:r>
        <w:rPr>
          <w:rFonts w:hint="eastAsia"/>
          <w:b/>
          <w:sz w:val="24"/>
        </w:rPr>
        <w:t>3、监狱企业声明函【服务类，监狱企业如需享受优惠政策，还须另行提供省级以上监狱管理局、戒毒管理局（含新疆生产建设兵团）出具的监狱企业证明文件】</w:t>
      </w:r>
    </w:p>
    <w:p w14:paraId="634C8853">
      <w:pPr>
        <w:ind w:firstLine="420" w:firstLineChars="200"/>
        <w:rPr>
          <w:rFonts w:ascii="宋体" w:hAnsi="宋体"/>
          <w:szCs w:val="21"/>
        </w:rPr>
      </w:pPr>
      <w:r>
        <w:rPr>
          <w:rFonts w:hint="eastAsia" w:ascii="宋体" w:hAnsi="宋体"/>
          <w:szCs w:val="21"/>
        </w:rPr>
        <w:t>本投标人郑重声明，根据《财政部司法部关于政府采购支持监狱企业发展有关问题的通知》（财库〔</w:t>
      </w:r>
      <w:r>
        <w:rPr>
          <w:rFonts w:ascii="宋体" w:hAnsi="宋体"/>
          <w:szCs w:val="21"/>
        </w:rPr>
        <w:t>2014</w:t>
      </w:r>
      <w:r>
        <w:rPr>
          <w:rFonts w:hint="eastAsia" w:ascii="宋体" w:hAnsi="宋体"/>
          <w:szCs w:val="21"/>
        </w:rPr>
        <w:t>〕</w:t>
      </w:r>
      <w:r>
        <w:rPr>
          <w:rFonts w:ascii="宋体" w:hAnsi="宋体"/>
          <w:szCs w:val="21"/>
        </w:rPr>
        <w:t>68</w:t>
      </w:r>
      <w:r>
        <w:rPr>
          <w:rFonts w:hint="eastAsia" w:ascii="宋体" w:hAnsi="宋体"/>
          <w:szCs w:val="21"/>
        </w:rPr>
        <w:t>号）的规定，本投标人</w:t>
      </w:r>
      <w:r>
        <w:rPr>
          <w:rFonts w:ascii="宋体" w:hAnsi="宋体" w:cstheme="minorBidi"/>
          <w:szCs w:val="21"/>
        </w:rPr>
        <w:t>参加</w:t>
      </w:r>
      <w:r>
        <w:rPr>
          <w:rFonts w:ascii="宋体" w:hAnsi="宋体"/>
          <w:b/>
          <w:bCs/>
          <w:szCs w:val="21"/>
          <w:u w:val="single"/>
        </w:rPr>
        <w:t>（</w:t>
      </w:r>
      <w:r>
        <w:rPr>
          <w:rFonts w:hint="eastAsia" w:ascii="宋体" w:hAnsi="宋体"/>
          <w:b/>
          <w:bCs/>
          <w:szCs w:val="21"/>
          <w:u w:val="single"/>
        </w:rPr>
        <w:t>采购人</w:t>
      </w:r>
      <w:r>
        <w:rPr>
          <w:rFonts w:ascii="宋体" w:hAnsi="宋体"/>
          <w:b/>
          <w:bCs/>
          <w:szCs w:val="21"/>
          <w:u w:val="single"/>
        </w:rPr>
        <w:t>名称）</w:t>
      </w:r>
      <w:r>
        <w:rPr>
          <w:rFonts w:ascii="宋体" w:hAnsi="宋体"/>
          <w:szCs w:val="21"/>
        </w:rPr>
        <w:t>的</w:t>
      </w:r>
      <w:r>
        <w:rPr>
          <w:rFonts w:ascii="宋体" w:hAnsi="宋体"/>
          <w:b/>
          <w:bCs/>
          <w:szCs w:val="21"/>
          <w:u w:val="single"/>
        </w:rPr>
        <w:t>（项目名称）</w:t>
      </w:r>
      <w:r>
        <w:rPr>
          <w:rFonts w:ascii="宋体" w:hAnsi="宋体"/>
          <w:szCs w:val="21"/>
        </w:rPr>
        <w:t>采购活动，</w:t>
      </w:r>
      <w:r>
        <w:rPr>
          <w:rFonts w:hint="eastAsia" w:ascii="宋体" w:hAnsi="宋体"/>
          <w:szCs w:val="21"/>
        </w:rPr>
        <w:t>服务</w:t>
      </w:r>
      <w:r>
        <w:rPr>
          <w:rFonts w:ascii="宋体" w:hAnsi="宋体"/>
          <w:szCs w:val="21"/>
        </w:rPr>
        <w:t>全部由符合政策要求的</w:t>
      </w:r>
      <w:r>
        <w:rPr>
          <w:rFonts w:hint="eastAsia" w:ascii="宋体" w:hAnsi="宋体"/>
          <w:szCs w:val="21"/>
        </w:rPr>
        <w:t>监狱企业承接</w:t>
      </w:r>
      <w:r>
        <w:rPr>
          <w:rFonts w:ascii="宋体" w:hAnsi="宋体"/>
          <w:szCs w:val="21"/>
        </w:rPr>
        <w:t>。相关</w:t>
      </w:r>
      <w:r>
        <w:rPr>
          <w:rFonts w:hint="eastAsia" w:ascii="宋体" w:hAnsi="宋体"/>
          <w:szCs w:val="21"/>
        </w:rPr>
        <w:t>监狱企业</w:t>
      </w:r>
      <w:r>
        <w:rPr>
          <w:rFonts w:ascii="宋体" w:hAnsi="宋体"/>
          <w:szCs w:val="21"/>
        </w:rPr>
        <w:t>的具体情况如下：</w:t>
      </w:r>
    </w:p>
    <w:p w14:paraId="702F7AAE">
      <w:pPr>
        <w:ind w:firstLine="420" w:firstLineChars="200"/>
        <w:rPr>
          <w:rFonts w:ascii="宋体" w:hAnsi="宋体"/>
          <w:szCs w:val="21"/>
        </w:rPr>
      </w:pPr>
      <w:r>
        <w:rPr>
          <w:rFonts w:ascii="宋体" w:hAnsi="宋体"/>
          <w:szCs w:val="21"/>
        </w:rPr>
        <w:t>1.</w:t>
      </w:r>
      <w:r>
        <w:rPr>
          <w:rFonts w:ascii="宋体" w:hAnsi="宋体"/>
          <w:b/>
          <w:bCs/>
          <w:szCs w:val="21"/>
          <w:u w:val="single"/>
        </w:rPr>
        <w:t xml:space="preserve"> </w:t>
      </w:r>
      <w:r>
        <w:rPr>
          <w:rFonts w:ascii="宋体" w:hAnsi="宋体"/>
          <w:b/>
          <w:bCs/>
          <w:i/>
          <w:iCs/>
          <w:szCs w:val="21"/>
          <w:u w:val="single"/>
        </w:rPr>
        <w:t>（标的名称</w:t>
      </w:r>
      <w:r>
        <w:rPr>
          <w:rFonts w:ascii="宋体" w:hAnsi="宋体"/>
          <w:b/>
          <w:bCs/>
          <w:szCs w:val="21"/>
          <w:u w:val="single"/>
        </w:rPr>
        <w:t>）</w:t>
      </w:r>
      <w:r>
        <w:rPr>
          <w:rFonts w:ascii="宋体" w:hAnsi="宋体"/>
          <w:szCs w:val="21"/>
        </w:rPr>
        <w:t xml:space="preserve"> </w:t>
      </w:r>
      <w:r>
        <w:rPr>
          <w:rFonts w:hint="eastAsia" w:ascii="宋体" w:hAnsi="宋体"/>
          <w:szCs w:val="21"/>
        </w:rPr>
        <w:t>，承接单位</w:t>
      </w:r>
      <w:r>
        <w:rPr>
          <w:rFonts w:ascii="宋体" w:hAnsi="宋体"/>
          <w:szCs w:val="21"/>
        </w:rPr>
        <w:t>为</w:t>
      </w:r>
      <w:r>
        <w:rPr>
          <w:rFonts w:ascii="宋体" w:hAnsi="宋体"/>
          <w:b/>
          <w:bCs/>
          <w:i/>
          <w:iCs/>
          <w:szCs w:val="21"/>
          <w:u w:val="single"/>
        </w:rPr>
        <w:t>（</w:t>
      </w:r>
      <w:r>
        <w:rPr>
          <w:rFonts w:hint="eastAsia" w:ascii="宋体" w:hAnsi="宋体"/>
          <w:b/>
          <w:bCs/>
          <w:i/>
          <w:iCs/>
          <w:szCs w:val="21"/>
          <w:u w:val="single"/>
        </w:rPr>
        <w:t>企业</w:t>
      </w:r>
      <w:r>
        <w:rPr>
          <w:rFonts w:ascii="宋体" w:hAnsi="宋体"/>
          <w:b/>
          <w:bCs/>
          <w:i/>
          <w:iCs/>
          <w:szCs w:val="21"/>
          <w:u w:val="single"/>
        </w:rPr>
        <w:t>名称）</w:t>
      </w:r>
      <w:r>
        <w:rPr>
          <w:rFonts w:ascii="宋体" w:hAnsi="宋体"/>
          <w:szCs w:val="21"/>
        </w:rPr>
        <w:t>，属于</w:t>
      </w:r>
      <w:r>
        <w:rPr>
          <w:rFonts w:hint="eastAsia" w:ascii="宋体" w:hAnsi="宋体"/>
          <w:b/>
          <w:bCs/>
          <w:i/>
          <w:iCs/>
          <w:szCs w:val="21"/>
          <w:u w:val="single"/>
        </w:rPr>
        <w:t>监狱企业</w:t>
      </w:r>
      <w:r>
        <w:rPr>
          <w:rFonts w:ascii="宋体" w:hAnsi="宋体"/>
          <w:szCs w:val="21"/>
        </w:rPr>
        <w:t>；</w:t>
      </w:r>
    </w:p>
    <w:p w14:paraId="02C69184">
      <w:pPr>
        <w:ind w:firstLine="420" w:firstLineChars="200"/>
        <w:rPr>
          <w:rFonts w:ascii="宋体" w:hAnsi="宋体"/>
          <w:szCs w:val="21"/>
        </w:rPr>
      </w:pPr>
      <w:r>
        <w:rPr>
          <w:rFonts w:ascii="宋体" w:hAnsi="宋体"/>
          <w:szCs w:val="21"/>
        </w:rPr>
        <w:t>2.</w:t>
      </w:r>
      <w:r>
        <w:rPr>
          <w:rFonts w:ascii="宋体" w:hAnsi="宋体"/>
          <w:b/>
          <w:bCs/>
          <w:szCs w:val="21"/>
          <w:u w:val="single"/>
        </w:rPr>
        <w:t xml:space="preserve"> </w:t>
      </w:r>
      <w:r>
        <w:rPr>
          <w:rFonts w:ascii="宋体" w:hAnsi="宋体"/>
          <w:b/>
          <w:bCs/>
          <w:i/>
          <w:iCs/>
          <w:szCs w:val="21"/>
          <w:u w:val="single"/>
        </w:rPr>
        <w:t>（标的名称）</w:t>
      </w:r>
      <w:r>
        <w:rPr>
          <w:rFonts w:ascii="宋体" w:hAnsi="宋体"/>
          <w:i/>
          <w:iCs/>
          <w:szCs w:val="21"/>
        </w:rPr>
        <w:t xml:space="preserve"> </w:t>
      </w:r>
      <w:r>
        <w:rPr>
          <w:rFonts w:hint="eastAsia" w:ascii="宋体" w:hAnsi="宋体"/>
          <w:szCs w:val="21"/>
        </w:rPr>
        <w:t>，承接单位</w:t>
      </w:r>
      <w:r>
        <w:rPr>
          <w:rFonts w:ascii="宋体" w:hAnsi="宋体"/>
          <w:szCs w:val="21"/>
        </w:rPr>
        <w:t>为</w:t>
      </w:r>
      <w:r>
        <w:rPr>
          <w:rFonts w:ascii="宋体" w:hAnsi="宋体"/>
          <w:b/>
          <w:bCs/>
          <w:i/>
          <w:iCs/>
          <w:szCs w:val="21"/>
          <w:u w:val="single"/>
        </w:rPr>
        <w:t>（</w:t>
      </w:r>
      <w:r>
        <w:rPr>
          <w:rFonts w:hint="eastAsia" w:ascii="宋体" w:hAnsi="宋体"/>
          <w:b/>
          <w:bCs/>
          <w:i/>
          <w:iCs/>
          <w:szCs w:val="21"/>
          <w:u w:val="single"/>
        </w:rPr>
        <w:t>企业</w:t>
      </w:r>
      <w:r>
        <w:rPr>
          <w:rFonts w:ascii="宋体" w:hAnsi="宋体"/>
          <w:b/>
          <w:bCs/>
          <w:i/>
          <w:iCs/>
          <w:szCs w:val="21"/>
          <w:u w:val="single"/>
        </w:rPr>
        <w:t>名称）</w:t>
      </w:r>
      <w:r>
        <w:rPr>
          <w:rFonts w:ascii="宋体" w:hAnsi="宋体"/>
          <w:szCs w:val="21"/>
        </w:rPr>
        <w:t>，属于</w:t>
      </w:r>
      <w:r>
        <w:rPr>
          <w:rFonts w:hint="eastAsia" w:ascii="宋体" w:hAnsi="宋体"/>
          <w:b/>
          <w:bCs/>
          <w:i/>
          <w:iCs/>
          <w:szCs w:val="21"/>
          <w:u w:val="single"/>
        </w:rPr>
        <w:t>监狱企业</w:t>
      </w:r>
      <w:r>
        <w:rPr>
          <w:rFonts w:hint="eastAsia" w:ascii="宋体" w:hAnsi="宋体"/>
          <w:szCs w:val="21"/>
        </w:rPr>
        <w:t>。</w:t>
      </w:r>
    </w:p>
    <w:p w14:paraId="50FD32A9">
      <w:pPr>
        <w:ind w:firstLine="420" w:firstLineChars="200"/>
        <w:outlineLvl w:val="3"/>
        <w:rPr>
          <w:rFonts w:ascii="宋体" w:hAnsi="宋体"/>
          <w:szCs w:val="21"/>
        </w:rPr>
      </w:pPr>
      <w:r>
        <w:rPr>
          <w:rFonts w:ascii="宋体" w:hAnsi="宋体"/>
          <w:szCs w:val="21"/>
        </w:rPr>
        <w:t xml:space="preserve">…… </w:t>
      </w:r>
    </w:p>
    <w:p w14:paraId="78324BED">
      <w:pPr>
        <w:ind w:firstLine="420" w:firstLineChars="200"/>
        <w:rPr>
          <w:rFonts w:ascii="宋体" w:hAnsi="宋体"/>
          <w:szCs w:val="21"/>
        </w:rPr>
      </w:pPr>
      <w:r>
        <w:rPr>
          <w:rFonts w:ascii="宋体" w:hAnsi="宋体" w:cstheme="minorBidi"/>
          <w:szCs w:val="21"/>
        </w:rPr>
        <w:t>本</w:t>
      </w:r>
      <w:r>
        <w:rPr>
          <w:rFonts w:hint="eastAsia" w:ascii="宋体" w:hAnsi="宋体" w:cstheme="minorBidi"/>
          <w:szCs w:val="21"/>
        </w:rPr>
        <w:t>投标人</w:t>
      </w:r>
      <w:r>
        <w:rPr>
          <w:rFonts w:ascii="宋体" w:hAnsi="宋体"/>
          <w:szCs w:val="21"/>
        </w:rPr>
        <w:t>对上述声明内容的真实性负责。如有虚假，将依法承担相应责任。</w:t>
      </w:r>
    </w:p>
    <w:p w14:paraId="37A5DDE6">
      <w:pPr>
        <w:ind w:firstLine="420" w:firstLineChars="200"/>
        <w:rPr>
          <w:b/>
          <w:sz w:val="24"/>
        </w:rPr>
      </w:pPr>
      <w:r>
        <w:rPr>
          <w:rFonts w:hint="eastAsia" w:ascii="宋体" w:hAnsi="宋体"/>
          <w:szCs w:val="21"/>
        </w:rPr>
        <w:t>附：省级以上监狱管理局、戒毒管理局（含新疆生产建设兵团）出具的监狱企业证明文件。</w:t>
      </w:r>
      <w:bookmarkEnd w:id="22"/>
    </w:p>
    <w:p w14:paraId="280A363C">
      <w:pPr>
        <w:pStyle w:val="6"/>
        <w:numPr>
          <w:ilvl w:val="0"/>
          <w:numId w:val="11"/>
        </w:numPr>
        <w:spacing w:before="120" w:after="120"/>
        <w:ind w:left="0" w:leftChars="0" w:firstLine="420" w:firstLineChars="0"/>
        <w:jc w:val="center"/>
        <w:rPr>
          <w:rFonts w:hint="eastAsia" w:ascii="黑体" w:hAnsi="宋体" w:eastAsia="黑体"/>
          <w:b w:val="0"/>
          <w:kern w:val="0"/>
          <w:sz w:val="24"/>
        </w:rPr>
      </w:pPr>
      <w:r>
        <w:rPr>
          <w:rFonts w:hint="eastAsia" w:ascii="黑体" w:hAnsi="宋体" w:eastAsia="黑体"/>
          <w:b w:val="0"/>
          <w:kern w:val="0"/>
          <w:sz w:val="24"/>
        </w:rPr>
        <w:t>项目详细报价</w:t>
      </w:r>
    </w:p>
    <w:p w14:paraId="155EE8C3">
      <w:pPr>
        <w:tabs>
          <w:tab w:val="left" w:pos="720"/>
        </w:tabs>
        <w:ind w:firstLine="3123" w:firstLineChars="1300"/>
        <w:rPr>
          <w:b/>
          <w:sz w:val="24"/>
        </w:rPr>
      </w:pPr>
      <w:r>
        <w:rPr>
          <w:rFonts w:hint="eastAsia"/>
          <w:b/>
          <w:sz w:val="24"/>
        </w:rPr>
        <w:t>（一）分项报价表</w:t>
      </w:r>
    </w:p>
    <w:tbl>
      <w:tblPr>
        <w:tblStyle w:val="48"/>
        <w:tblW w:w="8613" w:type="dxa"/>
        <w:tblInd w:w="0" w:type="dxa"/>
        <w:tblLayout w:type="fixed"/>
        <w:tblCellMar>
          <w:top w:w="0" w:type="dxa"/>
          <w:left w:w="108" w:type="dxa"/>
          <w:bottom w:w="0" w:type="dxa"/>
          <w:right w:w="108" w:type="dxa"/>
        </w:tblCellMar>
      </w:tblPr>
      <w:tblGrid>
        <w:gridCol w:w="618"/>
        <w:gridCol w:w="1016"/>
        <w:gridCol w:w="3152"/>
        <w:gridCol w:w="1559"/>
        <w:gridCol w:w="2268"/>
      </w:tblGrid>
      <w:tr w14:paraId="4C9F95B3">
        <w:tblPrEx>
          <w:tblCellMar>
            <w:top w:w="0" w:type="dxa"/>
            <w:left w:w="108" w:type="dxa"/>
            <w:bottom w:w="0" w:type="dxa"/>
            <w:right w:w="108" w:type="dxa"/>
          </w:tblCellMar>
        </w:tblPrEx>
        <w:trPr>
          <w:trHeight w:val="285" w:hRule="atLeast"/>
        </w:trPr>
        <w:tc>
          <w:tcPr>
            <w:tcW w:w="618" w:type="dxa"/>
            <w:tcBorders>
              <w:top w:val="single" w:color="auto" w:sz="8" w:space="0"/>
              <w:left w:val="single" w:color="auto" w:sz="8" w:space="0"/>
              <w:bottom w:val="single" w:color="auto" w:sz="4" w:space="0"/>
              <w:right w:val="single" w:color="auto" w:sz="4" w:space="0"/>
            </w:tcBorders>
            <w:shd w:val="clear" w:color="000000" w:fill="E7E6E6"/>
            <w:vAlign w:val="center"/>
          </w:tcPr>
          <w:p w14:paraId="786B46D9">
            <w:pPr>
              <w:widowControl/>
              <w:jc w:val="center"/>
              <w:rPr>
                <w:rFonts w:ascii="宋体" w:hAnsi="宋体" w:cs="宋体"/>
                <w:b/>
                <w:bCs/>
                <w:kern w:val="0"/>
                <w:sz w:val="20"/>
                <w:szCs w:val="20"/>
              </w:rPr>
            </w:pPr>
            <w:r>
              <w:rPr>
                <w:rFonts w:hint="eastAsia" w:ascii="宋体" w:hAnsi="宋体" w:cs="宋体"/>
                <w:b/>
                <w:bCs/>
                <w:kern w:val="0"/>
                <w:sz w:val="20"/>
                <w:szCs w:val="20"/>
              </w:rPr>
              <w:t>序号</w:t>
            </w:r>
          </w:p>
        </w:tc>
        <w:tc>
          <w:tcPr>
            <w:tcW w:w="4168" w:type="dxa"/>
            <w:gridSpan w:val="2"/>
            <w:tcBorders>
              <w:top w:val="single" w:color="auto" w:sz="8" w:space="0"/>
              <w:left w:val="nil"/>
              <w:bottom w:val="single" w:color="auto" w:sz="4" w:space="0"/>
              <w:right w:val="single" w:color="auto" w:sz="4" w:space="0"/>
            </w:tcBorders>
            <w:shd w:val="clear" w:color="000000" w:fill="E7E6E6"/>
            <w:vAlign w:val="center"/>
          </w:tcPr>
          <w:p w14:paraId="264A338A">
            <w:pPr>
              <w:widowControl/>
              <w:jc w:val="center"/>
              <w:rPr>
                <w:rFonts w:ascii="宋体" w:hAnsi="宋体" w:cs="宋体"/>
                <w:b/>
                <w:bCs/>
                <w:kern w:val="0"/>
                <w:sz w:val="20"/>
                <w:szCs w:val="20"/>
              </w:rPr>
            </w:pPr>
            <w:r>
              <w:rPr>
                <w:rFonts w:hint="eastAsia" w:ascii="宋体" w:hAnsi="宋体" w:cs="宋体"/>
                <w:b/>
                <w:bCs/>
                <w:kern w:val="0"/>
                <w:sz w:val="20"/>
                <w:szCs w:val="20"/>
              </w:rPr>
              <w:t>需求名称</w:t>
            </w:r>
          </w:p>
        </w:tc>
        <w:tc>
          <w:tcPr>
            <w:tcW w:w="1559" w:type="dxa"/>
            <w:tcBorders>
              <w:top w:val="single" w:color="auto" w:sz="8" w:space="0"/>
              <w:left w:val="nil"/>
              <w:bottom w:val="single" w:color="auto" w:sz="4" w:space="0"/>
              <w:right w:val="single" w:color="auto" w:sz="4" w:space="0"/>
            </w:tcBorders>
            <w:shd w:val="clear" w:color="000000" w:fill="E7E6E6"/>
            <w:vAlign w:val="center"/>
          </w:tcPr>
          <w:p w14:paraId="32CCC47F">
            <w:pPr>
              <w:widowControl/>
              <w:jc w:val="center"/>
              <w:rPr>
                <w:rFonts w:ascii="宋体" w:hAnsi="宋体" w:cs="宋体"/>
                <w:b/>
                <w:bCs/>
                <w:kern w:val="0"/>
                <w:sz w:val="20"/>
                <w:szCs w:val="20"/>
              </w:rPr>
            </w:pPr>
            <w:r>
              <w:rPr>
                <w:rFonts w:hint="eastAsia" w:ascii="宋体" w:hAnsi="宋体" w:cs="宋体"/>
                <w:b/>
                <w:bCs/>
                <w:kern w:val="0"/>
                <w:sz w:val="20"/>
                <w:szCs w:val="20"/>
              </w:rPr>
              <w:t>金额（元）</w:t>
            </w:r>
          </w:p>
        </w:tc>
        <w:tc>
          <w:tcPr>
            <w:tcW w:w="2268" w:type="dxa"/>
            <w:tcBorders>
              <w:top w:val="single" w:color="auto" w:sz="8" w:space="0"/>
              <w:left w:val="nil"/>
              <w:bottom w:val="single" w:color="auto" w:sz="4" w:space="0"/>
              <w:right w:val="single" w:color="auto" w:sz="8" w:space="0"/>
            </w:tcBorders>
            <w:shd w:val="clear" w:color="000000" w:fill="E7E6E6"/>
            <w:vAlign w:val="center"/>
          </w:tcPr>
          <w:p w14:paraId="42FE7B70">
            <w:pPr>
              <w:widowControl/>
              <w:jc w:val="center"/>
              <w:rPr>
                <w:rFonts w:ascii="宋体" w:hAnsi="宋体" w:cs="宋体"/>
                <w:b/>
                <w:bCs/>
                <w:kern w:val="0"/>
                <w:sz w:val="20"/>
                <w:szCs w:val="20"/>
              </w:rPr>
            </w:pPr>
            <w:r>
              <w:rPr>
                <w:rFonts w:hint="eastAsia" w:ascii="宋体" w:hAnsi="宋体" w:cs="宋体"/>
                <w:b/>
                <w:bCs/>
                <w:kern w:val="0"/>
                <w:sz w:val="20"/>
                <w:szCs w:val="20"/>
              </w:rPr>
              <w:t>说明</w:t>
            </w:r>
          </w:p>
        </w:tc>
      </w:tr>
      <w:tr w14:paraId="40B45A8F">
        <w:tblPrEx>
          <w:tblCellMar>
            <w:top w:w="0" w:type="dxa"/>
            <w:left w:w="108" w:type="dxa"/>
            <w:bottom w:w="0" w:type="dxa"/>
            <w:right w:w="108" w:type="dxa"/>
          </w:tblCellMar>
        </w:tblPrEx>
        <w:trPr>
          <w:trHeight w:val="285" w:hRule="atLeast"/>
        </w:trPr>
        <w:tc>
          <w:tcPr>
            <w:tcW w:w="618" w:type="dxa"/>
            <w:tcBorders>
              <w:top w:val="single" w:color="auto" w:sz="4" w:space="0"/>
              <w:left w:val="single" w:color="auto" w:sz="8" w:space="0"/>
              <w:bottom w:val="single" w:color="auto" w:sz="4" w:space="0"/>
              <w:right w:val="single" w:color="auto" w:sz="4" w:space="0"/>
            </w:tcBorders>
            <w:shd w:val="clear" w:color="auto" w:fill="auto"/>
            <w:vAlign w:val="center"/>
          </w:tcPr>
          <w:p w14:paraId="41D5060D">
            <w:pPr>
              <w:widowControl/>
              <w:jc w:val="center"/>
              <w:rPr>
                <w:rFonts w:ascii="宋体" w:hAnsi="宋体" w:cs="宋体"/>
                <w:kern w:val="0"/>
                <w:sz w:val="20"/>
                <w:szCs w:val="20"/>
              </w:rPr>
            </w:pPr>
            <w:r>
              <w:rPr>
                <w:rFonts w:hint="eastAsia" w:ascii="宋体" w:hAnsi="宋体" w:cs="宋体"/>
                <w:kern w:val="0"/>
                <w:sz w:val="20"/>
                <w:szCs w:val="20"/>
              </w:rPr>
              <w:t>一</w:t>
            </w:r>
          </w:p>
        </w:tc>
        <w:tc>
          <w:tcPr>
            <w:tcW w:w="4168" w:type="dxa"/>
            <w:gridSpan w:val="2"/>
            <w:tcBorders>
              <w:top w:val="single" w:color="auto" w:sz="4" w:space="0"/>
              <w:left w:val="nil"/>
              <w:bottom w:val="single" w:color="auto" w:sz="4" w:space="0"/>
              <w:right w:val="single" w:color="auto" w:sz="4" w:space="0"/>
            </w:tcBorders>
            <w:shd w:val="clear" w:color="auto" w:fill="auto"/>
            <w:vAlign w:val="center"/>
          </w:tcPr>
          <w:p w14:paraId="524069E7">
            <w:pPr>
              <w:widowControl/>
              <w:jc w:val="center"/>
              <w:rPr>
                <w:rFonts w:ascii="宋体" w:hAnsi="宋体" w:cs="宋体"/>
                <w:kern w:val="0"/>
                <w:sz w:val="20"/>
                <w:szCs w:val="20"/>
              </w:rPr>
            </w:pPr>
            <w:r>
              <w:rPr>
                <w:rFonts w:hint="eastAsia" w:ascii="宋体" w:hAnsi="宋体" w:cs="宋体"/>
                <w:kern w:val="0"/>
                <w:sz w:val="20"/>
                <w:szCs w:val="20"/>
              </w:rPr>
              <w:t>*</w:t>
            </w:r>
            <w:r>
              <w:rPr>
                <w:rFonts w:ascii="宋体" w:hAnsi="宋体" w:cs="宋体"/>
                <w:kern w:val="0"/>
                <w:sz w:val="20"/>
                <w:szCs w:val="20"/>
              </w:rPr>
              <w:t>*****</w:t>
            </w:r>
          </w:p>
        </w:tc>
        <w:tc>
          <w:tcPr>
            <w:tcW w:w="1559" w:type="dxa"/>
            <w:tcBorders>
              <w:top w:val="single" w:color="auto" w:sz="4" w:space="0"/>
              <w:left w:val="nil"/>
              <w:bottom w:val="single" w:color="auto" w:sz="4" w:space="0"/>
              <w:right w:val="single" w:color="auto" w:sz="4" w:space="0"/>
            </w:tcBorders>
            <w:shd w:val="clear" w:color="000000" w:fill="FFFFFF"/>
            <w:vAlign w:val="center"/>
          </w:tcPr>
          <w:p w14:paraId="6F2BEF94">
            <w:pPr>
              <w:widowControl/>
              <w:jc w:val="right"/>
              <w:rPr>
                <w:rFonts w:ascii="宋体" w:hAnsi="宋体" w:cs="宋体"/>
                <w:kern w:val="0"/>
                <w:sz w:val="20"/>
                <w:szCs w:val="20"/>
              </w:rPr>
            </w:pPr>
            <w:r>
              <w:rPr>
                <w:rFonts w:hint="eastAsia" w:ascii="宋体" w:hAnsi="宋体" w:cs="宋体"/>
                <w:kern w:val="0"/>
                <w:sz w:val="20"/>
                <w:szCs w:val="20"/>
              </w:rPr>
              <w:t>　</w:t>
            </w:r>
          </w:p>
        </w:tc>
        <w:tc>
          <w:tcPr>
            <w:tcW w:w="2268" w:type="dxa"/>
            <w:tcBorders>
              <w:top w:val="single" w:color="auto" w:sz="4" w:space="0"/>
              <w:left w:val="nil"/>
              <w:bottom w:val="single" w:color="auto" w:sz="4" w:space="0"/>
              <w:right w:val="single" w:color="auto" w:sz="8" w:space="0"/>
            </w:tcBorders>
            <w:shd w:val="clear" w:color="auto" w:fill="auto"/>
            <w:vAlign w:val="center"/>
          </w:tcPr>
          <w:p w14:paraId="5483737D">
            <w:pPr>
              <w:widowControl/>
              <w:jc w:val="left"/>
              <w:rPr>
                <w:rFonts w:ascii="宋体" w:hAnsi="宋体" w:cs="宋体"/>
                <w:kern w:val="0"/>
                <w:sz w:val="20"/>
                <w:szCs w:val="20"/>
              </w:rPr>
            </w:pPr>
          </w:p>
        </w:tc>
      </w:tr>
      <w:tr w14:paraId="5242A17C">
        <w:tblPrEx>
          <w:tblCellMar>
            <w:top w:w="0" w:type="dxa"/>
            <w:left w:w="108" w:type="dxa"/>
            <w:bottom w:w="0" w:type="dxa"/>
            <w:right w:w="108" w:type="dxa"/>
          </w:tblCellMar>
        </w:tblPrEx>
        <w:trPr>
          <w:trHeight w:val="480" w:hRule="atLeast"/>
        </w:trPr>
        <w:tc>
          <w:tcPr>
            <w:tcW w:w="618" w:type="dxa"/>
            <w:vMerge w:val="restart"/>
            <w:tcBorders>
              <w:top w:val="nil"/>
              <w:left w:val="single" w:color="auto" w:sz="8" w:space="0"/>
              <w:right w:val="single" w:color="auto" w:sz="4" w:space="0"/>
            </w:tcBorders>
            <w:shd w:val="clear" w:color="auto" w:fill="auto"/>
            <w:vAlign w:val="center"/>
          </w:tcPr>
          <w:p w14:paraId="62486DC2">
            <w:pPr>
              <w:widowControl/>
              <w:jc w:val="center"/>
              <w:rPr>
                <w:rFonts w:ascii="宋体" w:hAnsi="宋体" w:cs="宋体"/>
                <w:kern w:val="0"/>
                <w:sz w:val="20"/>
                <w:szCs w:val="20"/>
              </w:rPr>
            </w:pPr>
            <w:r>
              <w:rPr>
                <w:rFonts w:hint="eastAsia" w:ascii="宋体" w:hAnsi="宋体" w:cs="宋体"/>
                <w:kern w:val="0"/>
                <w:sz w:val="20"/>
                <w:szCs w:val="20"/>
              </w:rPr>
              <w:t>二</w:t>
            </w:r>
          </w:p>
        </w:tc>
        <w:tc>
          <w:tcPr>
            <w:tcW w:w="1016" w:type="dxa"/>
            <w:vMerge w:val="restart"/>
            <w:tcBorders>
              <w:top w:val="nil"/>
              <w:left w:val="single" w:color="auto" w:sz="4" w:space="0"/>
              <w:bottom w:val="single" w:color="auto" w:sz="4" w:space="0"/>
              <w:right w:val="single" w:color="auto" w:sz="4" w:space="0"/>
            </w:tcBorders>
            <w:shd w:val="clear" w:color="auto" w:fill="auto"/>
            <w:vAlign w:val="center"/>
          </w:tcPr>
          <w:p w14:paraId="5BF94C28">
            <w:pPr>
              <w:widowControl/>
              <w:jc w:val="center"/>
              <w:rPr>
                <w:rFonts w:ascii="宋体" w:hAnsi="宋体" w:cs="宋体"/>
                <w:kern w:val="0"/>
                <w:sz w:val="20"/>
                <w:szCs w:val="20"/>
              </w:rPr>
            </w:pPr>
            <w:r>
              <w:rPr>
                <w:rFonts w:hint="eastAsia" w:ascii="宋体" w:hAnsi="宋体" w:cs="宋体"/>
                <w:kern w:val="0"/>
                <w:sz w:val="20"/>
                <w:szCs w:val="20"/>
              </w:rPr>
              <w:t>*</w:t>
            </w:r>
            <w:r>
              <w:rPr>
                <w:rFonts w:ascii="宋体" w:hAnsi="宋体" w:cs="宋体"/>
                <w:kern w:val="0"/>
                <w:sz w:val="20"/>
                <w:szCs w:val="20"/>
              </w:rPr>
              <w:t>*</w:t>
            </w:r>
            <w:r>
              <w:rPr>
                <w:rFonts w:hint="eastAsia" w:ascii="宋体" w:hAnsi="宋体" w:cs="宋体"/>
                <w:kern w:val="0"/>
                <w:sz w:val="20"/>
                <w:szCs w:val="20"/>
              </w:rPr>
              <w:t>费用</w:t>
            </w:r>
          </w:p>
        </w:tc>
        <w:tc>
          <w:tcPr>
            <w:tcW w:w="3152" w:type="dxa"/>
            <w:tcBorders>
              <w:top w:val="nil"/>
              <w:left w:val="nil"/>
              <w:bottom w:val="single" w:color="auto" w:sz="4" w:space="0"/>
              <w:right w:val="single" w:color="auto" w:sz="4" w:space="0"/>
            </w:tcBorders>
            <w:shd w:val="clear" w:color="auto" w:fill="auto"/>
            <w:vAlign w:val="center"/>
          </w:tcPr>
          <w:p w14:paraId="575433BC">
            <w:pPr>
              <w:widowControl/>
              <w:jc w:val="left"/>
              <w:rPr>
                <w:rFonts w:ascii="宋体" w:hAnsi="宋体" w:cs="宋体"/>
                <w:kern w:val="0"/>
                <w:sz w:val="20"/>
                <w:szCs w:val="20"/>
              </w:rPr>
            </w:pPr>
          </w:p>
        </w:tc>
        <w:tc>
          <w:tcPr>
            <w:tcW w:w="1559" w:type="dxa"/>
            <w:tcBorders>
              <w:top w:val="nil"/>
              <w:left w:val="nil"/>
              <w:bottom w:val="single" w:color="auto" w:sz="4" w:space="0"/>
              <w:right w:val="single" w:color="auto" w:sz="4" w:space="0"/>
            </w:tcBorders>
            <w:shd w:val="clear" w:color="auto" w:fill="auto"/>
            <w:vAlign w:val="center"/>
          </w:tcPr>
          <w:p w14:paraId="75388CE0">
            <w:pPr>
              <w:widowControl/>
              <w:jc w:val="right"/>
              <w:rPr>
                <w:rFonts w:ascii="宋体" w:hAnsi="宋体" w:cs="宋体"/>
                <w:kern w:val="0"/>
                <w:sz w:val="20"/>
                <w:szCs w:val="20"/>
              </w:rPr>
            </w:pPr>
            <w:r>
              <w:rPr>
                <w:rFonts w:hint="eastAsia" w:ascii="宋体" w:hAnsi="宋体" w:cs="宋体"/>
                <w:kern w:val="0"/>
                <w:sz w:val="20"/>
                <w:szCs w:val="20"/>
              </w:rPr>
              <w:t>　</w:t>
            </w:r>
          </w:p>
        </w:tc>
        <w:tc>
          <w:tcPr>
            <w:tcW w:w="2268" w:type="dxa"/>
            <w:vMerge w:val="restart"/>
            <w:tcBorders>
              <w:top w:val="nil"/>
              <w:left w:val="nil"/>
              <w:right w:val="single" w:color="auto" w:sz="8" w:space="0"/>
            </w:tcBorders>
            <w:shd w:val="clear" w:color="auto" w:fill="auto"/>
            <w:vAlign w:val="center"/>
          </w:tcPr>
          <w:p w14:paraId="65B39F9B">
            <w:pPr>
              <w:widowControl/>
              <w:jc w:val="left"/>
              <w:rPr>
                <w:rFonts w:ascii="宋体" w:hAnsi="宋体" w:cs="宋体"/>
                <w:kern w:val="0"/>
                <w:sz w:val="20"/>
                <w:szCs w:val="20"/>
              </w:rPr>
            </w:pPr>
            <w:r>
              <w:rPr>
                <w:rFonts w:hint="eastAsia" w:ascii="宋体" w:hAnsi="宋体" w:cs="宋体"/>
                <w:kern w:val="0"/>
                <w:sz w:val="20"/>
                <w:szCs w:val="20"/>
              </w:rPr>
              <w:t>　</w:t>
            </w:r>
          </w:p>
        </w:tc>
      </w:tr>
      <w:tr w14:paraId="5F3D15C4">
        <w:tblPrEx>
          <w:tblCellMar>
            <w:top w:w="0" w:type="dxa"/>
            <w:left w:w="108" w:type="dxa"/>
            <w:bottom w:w="0" w:type="dxa"/>
            <w:right w:w="108" w:type="dxa"/>
          </w:tblCellMar>
        </w:tblPrEx>
        <w:trPr>
          <w:trHeight w:val="285" w:hRule="atLeast"/>
        </w:trPr>
        <w:tc>
          <w:tcPr>
            <w:tcW w:w="618" w:type="dxa"/>
            <w:vMerge w:val="continue"/>
            <w:tcBorders>
              <w:left w:val="single" w:color="auto" w:sz="8" w:space="0"/>
              <w:right w:val="single" w:color="auto" w:sz="4" w:space="0"/>
            </w:tcBorders>
            <w:shd w:val="clear" w:color="auto" w:fill="auto"/>
            <w:vAlign w:val="center"/>
          </w:tcPr>
          <w:p w14:paraId="6F07E71A">
            <w:pPr>
              <w:jc w:val="center"/>
              <w:rPr>
                <w:rFonts w:ascii="宋体" w:hAnsi="宋体" w:cs="宋体"/>
                <w:kern w:val="0"/>
                <w:sz w:val="20"/>
                <w:szCs w:val="20"/>
              </w:rPr>
            </w:pPr>
          </w:p>
        </w:tc>
        <w:tc>
          <w:tcPr>
            <w:tcW w:w="1016" w:type="dxa"/>
            <w:vMerge w:val="continue"/>
            <w:tcBorders>
              <w:top w:val="nil"/>
              <w:left w:val="single" w:color="auto" w:sz="4" w:space="0"/>
              <w:bottom w:val="single" w:color="auto" w:sz="4" w:space="0"/>
              <w:right w:val="single" w:color="auto" w:sz="4" w:space="0"/>
            </w:tcBorders>
            <w:vAlign w:val="center"/>
          </w:tcPr>
          <w:p w14:paraId="2487F074">
            <w:pPr>
              <w:widowControl/>
              <w:jc w:val="left"/>
              <w:rPr>
                <w:rFonts w:ascii="宋体" w:hAnsi="宋体" w:cs="宋体"/>
                <w:kern w:val="0"/>
                <w:sz w:val="20"/>
                <w:szCs w:val="20"/>
              </w:rPr>
            </w:pPr>
          </w:p>
        </w:tc>
        <w:tc>
          <w:tcPr>
            <w:tcW w:w="3152" w:type="dxa"/>
            <w:tcBorders>
              <w:top w:val="nil"/>
              <w:left w:val="nil"/>
              <w:bottom w:val="single" w:color="auto" w:sz="4" w:space="0"/>
              <w:right w:val="single" w:color="auto" w:sz="4" w:space="0"/>
            </w:tcBorders>
            <w:shd w:val="clear" w:color="auto" w:fill="auto"/>
            <w:vAlign w:val="center"/>
          </w:tcPr>
          <w:p w14:paraId="11F74B78">
            <w:pPr>
              <w:widowControl/>
              <w:jc w:val="left"/>
              <w:rPr>
                <w:rFonts w:ascii="宋体" w:hAnsi="宋体" w:cs="宋体"/>
                <w:kern w:val="0"/>
                <w:sz w:val="20"/>
                <w:szCs w:val="20"/>
              </w:rPr>
            </w:pPr>
          </w:p>
        </w:tc>
        <w:tc>
          <w:tcPr>
            <w:tcW w:w="1559" w:type="dxa"/>
            <w:tcBorders>
              <w:top w:val="nil"/>
              <w:left w:val="nil"/>
              <w:bottom w:val="single" w:color="auto" w:sz="4" w:space="0"/>
              <w:right w:val="single" w:color="auto" w:sz="4" w:space="0"/>
            </w:tcBorders>
            <w:shd w:val="clear" w:color="auto" w:fill="auto"/>
            <w:vAlign w:val="center"/>
          </w:tcPr>
          <w:p w14:paraId="166539D6">
            <w:pPr>
              <w:widowControl/>
              <w:jc w:val="right"/>
              <w:rPr>
                <w:rFonts w:ascii="宋体" w:hAnsi="宋体" w:cs="宋体"/>
                <w:kern w:val="0"/>
                <w:sz w:val="20"/>
                <w:szCs w:val="20"/>
              </w:rPr>
            </w:pPr>
            <w:r>
              <w:rPr>
                <w:rFonts w:hint="eastAsia" w:ascii="宋体" w:hAnsi="宋体" w:cs="宋体"/>
                <w:kern w:val="0"/>
                <w:sz w:val="20"/>
                <w:szCs w:val="20"/>
              </w:rPr>
              <w:t>　</w:t>
            </w:r>
          </w:p>
        </w:tc>
        <w:tc>
          <w:tcPr>
            <w:tcW w:w="2268" w:type="dxa"/>
            <w:vMerge w:val="continue"/>
            <w:tcBorders>
              <w:left w:val="nil"/>
              <w:right w:val="single" w:color="auto" w:sz="8" w:space="0"/>
            </w:tcBorders>
            <w:shd w:val="clear" w:color="auto" w:fill="auto"/>
            <w:vAlign w:val="center"/>
          </w:tcPr>
          <w:p w14:paraId="7FE5F901">
            <w:pPr>
              <w:jc w:val="left"/>
              <w:rPr>
                <w:rFonts w:ascii="宋体" w:hAnsi="宋体" w:cs="宋体"/>
                <w:kern w:val="0"/>
                <w:sz w:val="20"/>
                <w:szCs w:val="20"/>
              </w:rPr>
            </w:pPr>
          </w:p>
        </w:tc>
      </w:tr>
      <w:tr w14:paraId="12CD9CA9">
        <w:tblPrEx>
          <w:tblCellMar>
            <w:top w:w="0" w:type="dxa"/>
            <w:left w:w="108" w:type="dxa"/>
            <w:bottom w:w="0" w:type="dxa"/>
            <w:right w:w="108" w:type="dxa"/>
          </w:tblCellMar>
        </w:tblPrEx>
        <w:trPr>
          <w:trHeight w:val="285" w:hRule="atLeast"/>
        </w:trPr>
        <w:tc>
          <w:tcPr>
            <w:tcW w:w="618" w:type="dxa"/>
            <w:vMerge w:val="continue"/>
            <w:tcBorders>
              <w:left w:val="single" w:color="auto" w:sz="8" w:space="0"/>
              <w:right w:val="single" w:color="auto" w:sz="4" w:space="0"/>
            </w:tcBorders>
            <w:shd w:val="clear" w:color="auto" w:fill="auto"/>
            <w:vAlign w:val="center"/>
          </w:tcPr>
          <w:p w14:paraId="2A2117FE">
            <w:pPr>
              <w:jc w:val="center"/>
              <w:rPr>
                <w:rFonts w:ascii="宋体" w:hAnsi="宋体" w:cs="宋体"/>
                <w:kern w:val="0"/>
                <w:sz w:val="20"/>
                <w:szCs w:val="20"/>
              </w:rPr>
            </w:pPr>
          </w:p>
        </w:tc>
        <w:tc>
          <w:tcPr>
            <w:tcW w:w="1016" w:type="dxa"/>
            <w:vMerge w:val="continue"/>
            <w:tcBorders>
              <w:top w:val="nil"/>
              <w:left w:val="single" w:color="auto" w:sz="4" w:space="0"/>
              <w:bottom w:val="single" w:color="auto" w:sz="4" w:space="0"/>
              <w:right w:val="single" w:color="auto" w:sz="4" w:space="0"/>
            </w:tcBorders>
            <w:vAlign w:val="center"/>
          </w:tcPr>
          <w:p w14:paraId="64636CC1">
            <w:pPr>
              <w:widowControl/>
              <w:jc w:val="left"/>
              <w:rPr>
                <w:rFonts w:ascii="宋体" w:hAnsi="宋体" w:cs="宋体"/>
                <w:kern w:val="0"/>
                <w:sz w:val="20"/>
                <w:szCs w:val="20"/>
              </w:rPr>
            </w:pPr>
          </w:p>
        </w:tc>
        <w:tc>
          <w:tcPr>
            <w:tcW w:w="3152" w:type="dxa"/>
            <w:tcBorders>
              <w:top w:val="nil"/>
              <w:left w:val="nil"/>
              <w:bottom w:val="single" w:color="auto" w:sz="4" w:space="0"/>
              <w:right w:val="single" w:color="auto" w:sz="4" w:space="0"/>
            </w:tcBorders>
            <w:shd w:val="clear" w:color="auto" w:fill="auto"/>
            <w:vAlign w:val="center"/>
          </w:tcPr>
          <w:p w14:paraId="03274A67">
            <w:pPr>
              <w:widowControl/>
              <w:jc w:val="left"/>
              <w:rPr>
                <w:rFonts w:ascii="宋体" w:hAnsi="宋体" w:cs="宋体"/>
                <w:kern w:val="0"/>
                <w:sz w:val="20"/>
                <w:szCs w:val="20"/>
              </w:rPr>
            </w:pPr>
          </w:p>
        </w:tc>
        <w:tc>
          <w:tcPr>
            <w:tcW w:w="1559" w:type="dxa"/>
            <w:tcBorders>
              <w:top w:val="nil"/>
              <w:left w:val="nil"/>
              <w:bottom w:val="single" w:color="auto" w:sz="4" w:space="0"/>
              <w:right w:val="single" w:color="auto" w:sz="4" w:space="0"/>
            </w:tcBorders>
            <w:shd w:val="clear" w:color="auto" w:fill="auto"/>
            <w:vAlign w:val="center"/>
          </w:tcPr>
          <w:p w14:paraId="2669B563">
            <w:pPr>
              <w:widowControl/>
              <w:jc w:val="right"/>
              <w:rPr>
                <w:rFonts w:ascii="宋体" w:hAnsi="宋体" w:cs="宋体"/>
                <w:kern w:val="0"/>
                <w:sz w:val="20"/>
                <w:szCs w:val="20"/>
              </w:rPr>
            </w:pPr>
            <w:r>
              <w:rPr>
                <w:rFonts w:hint="eastAsia" w:ascii="宋体" w:hAnsi="宋体" w:cs="宋体"/>
                <w:kern w:val="0"/>
                <w:sz w:val="20"/>
                <w:szCs w:val="20"/>
              </w:rPr>
              <w:t>　</w:t>
            </w:r>
          </w:p>
        </w:tc>
        <w:tc>
          <w:tcPr>
            <w:tcW w:w="2268" w:type="dxa"/>
            <w:vMerge w:val="continue"/>
            <w:tcBorders>
              <w:left w:val="nil"/>
              <w:right w:val="single" w:color="auto" w:sz="8" w:space="0"/>
            </w:tcBorders>
            <w:shd w:val="clear" w:color="auto" w:fill="auto"/>
            <w:vAlign w:val="center"/>
          </w:tcPr>
          <w:p w14:paraId="18A1BCC5">
            <w:pPr>
              <w:jc w:val="left"/>
              <w:rPr>
                <w:rFonts w:ascii="宋体" w:hAnsi="宋体" w:cs="宋体"/>
                <w:kern w:val="0"/>
                <w:sz w:val="20"/>
                <w:szCs w:val="20"/>
              </w:rPr>
            </w:pPr>
          </w:p>
        </w:tc>
      </w:tr>
      <w:tr w14:paraId="3ACB4139">
        <w:tblPrEx>
          <w:tblCellMar>
            <w:top w:w="0" w:type="dxa"/>
            <w:left w:w="108" w:type="dxa"/>
            <w:bottom w:w="0" w:type="dxa"/>
            <w:right w:w="108" w:type="dxa"/>
          </w:tblCellMar>
        </w:tblPrEx>
        <w:trPr>
          <w:trHeight w:val="285" w:hRule="atLeast"/>
        </w:trPr>
        <w:tc>
          <w:tcPr>
            <w:tcW w:w="618" w:type="dxa"/>
            <w:vMerge w:val="continue"/>
            <w:tcBorders>
              <w:left w:val="single" w:color="auto" w:sz="8" w:space="0"/>
              <w:right w:val="single" w:color="auto" w:sz="4" w:space="0"/>
            </w:tcBorders>
            <w:shd w:val="clear" w:color="auto" w:fill="auto"/>
            <w:vAlign w:val="center"/>
          </w:tcPr>
          <w:p w14:paraId="0C3CACD4">
            <w:pPr>
              <w:jc w:val="center"/>
              <w:rPr>
                <w:rFonts w:ascii="宋体" w:hAnsi="宋体" w:cs="宋体"/>
                <w:kern w:val="0"/>
                <w:sz w:val="20"/>
                <w:szCs w:val="20"/>
              </w:rPr>
            </w:pPr>
          </w:p>
        </w:tc>
        <w:tc>
          <w:tcPr>
            <w:tcW w:w="1016" w:type="dxa"/>
            <w:vMerge w:val="continue"/>
            <w:tcBorders>
              <w:top w:val="nil"/>
              <w:left w:val="single" w:color="auto" w:sz="4" w:space="0"/>
              <w:bottom w:val="single" w:color="auto" w:sz="4" w:space="0"/>
              <w:right w:val="single" w:color="auto" w:sz="4" w:space="0"/>
            </w:tcBorders>
            <w:vAlign w:val="center"/>
          </w:tcPr>
          <w:p w14:paraId="1B0BD0EF">
            <w:pPr>
              <w:widowControl/>
              <w:jc w:val="left"/>
              <w:rPr>
                <w:rFonts w:ascii="宋体" w:hAnsi="宋体" w:cs="宋体"/>
                <w:kern w:val="0"/>
                <w:sz w:val="20"/>
                <w:szCs w:val="20"/>
              </w:rPr>
            </w:pPr>
          </w:p>
        </w:tc>
        <w:tc>
          <w:tcPr>
            <w:tcW w:w="3152" w:type="dxa"/>
            <w:tcBorders>
              <w:top w:val="nil"/>
              <w:left w:val="nil"/>
              <w:bottom w:val="single" w:color="auto" w:sz="4" w:space="0"/>
              <w:right w:val="single" w:color="auto" w:sz="4" w:space="0"/>
            </w:tcBorders>
            <w:shd w:val="clear" w:color="auto" w:fill="auto"/>
            <w:vAlign w:val="center"/>
          </w:tcPr>
          <w:p w14:paraId="7A8C2036">
            <w:pPr>
              <w:widowControl/>
              <w:jc w:val="left"/>
              <w:rPr>
                <w:rFonts w:ascii="宋体" w:hAnsi="宋体" w:cs="宋体"/>
                <w:kern w:val="0"/>
                <w:sz w:val="20"/>
                <w:szCs w:val="20"/>
              </w:rPr>
            </w:pPr>
          </w:p>
        </w:tc>
        <w:tc>
          <w:tcPr>
            <w:tcW w:w="1559" w:type="dxa"/>
            <w:tcBorders>
              <w:top w:val="nil"/>
              <w:left w:val="nil"/>
              <w:bottom w:val="single" w:color="auto" w:sz="4" w:space="0"/>
              <w:right w:val="single" w:color="auto" w:sz="4" w:space="0"/>
            </w:tcBorders>
            <w:shd w:val="clear" w:color="auto" w:fill="auto"/>
            <w:vAlign w:val="center"/>
          </w:tcPr>
          <w:p w14:paraId="2838C8FD">
            <w:pPr>
              <w:widowControl/>
              <w:jc w:val="right"/>
              <w:rPr>
                <w:rFonts w:ascii="宋体" w:hAnsi="宋体" w:cs="宋体"/>
                <w:kern w:val="0"/>
                <w:sz w:val="20"/>
                <w:szCs w:val="20"/>
              </w:rPr>
            </w:pPr>
            <w:r>
              <w:rPr>
                <w:rFonts w:hint="eastAsia" w:ascii="宋体" w:hAnsi="宋体" w:cs="宋体"/>
                <w:kern w:val="0"/>
                <w:sz w:val="20"/>
                <w:szCs w:val="20"/>
              </w:rPr>
              <w:t>　</w:t>
            </w:r>
          </w:p>
        </w:tc>
        <w:tc>
          <w:tcPr>
            <w:tcW w:w="2268" w:type="dxa"/>
            <w:vMerge w:val="continue"/>
            <w:tcBorders>
              <w:left w:val="nil"/>
              <w:right w:val="single" w:color="auto" w:sz="8" w:space="0"/>
            </w:tcBorders>
            <w:shd w:val="clear" w:color="auto" w:fill="auto"/>
            <w:vAlign w:val="center"/>
          </w:tcPr>
          <w:p w14:paraId="08CEEB58">
            <w:pPr>
              <w:jc w:val="left"/>
              <w:rPr>
                <w:rFonts w:ascii="宋体" w:hAnsi="宋体" w:cs="宋体"/>
                <w:kern w:val="0"/>
                <w:sz w:val="20"/>
                <w:szCs w:val="20"/>
              </w:rPr>
            </w:pPr>
          </w:p>
        </w:tc>
      </w:tr>
      <w:tr w14:paraId="5A84D43F">
        <w:tblPrEx>
          <w:tblCellMar>
            <w:top w:w="0" w:type="dxa"/>
            <w:left w:w="108" w:type="dxa"/>
            <w:bottom w:w="0" w:type="dxa"/>
            <w:right w:w="108" w:type="dxa"/>
          </w:tblCellMar>
        </w:tblPrEx>
        <w:trPr>
          <w:trHeight w:val="285" w:hRule="atLeast"/>
        </w:trPr>
        <w:tc>
          <w:tcPr>
            <w:tcW w:w="618" w:type="dxa"/>
            <w:vMerge w:val="continue"/>
            <w:tcBorders>
              <w:left w:val="single" w:color="auto" w:sz="8" w:space="0"/>
              <w:right w:val="single" w:color="auto" w:sz="4" w:space="0"/>
            </w:tcBorders>
            <w:shd w:val="clear" w:color="auto" w:fill="auto"/>
            <w:vAlign w:val="center"/>
          </w:tcPr>
          <w:p w14:paraId="426DC02A">
            <w:pPr>
              <w:jc w:val="center"/>
              <w:rPr>
                <w:rFonts w:ascii="宋体" w:hAnsi="宋体" w:cs="宋体"/>
                <w:kern w:val="0"/>
                <w:sz w:val="20"/>
                <w:szCs w:val="20"/>
              </w:rPr>
            </w:pPr>
          </w:p>
        </w:tc>
        <w:tc>
          <w:tcPr>
            <w:tcW w:w="1016" w:type="dxa"/>
            <w:vMerge w:val="continue"/>
            <w:tcBorders>
              <w:top w:val="nil"/>
              <w:left w:val="single" w:color="auto" w:sz="4" w:space="0"/>
              <w:bottom w:val="single" w:color="auto" w:sz="4" w:space="0"/>
              <w:right w:val="single" w:color="auto" w:sz="4" w:space="0"/>
            </w:tcBorders>
            <w:vAlign w:val="center"/>
          </w:tcPr>
          <w:p w14:paraId="1B20C0E2">
            <w:pPr>
              <w:widowControl/>
              <w:jc w:val="left"/>
              <w:rPr>
                <w:rFonts w:ascii="宋体" w:hAnsi="宋体" w:cs="宋体"/>
                <w:kern w:val="0"/>
                <w:sz w:val="20"/>
                <w:szCs w:val="20"/>
              </w:rPr>
            </w:pPr>
          </w:p>
        </w:tc>
        <w:tc>
          <w:tcPr>
            <w:tcW w:w="3152" w:type="dxa"/>
            <w:tcBorders>
              <w:top w:val="nil"/>
              <w:left w:val="nil"/>
              <w:bottom w:val="single" w:color="auto" w:sz="4" w:space="0"/>
              <w:right w:val="single" w:color="auto" w:sz="4" w:space="0"/>
            </w:tcBorders>
            <w:shd w:val="clear" w:color="auto" w:fill="auto"/>
            <w:vAlign w:val="center"/>
          </w:tcPr>
          <w:p w14:paraId="7475B598">
            <w:pPr>
              <w:widowControl/>
              <w:jc w:val="left"/>
              <w:rPr>
                <w:rFonts w:ascii="宋体" w:hAnsi="宋体" w:cs="宋体"/>
                <w:kern w:val="0"/>
                <w:sz w:val="20"/>
                <w:szCs w:val="20"/>
              </w:rPr>
            </w:pPr>
          </w:p>
        </w:tc>
        <w:tc>
          <w:tcPr>
            <w:tcW w:w="1559" w:type="dxa"/>
            <w:tcBorders>
              <w:top w:val="nil"/>
              <w:left w:val="nil"/>
              <w:bottom w:val="single" w:color="auto" w:sz="4" w:space="0"/>
              <w:right w:val="single" w:color="auto" w:sz="4" w:space="0"/>
            </w:tcBorders>
            <w:shd w:val="clear" w:color="auto" w:fill="auto"/>
            <w:vAlign w:val="center"/>
          </w:tcPr>
          <w:p w14:paraId="5D3EC6D8">
            <w:pPr>
              <w:widowControl/>
              <w:jc w:val="right"/>
              <w:rPr>
                <w:rFonts w:ascii="宋体" w:hAnsi="宋体" w:cs="宋体"/>
                <w:kern w:val="0"/>
                <w:sz w:val="20"/>
                <w:szCs w:val="20"/>
              </w:rPr>
            </w:pPr>
            <w:r>
              <w:rPr>
                <w:rFonts w:hint="eastAsia" w:ascii="宋体" w:hAnsi="宋体" w:cs="宋体"/>
                <w:kern w:val="0"/>
                <w:sz w:val="20"/>
                <w:szCs w:val="20"/>
              </w:rPr>
              <w:t>　</w:t>
            </w:r>
          </w:p>
        </w:tc>
        <w:tc>
          <w:tcPr>
            <w:tcW w:w="2268" w:type="dxa"/>
            <w:vMerge w:val="continue"/>
            <w:tcBorders>
              <w:left w:val="nil"/>
              <w:right w:val="single" w:color="auto" w:sz="8" w:space="0"/>
            </w:tcBorders>
            <w:shd w:val="clear" w:color="auto" w:fill="auto"/>
            <w:vAlign w:val="center"/>
          </w:tcPr>
          <w:p w14:paraId="0B161255">
            <w:pPr>
              <w:jc w:val="left"/>
              <w:rPr>
                <w:rFonts w:ascii="宋体" w:hAnsi="宋体" w:cs="宋体"/>
                <w:kern w:val="0"/>
                <w:sz w:val="20"/>
                <w:szCs w:val="20"/>
              </w:rPr>
            </w:pPr>
          </w:p>
        </w:tc>
      </w:tr>
      <w:tr w14:paraId="6542265F">
        <w:tblPrEx>
          <w:tblCellMar>
            <w:top w:w="0" w:type="dxa"/>
            <w:left w:w="108" w:type="dxa"/>
            <w:bottom w:w="0" w:type="dxa"/>
            <w:right w:w="108" w:type="dxa"/>
          </w:tblCellMar>
        </w:tblPrEx>
        <w:trPr>
          <w:trHeight w:val="285" w:hRule="atLeast"/>
        </w:trPr>
        <w:tc>
          <w:tcPr>
            <w:tcW w:w="618" w:type="dxa"/>
            <w:vMerge w:val="continue"/>
            <w:tcBorders>
              <w:left w:val="single" w:color="auto" w:sz="8" w:space="0"/>
              <w:right w:val="single" w:color="auto" w:sz="4" w:space="0"/>
            </w:tcBorders>
            <w:shd w:val="clear" w:color="auto" w:fill="auto"/>
            <w:vAlign w:val="center"/>
          </w:tcPr>
          <w:p w14:paraId="2098B9A1">
            <w:pPr>
              <w:jc w:val="center"/>
              <w:rPr>
                <w:rFonts w:ascii="宋体" w:hAnsi="宋体" w:cs="宋体"/>
                <w:kern w:val="0"/>
                <w:sz w:val="20"/>
                <w:szCs w:val="20"/>
              </w:rPr>
            </w:pPr>
          </w:p>
        </w:tc>
        <w:tc>
          <w:tcPr>
            <w:tcW w:w="1016" w:type="dxa"/>
            <w:vMerge w:val="continue"/>
            <w:tcBorders>
              <w:top w:val="nil"/>
              <w:left w:val="single" w:color="auto" w:sz="4" w:space="0"/>
              <w:bottom w:val="single" w:color="auto" w:sz="4" w:space="0"/>
              <w:right w:val="single" w:color="auto" w:sz="4" w:space="0"/>
            </w:tcBorders>
            <w:vAlign w:val="center"/>
          </w:tcPr>
          <w:p w14:paraId="1E4392A3">
            <w:pPr>
              <w:widowControl/>
              <w:jc w:val="left"/>
              <w:rPr>
                <w:rFonts w:ascii="宋体" w:hAnsi="宋体" w:cs="宋体"/>
                <w:kern w:val="0"/>
                <w:sz w:val="20"/>
                <w:szCs w:val="20"/>
              </w:rPr>
            </w:pPr>
          </w:p>
        </w:tc>
        <w:tc>
          <w:tcPr>
            <w:tcW w:w="3152" w:type="dxa"/>
            <w:tcBorders>
              <w:top w:val="nil"/>
              <w:left w:val="nil"/>
              <w:bottom w:val="single" w:color="auto" w:sz="4" w:space="0"/>
              <w:right w:val="single" w:color="auto" w:sz="4" w:space="0"/>
            </w:tcBorders>
            <w:shd w:val="clear" w:color="auto" w:fill="auto"/>
            <w:vAlign w:val="center"/>
          </w:tcPr>
          <w:p w14:paraId="2DBFFF59">
            <w:pPr>
              <w:widowControl/>
              <w:jc w:val="left"/>
              <w:rPr>
                <w:rFonts w:ascii="宋体" w:hAnsi="宋体" w:cs="宋体"/>
                <w:kern w:val="0"/>
                <w:sz w:val="20"/>
                <w:szCs w:val="20"/>
              </w:rPr>
            </w:pPr>
          </w:p>
        </w:tc>
        <w:tc>
          <w:tcPr>
            <w:tcW w:w="1559" w:type="dxa"/>
            <w:tcBorders>
              <w:top w:val="nil"/>
              <w:left w:val="nil"/>
              <w:bottom w:val="single" w:color="auto" w:sz="4" w:space="0"/>
              <w:right w:val="single" w:color="auto" w:sz="4" w:space="0"/>
            </w:tcBorders>
            <w:shd w:val="clear" w:color="auto" w:fill="auto"/>
            <w:vAlign w:val="center"/>
          </w:tcPr>
          <w:p w14:paraId="4C756400">
            <w:pPr>
              <w:widowControl/>
              <w:jc w:val="right"/>
              <w:rPr>
                <w:rFonts w:ascii="宋体" w:hAnsi="宋体" w:cs="宋体"/>
                <w:kern w:val="0"/>
                <w:sz w:val="20"/>
                <w:szCs w:val="20"/>
              </w:rPr>
            </w:pPr>
            <w:r>
              <w:rPr>
                <w:rFonts w:hint="eastAsia" w:ascii="宋体" w:hAnsi="宋体" w:cs="宋体"/>
                <w:kern w:val="0"/>
                <w:sz w:val="20"/>
                <w:szCs w:val="20"/>
              </w:rPr>
              <w:t>　</w:t>
            </w:r>
          </w:p>
        </w:tc>
        <w:tc>
          <w:tcPr>
            <w:tcW w:w="2268" w:type="dxa"/>
            <w:vMerge w:val="continue"/>
            <w:tcBorders>
              <w:left w:val="nil"/>
              <w:bottom w:val="single" w:color="auto" w:sz="4" w:space="0"/>
              <w:right w:val="single" w:color="auto" w:sz="8" w:space="0"/>
            </w:tcBorders>
            <w:shd w:val="clear" w:color="auto" w:fill="auto"/>
            <w:vAlign w:val="center"/>
          </w:tcPr>
          <w:p w14:paraId="64FE23A7">
            <w:pPr>
              <w:widowControl/>
              <w:jc w:val="left"/>
              <w:rPr>
                <w:rFonts w:ascii="宋体" w:hAnsi="宋体" w:cs="宋体"/>
                <w:kern w:val="0"/>
                <w:sz w:val="20"/>
                <w:szCs w:val="20"/>
              </w:rPr>
            </w:pPr>
          </w:p>
        </w:tc>
      </w:tr>
      <w:tr w14:paraId="3533F463">
        <w:tblPrEx>
          <w:tblCellMar>
            <w:top w:w="0" w:type="dxa"/>
            <w:left w:w="108" w:type="dxa"/>
            <w:bottom w:w="0" w:type="dxa"/>
            <w:right w:w="108" w:type="dxa"/>
          </w:tblCellMar>
        </w:tblPrEx>
        <w:trPr>
          <w:trHeight w:val="285" w:hRule="atLeast"/>
        </w:trPr>
        <w:tc>
          <w:tcPr>
            <w:tcW w:w="618" w:type="dxa"/>
            <w:vMerge w:val="continue"/>
            <w:tcBorders>
              <w:left w:val="single" w:color="auto" w:sz="8" w:space="0"/>
              <w:bottom w:val="single" w:color="auto" w:sz="4" w:space="0"/>
              <w:right w:val="single" w:color="auto" w:sz="4" w:space="0"/>
            </w:tcBorders>
            <w:shd w:val="clear" w:color="000000" w:fill="FFFFFF"/>
            <w:vAlign w:val="center"/>
          </w:tcPr>
          <w:p w14:paraId="71466B30">
            <w:pPr>
              <w:widowControl/>
              <w:jc w:val="center"/>
              <w:rPr>
                <w:rFonts w:ascii="宋体" w:hAnsi="宋体" w:cs="宋体"/>
                <w:kern w:val="0"/>
                <w:sz w:val="20"/>
                <w:szCs w:val="20"/>
              </w:rPr>
            </w:pPr>
          </w:p>
        </w:tc>
        <w:tc>
          <w:tcPr>
            <w:tcW w:w="4168" w:type="dxa"/>
            <w:gridSpan w:val="2"/>
            <w:tcBorders>
              <w:top w:val="single" w:color="auto" w:sz="4" w:space="0"/>
              <w:left w:val="nil"/>
              <w:bottom w:val="single" w:color="auto" w:sz="4" w:space="0"/>
              <w:right w:val="single" w:color="auto" w:sz="4" w:space="0"/>
            </w:tcBorders>
            <w:shd w:val="clear" w:color="000000" w:fill="FFFFFF"/>
            <w:vAlign w:val="center"/>
          </w:tcPr>
          <w:p w14:paraId="4B94F5C9">
            <w:pPr>
              <w:widowControl/>
              <w:jc w:val="center"/>
              <w:rPr>
                <w:rFonts w:ascii="宋体" w:hAnsi="宋体" w:cs="宋体"/>
                <w:kern w:val="0"/>
                <w:sz w:val="20"/>
                <w:szCs w:val="20"/>
              </w:rPr>
            </w:pPr>
            <w:r>
              <w:rPr>
                <w:rFonts w:hint="eastAsia" w:ascii="宋体" w:hAnsi="宋体" w:cs="宋体"/>
                <w:kern w:val="0"/>
                <w:sz w:val="20"/>
                <w:szCs w:val="20"/>
              </w:rPr>
              <w:t>*</w:t>
            </w:r>
            <w:r>
              <w:rPr>
                <w:rFonts w:ascii="宋体" w:hAnsi="宋体" w:cs="宋体"/>
                <w:kern w:val="0"/>
                <w:sz w:val="20"/>
                <w:szCs w:val="20"/>
              </w:rPr>
              <w:t>*</w:t>
            </w:r>
            <w:r>
              <w:rPr>
                <w:rFonts w:hint="eastAsia" w:ascii="宋体" w:hAnsi="宋体" w:cs="宋体"/>
                <w:kern w:val="0"/>
                <w:sz w:val="20"/>
                <w:szCs w:val="20"/>
              </w:rPr>
              <w:t>费用小计</w:t>
            </w:r>
          </w:p>
        </w:tc>
        <w:tc>
          <w:tcPr>
            <w:tcW w:w="1559" w:type="dxa"/>
            <w:tcBorders>
              <w:top w:val="nil"/>
              <w:left w:val="nil"/>
              <w:bottom w:val="single" w:color="auto" w:sz="4" w:space="0"/>
              <w:right w:val="single" w:color="auto" w:sz="4" w:space="0"/>
            </w:tcBorders>
            <w:shd w:val="clear" w:color="000000" w:fill="FFFFFF"/>
            <w:vAlign w:val="center"/>
          </w:tcPr>
          <w:p w14:paraId="08045C68">
            <w:pPr>
              <w:widowControl/>
              <w:jc w:val="right"/>
              <w:rPr>
                <w:rFonts w:ascii="宋体" w:hAnsi="宋体" w:cs="宋体"/>
                <w:kern w:val="0"/>
                <w:sz w:val="20"/>
                <w:szCs w:val="20"/>
              </w:rPr>
            </w:pPr>
            <w:r>
              <w:rPr>
                <w:rFonts w:hint="eastAsia" w:ascii="宋体" w:hAnsi="宋体" w:cs="宋体"/>
                <w:kern w:val="0"/>
                <w:sz w:val="20"/>
                <w:szCs w:val="20"/>
              </w:rPr>
              <w:t>　</w:t>
            </w:r>
          </w:p>
        </w:tc>
        <w:tc>
          <w:tcPr>
            <w:tcW w:w="2268" w:type="dxa"/>
            <w:tcBorders>
              <w:top w:val="nil"/>
              <w:left w:val="nil"/>
              <w:bottom w:val="single" w:color="auto" w:sz="4" w:space="0"/>
              <w:right w:val="single" w:color="auto" w:sz="8" w:space="0"/>
            </w:tcBorders>
            <w:shd w:val="clear" w:color="000000" w:fill="FFFFFF"/>
            <w:vAlign w:val="center"/>
          </w:tcPr>
          <w:p w14:paraId="313E7B84">
            <w:pPr>
              <w:widowControl/>
              <w:jc w:val="left"/>
              <w:rPr>
                <w:rFonts w:ascii="宋体" w:hAnsi="宋体" w:cs="宋体"/>
                <w:kern w:val="0"/>
                <w:sz w:val="20"/>
                <w:szCs w:val="20"/>
              </w:rPr>
            </w:pPr>
            <w:r>
              <w:rPr>
                <w:rFonts w:hint="eastAsia" w:ascii="宋体" w:hAnsi="宋体" w:cs="宋体"/>
                <w:kern w:val="0"/>
                <w:sz w:val="20"/>
                <w:szCs w:val="20"/>
              </w:rPr>
              <w:t>　</w:t>
            </w:r>
          </w:p>
        </w:tc>
      </w:tr>
      <w:tr w14:paraId="08AEF2EA">
        <w:tblPrEx>
          <w:tblCellMar>
            <w:top w:w="0" w:type="dxa"/>
            <w:left w:w="108" w:type="dxa"/>
            <w:bottom w:w="0" w:type="dxa"/>
            <w:right w:w="108" w:type="dxa"/>
          </w:tblCellMar>
        </w:tblPrEx>
        <w:trPr>
          <w:trHeight w:val="285" w:hRule="atLeast"/>
        </w:trPr>
        <w:tc>
          <w:tcPr>
            <w:tcW w:w="618" w:type="dxa"/>
            <w:vMerge w:val="restart"/>
            <w:tcBorders>
              <w:top w:val="nil"/>
              <w:left w:val="single" w:color="auto" w:sz="8" w:space="0"/>
              <w:right w:val="single" w:color="auto" w:sz="4" w:space="0"/>
            </w:tcBorders>
            <w:shd w:val="clear" w:color="000000" w:fill="FFFFFF"/>
            <w:vAlign w:val="center"/>
          </w:tcPr>
          <w:p w14:paraId="308CA19A">
            <w:pPr>
              <w:widowControl/>
              <w:jc w:val="center"/>
              <w:rPr>
                <w:rFonts w:ascii="宋体" w:hAnsi="宋体" w:cs="宋体"/>
                <w:kern w:val="0"/>
                <w:sz w:val="20"/>
                <w:szCs w:val="20"/>
              </w:rPr>
            </w:pPr>
            <w:r>
              <w:rPr>
                <w:rFonts w:hint="eastAsia" w:ascii="宋体" w:hAnsi="宋体" w:cs="宋体"/>
                <w:kern w:val="0"/>
                <w:sz w:val="20"/>
                <w:szCs w:val="20"/>
              </w:rPr>
              <w:t>三</w:t>
            </w:r>
          </w:p>
        </w:tc>
        <w:tc>
          <w:tcPr>
            <w:tcW w:w="1016" w:type="dxa"/>
            <w:vMerge w:val="restart"/>
            <w:tcBorders>
              <w:top w:val="nil"/>
              <w:left w:val="single" w:color="auto" w:sz="4" w:space="0"/>
              <w:bottom w:val="single" w:color="auto" w:sz="4" w:space="0"/>
              <w:right w:val="single" w:color="auto" w:sz="4" w:space="0"/>
            </w:tcBorders>
            <w:shd w:val="clear" w:color="000000" w:fill="FFFFFF"/>
            <w:vAlign w:val="center"/>
          </w:tcPr>
          <w:p w14:paraId="3FA4C6F9">
            <w:pPr>
              <w:widowControl/>
              <w:jc w:val="center"/>
              <w:rPr>
                <w:rFonts w:ascii="宋体" w:hAnsi="宋体" w:cs="宋体"/>
                <w:kern w:val="0"/>
                <w:sz w:val="20"/>
                <w:szCs w:val="20"/>
              </w:rPr>
            </w:pPr>
            <w:r>
              <w:rPr>
                <w:rFonts w:hint="eastAsia" w:ascii="宋体" w:hAnsi="宋体" w:cs="宋体"/>
                <w:kern w:val="0"/>
                <w:sz w:val="20"/>
                <w:szCs w:val="20"/>
              </w:rPr>
              <w:t>其他费用</w:t>
            </w:r>
          </w:p>
        </w:tc>
        <w:tc>
          <w:tcPr>
            <w:tcW w:w="3152" w:type="dxa"/>
            <w:tcBorders>
              <w:top w:val="nil"/>
              <w:left w:val="nil"/>
              <w:bottom w:val="single" w:color="auto" w:sz="4" w:space="0"/>
              <w:right w:val="single" w:color="auto" w:sz="4" w:space="0"/>
            </w:tcBorders>
            <w:shd w:val="clear" w:color="000000" w:fill="FFFFFF"/>
            <w:vAlign w:val="center"/>
          </w:tcPr>
          <w:p w14:paraId="2690460A">
            <w:pPr>
              <w:widowControl/>
              <w:jc w:val="left"/>
              <w:rPr>
                <w:rFonts w:ascii="宋体" w:hAnsi="宋体" w:cs="宋体"/>
                <w:kern w:val="0"/>
                <w:sz w:val="20"/>
                <w:szCs w:val="20"/>
              </w:rPr>
            </w:pPr>
            <w:r>
              <w:rPr>
                <w:rFonts w:hint="eastAsia" w:ascii="宋体" w:hAnsi="宋体" w:cs="宋体"/>
                <w:kern w:val="0"/>
                <w:sz w:val="20"/>
                <w:szCs w:val="20"/>
              </w:rPr>
              <w:t>*</w:t>
            </w:r>
            <w:r>
              <w:rPr>
                <w:rFonts w:ascii="宋体" w:hAnsi="宋体" w:cs="宋体"/>
                <w:kern w:val="0"/>
                <w:sz w:val="20"/>
                <w:szCs w:val="20"/>
              </w:rPr>
              <w:t>*</w:t>
            </w:r>
          </w:p>
        </w:tc>
        <w:tc>
          <w:tcPr>
            <w:tcW w:w="1559" w:type="dxa"/>
            <w:tcBorders>
              <w:top w:val="nil"/>
              <w:left w:val="nil"/>
              <w:bottom w:val="single" w:color="auto" w:sz="4" w:space="0"/>
              <w:right w:val="single" w:color="auto" w:sz="4" w:space="0"/>
            </w:tcBorders>
            <w:shd w:val="clear" w:color="000000" w:fill="FFFFFF"/>
            <w:vAlign w:val="center"/>
          </w:tcPr>
          <w:p w14:paraId="6E9DC8B6">
            <w:pPr>
              <w:widowControl/>
              <w:jc w:val="right"/>
              <w:rPr>
                <w:rFonts w:ascii="宋体" w:hAnsi="宋体" w:cs="宋体"/>
                <w:kern w:val="0"/>
                <w:sz w:val="20"/>
                <w:szCs w:val="20"/>
              </w:rPr>
            </w:pPr>
            <w:r>
              <w:rPr>
                <w:rFonts w:hint="eastAsia" w:ascii="宋体" w:hAnsi="宋体" w:cs="宋体"/>
                <w:kern w:val="0"/>
                <w:sz w:val="20"/>
                <w:szCs w:val="20"/>
              </w:rPr>
              <w:t>　</w:t>
            </w:r>
          </w:p>
        </w:tc>
        <w:tc>
          <w:tcPr>
            <w:tcW w:w="2268" w:type="dxa"/>
            <w:tcBorders>
              <w:top w:val="nil"/>
              <w:left w:val="nil"/>
              <w:bottom w:val="single" w:color="auto" w:sz="4" w:space="0"/>
              <w:right w:val="single" w:color="auto" w:sz="8" w:space="0"/>
            </w:tcBorders>
            <w:shd w:val="clear" w:color="000000" w:fill="FFFFFF"/>
            <w:vAlign w:val="center"/>
          </w:tcPr>
          <w:p w14:paraId="0C621E76">
            <w:pPr>
              <w:widowControl/>
              <w:jc w:val="left"/>
              <w:rPr>
                <w:rFonts w:ascii="宋体" w:hAnsi="宋体" w:cs="宋体"/>
                <w:kern w:val="0"/>
                <w:sz w:val="20"/>
                <w:szCs w:val="20"/>
              </w:rPr>
            </w:pPr>
          </w:p>
        </w:tc>
      </w:tr>
      <w:tr w14:paraId="1526FAAE">
        <w:tblPrEx>
          <w:tblCellMar>
            <w:top w:w="0" w:type="dxa"/>
            <w:left w:w="108" w:type="dxa"/>
            <w:bottom w:w="0" w:type="dxa"/>
            <w:right w:w="108" w:type="dxa"/>
          </w:tblCellMar>
        </w:tblPrEx>
        <w:trPr>
          <w:trHeight w:val="285" w:hRule="atLeast"/>
        </w:trPr>
        <w:tc>
          <w:tcPr>
            <w:tcW w:w="618" w:type="dxa"/>
            <w:vMerge w:val="continue"/>
            <w:tcBorders>
              <w:left w:val="single" w:color="auto" w:sz="8" w:space="0"/>
              <w:right w:val="single" w:color="auto" w:sz="4" w:space="0"/>
            </w:tcBorders>
            <w:shd w:val="clear" w:color="000000" w:fill="FFFFFF"/>
            <w:vAlign w:val="center"/>
          </w:tcPr>
          <w:p w14:paraId="1FF1F37D">
            <w:pPr>
              <w:jc w:val="center"/>
              <w:rPr>
                <w:rFonts w:ascii="宋体" w:hAnsi="宋体" w:cs="宋体"/>
                <w:kern w:val="0"/>
                <w:sz w:val="20"/>
                <w:szCs w:val="20"/>
              </w:rPr>
            </w:pPr>
          </w:p>
        </w:tc>
        <w:tc>
          <w:tcPr>
            <w:tcW w:w="1016" w:type="dxa"/>
            <w:vMerge w:val="continue"/>
            <w:tcBorders>
              <w:top w:val="nil"/>
              <w:left w:val="single" w:color="auto" w:sz="4" w:space="0"/>
              <w:bottom w:val="single" w:color="auto" w:sz="4" w:space="0"/>
              <w:right w:val="single" w:color="auto" w:sz="4" w:space="0"/>
            </w:tcBorders>
            <w:vAlign w:val="center"/>
          </w:tcPr>
          <w:p w14:paraId="5D49FEB7">
            <w:pPr>
              <w:widowControl/>
              <w:jc w:val="left"/>
              <w:rPr>
                <w:rFonts w:ascii="宋体" w:hAnsi="宋体" w:cs="宋体"/>
                <w:kern w:val="0"/>
                <w:sz w:val="20"/>
                <w:szCs w:val="20"/>
              </w:rPr>
            </w:pPr>
          </w:p>
        </w:tc>
        <w:tc>
          <w:tcPr>
            <w:tcW w:w="3152" w:type="dxa"/>
            <w:tcBorders>
              <w:top w:val="nil"/>
              <w:left w:val="nil"/>
              <w:bottom w:val="single" w:color="auto" w:sz="4" w:space="0"/>
              <w:right w:val="single" w:color="auto" w:sz="4" w:space="0"/>
            </w:tcBorders>
            <w:shd w:val="clear" w:color="000000" w:fill="FFFFFF"/>
            <w:vAlign w:val="center"/>
          </w:tcPr>
          <w:p w14:paraId="384F8521">
            <w:pPr>
              <w:widowControl/>
              <w:jc w:val="left"/>
              <w:rPr>
                <w:rFonts w:ascii="宋体" w:hAnsi="宋体" w:cs="宋体"/>
                <w:kern w:val="0"/>
                <w:sz w:val="20"/>
                <w:szCs w:val="20"/>
              </w:rPr>
            </w:pPr>
          </w:p>
        </w:tc>
        <w:tc>
          <w:tcPr>
            <w:tcW w:w="1559" w:type="dxa"/>
            <w:tcBorders>
              <w:top w:val="nil"/>
              <w:left w:val="nil"/>
              <w:bottom w:val="single" w:color="auto" w:sz="4" w:space="0"/>
              <w:right w:val="single" w:color="auto" w:sz="4" w:space="0"/>
            </w:tcBorders>
            <w:shd w:val="clear" w:color="000000" w:fill="FFFFFF"/>
            <w:vAlign w:val="center"/>
          </w:tcPr>
          <w:p w14:paraId="21FBD3BE">
            <w:pPr>
              <w:widowControl/>
              <w:jc w:val="right"/>
              <w:rPr>
                <w:rFonts w:ascii="宋体" w:hAnsi="宋体" w:cs="宋体"/>
                <w:kern w:val="0"/>
                <w:sz w:val="20"/>
                <w:szCs w:val="20"/>
              </w:rPr>
            </w:pPr>
            <w:r>
              <w:rPr>
                <w:rFonts w:hint="eastAsia" w:ascii="宋体" w:hAnsi="宋体" w:cs="宋体"/>
                <w:kern w:val="0"/>
                <w:sz w:val="20"/>
                <w:szCs w:val="20"/>
              </w:rPr>
              <w:t>　</w:t>
            </w:r>
          </w:p>
        </w:tc>
        <w:tc>
          <w:tcPr>
            <w:tcW w:w="2268" w:type="dxa"/>
            <w:tcBorders>
              <w:top w:val="nil"/>
              <w:left w:val="nil"/>
              <w:bottom w:val="single" w:color="auto" w:sz="4" w:space="0"/>
              <w:right w:val="single" w:color="auto" w:sz="8" w:space="0"/>
            </w:tcBorders>
            <w:shd w:val="clear" w:color="000000" w:fill="FFFFFF"/>
            <w:vAlign w:val="center"/>
          </w:tcPr>
          <w:p w14:paraId="667357B8">
            <w:pPr>
              <w:widowControl/>
              <w:jc w:val="left"/>
              <w:rPr>
                <w:rFonts w:ascii="宋体" w:hAnsi="宋体" w:cs="宋体"/>
                <w:kern w:val="0"/>
                <w:sz w:val="20"/>
                <w:szCs w:val="20"/>
              </w:rPr>
            </w:pPr>
          </w:p>
        </w:tc>
      </w:tr>
      <w:tr w14:paraId="7C718875">
        <w:tblPrEx>
          <w:tblCellMar>
            <w:top w:w="0" w:type="dxa"/>
            <w:left w:w="108" w:type="dxa"/>
            <w:bottom w:w="0" w:type="dxa"/>
            <w:right w:w="108" w:type="dxa"/>
          </w:tblCellMar>
        </w:tblPrEx>
        <w:trPr>
          <w:trHeight w:val="285" w:hRule="atLeast"/>
        </w:trPr>
        <w:tc>
          <w:tcPr>
            <w:tcW w:w="618" w:type="dxa"/>
            <w:vMerge w:val="continue"/>
            <w:tcBorders>
              <w:left w:val="single" w:color="auto" w:sz="8" w:space="0"/>
              <w:bottom w:val="single" w:color="auto" w:sz="4" w:space="0"/>
              <w:right w:val="single" w:color="auto" w:sz="4" w:space="0"/>
            </w:tcBorders>
            <w:shd w:val="clear" w:color="000000" w:fill="FFFFFF"/>
            <w:vAlign w:val="center"/>
          </w:tcPr>
          <w:p w14:paraId="21969E54">
            <w:pPr>
              <w:widowControl/>
              <w:jc w:val="center"/>
              <w:rPr>
                <w:rFonts w:ascii="宋体" w:hAnsi="宋体" w:cs="宋体"/>
                <w:kern w:val="0"/>
                <w:sz w:val="20"/>
                <w:szCs w:val="20"/>
              </w:rPr>
            </w:pPr>
          </w:p>
        </w:tc>
        <w:tc>
          <w:tcPr>
            <w:tcW w:w="4168" w:type="dxa"/>
            <w:gridSpan w:val="2"/>
            <w:tcBorders>
              <w:top w:val="single" w:color="auto" w:sz="4" w:space="0"/>
              <w:left w:val="nil"/>
              <w:bottom w:val="single" w:color="auto" w:sz="4" w:space="0"/>
              <w:right w:val="single" w:color="auto" w:sz="4" w:space="0"/>
            </w:tcBorders>
            <w:shd w:val="clear" w:color="000000" w:fill="FFFFFF"/>
            <w:vAlign w:val="center"/>
          </w:tcPr>
          <w:p w14:paraId="643E1DB4">
            <w:pPr>
              <w:widowControl/>
              <w:jc w:val="center"/>
              <w:rPr>
                <w:rFonts w:ascii="宋体" w:hAnsi="宋体" w:cs="宋体"/>
                <w:kern w:val="0"/>
                <w:sz w:val="20"/>
                <w:szCs w:val="20"/>
              </w:rPr>
            </w:pPr>
            <w:r>
              <w:rPr>
                <w:rFonts w:hint="eastAsia" w:ascii="宋体" w:hAnsi="宋体" w:cs="宋体"/>
                <w:kern w:val="0"/>
                <w:sz w:val="20"/>
                <w:szCs w:val="20"/>
              </w:rPr>
              <w:t>其他费用小计</w:t>
            </w:r>
          </w:p>
        </w:tc>
        <w:tc>
          <w:tcPr>
            <w:tcW w:w="1559" w:type="dxa"/>
            <w:tcBorders>
              <w:top w:val="nil"/>
              <w:left w:val="nil"/>
              <w:bottom w:val="single" w:color="auto" w:sz="4" w:space="0"/>
              <w:right w:val="single" w:color="auto" w:sz="4" w:space="0"/>
            </w:tcBorders>
            <w:shd w:val="clear" w:color="000000" w:fill="FFFFFF"/>
            <w:vAlign w:val="center"/>
          </w:tcPr>
          <w:p w14:paraId="06E15E9D">
            <w:pPr>
              <w:widowControl/>
              <w:jc w:val="right"/>
              <w:rPr>
                <w:rFonts w:ascii="宋体" w:hAnsi="宋体" w:cs="宋体"/>
                <w:kern w:val="0"/>
                <w:sz w:val="20"/>
                <w:szCs w:val="20"/>
              </w:rPr>
            </w:pPr>
            <w:r>
              <w:rPr>
                <w:rFonts w:hint="eastAsia" w:ascii="宋体" w:hAnsi="宋体" w:cs="宋体"/>
                <w:kern w:val="0"/>
                <w:sz w:val="20"/>
                <w:szCs w:val="20"/>
              </w:rPr>
              <w:t>　</w:t>
            </w:r>
          </w:p>
        </w:tc>
        <w:tc>
          <w:tcPr>
            <w:tcW w:w="2268" w:type="dxa"/>
            <w:tcBorders>
              <w:top w:val="nil"/>
              <w:left w:val="nil"/>
              <w:bottom w:val="single" w:color="auto" w:sz="4" w:space="0"/>
              <w:right w:val="single" w:color="auto" w:sz="8" w:space="0"/>
            </w:tcBorders>
            <w:shd w:val="clear" w:color="000000" w:fill="FFFFFF"/>
            <w:vAlign w:val="center"/>
          </w:tcPr>
          <w:p w14:paraId="149562D7">
            <w:pPr>
              <w:widowControl/>
              <w:jc w:val="left"/>
              <w:rPr>
                <w:rFonts w:ascii="宋体" w:hAnsi="宋体" w:cs="宋体"/>
                <w:kern w:val="0"/>
                <w:sz w:val="20"/>
                <w:szCs w:val="20"/>
              </w:rPr>
            </w:pPr>
            <w:r>
              <w:rPr>
                <w:rFonts w:hint="eastAsia" w:ascii="宋体" w:hAnsi="宋体" w:cs="宋体"/>
                <w:kern w:val="0"/>
                <w:sz w:val="20"/>
                <w:szCs w:val="20"/>
              </w:rPr>
              <w:t>　</w:t>
            </w:r>
          </w:p>
        </w:tc>
      </w:tr>
      <w:tr w14:paraId="5E6F6893">
        <w:tblPrEx>
          <w:tblCellMar>
            <w:top w:w="0" w:type="dxa"/>
            <w:left w:w="108" w:type="dxa"/>
            <w:bottom w:w="0" w:type="dxa"/>
            <w:right w:w="108" w:type="dxa"/>
          </w:tblCellMar>
        </w:tblPrEx>
        <w:trPr>
          <w:trHeight w:val="285" w:hRule="atLeast"/>
        </w:trPr>
        <w:tc>
          <w:tcPr>
            <w:tcW w:w="618" w:type="dxa"/>
            <w:tcBorders>
              <w:top w:val="nil"/>
              <w:left w:val="single" w:color="auto" w:sz="8" w:space="0"/>
              <w:bottom w:val="single" w:color="auto" w:sz="4" w:space="0"/>
              <w:right w:val="single" w:color="auto" w:sz="4" w:space="0"/>
            </w:tcBorders>
            <w:shd w:val="clear" w:color="000000" w:fill="FFFFFF"/>
            <w:vAlign w:val="center"/>
          </w:tcPr>
          <w:p w14:paraId="3512B169">
            <w:pPr>
              <w:widowControl/>
              <w:jc w:val="center"/>
              <w:rPr>
                <w:rFonts w:ascii="宋体" w:hAnsi="宋体" w:cs="宋体"/>
                <w:kern w:val="0"/>
                <w:sz w:val="20"/>
                <w:szCs w:val="20"/>
              </w:rPr>
            </w:pPr>
            <w:r>
              <w:rPr>
                <w:rFonts w:hint="eastAsia" w:ascii="宋体" w:hAnsi="宋体" w:cs="宋体"/>
                <w:kern w:val="0"/>
                <w:sz w:val="20"/>
                <w:szCs w:val="20"/>
              </w:rPr>
              <w:t>四</w:t>
            </w:r>
          </w:p>
        </w:tc>
        <w:tc>
          <w:tcPr>
            <w:tcW w:w="4168" w:type="dxa"/>
            <w:gridSpan w:val="2"/>
            <w:tcBorders>
              <w:top w:val="single" w:color="auto" w:sz="4" w:space="0"/>
              <w:left w:val="nil"/>
              <w:bottom w:val="single" w:color="auto" w:sz="4" w:space="0"/>
              <w:right w:val="single" w:color="auto" w:sz="4" w:space="0"/>
            </w:tcBorders>
            <w:shd w:val="clear" w:color="000000" w:fill="FFFFFF"/>
            <w:vAlign w:val="center"/>
          </w:tcPr>
          <w:p w14:paraId="23E79815">
            <w:pPr>
              <w:widowControl/>
              <w:jc w:val="left"/>
              <w:rPr>
                <w:rFonts w:ascii="宋体" w:hAnsi="宋体" w:cs="宋体"/>
                <w:kern w:val="0"/>
                <w:sz w:val="20"/>
                <w:szCs w:val="20"/>
              </w:rPr>
            </w:pPr>
            <w:r>
              <w:rPr>
                <w:rFonts w:hint="eastAsia" w:ascii="宋体" w:hAnsi="宋体" w:cs="宋体"/>
                <w:kern w:val="0"/>
                <w:sz w:val="20"/>
                <w:szCs w:val="20"/>
              </w:rPr>
              <w:t>税金</w:t>
            </w:r>
          </w:p>
        </w:tc>
        <w:tc>
          <w:tcPr>
            <w:tcW w:w="1559" w:type="dxa"/>
            <w:tcBorders>
              <w:top w:val="nil"/>
              <w:left w:val="nil"/>
              <w:bottom w:val="single" w:color="auto" w:sz="4" w:space="0"/>
              <w:right w:val="single" w:color="auto" w:sz="4" w:space="0"/>
            </w:tcBorders>
            <w:shd w:val="clear" w:color="000000" w:fill="FFFFFF"/>
            <w:vAlign w:val="center"/>
          </w:tcPr>
          <w:p w14:paraId="4BD73B75">
            <w:pPr>
              <w:widowControl/>
              <w:jc w:val="left"/>
              <w:rPr>
                <w:rFonts w:ascii="宋体" w:hAnsi="宋体" w:cs="宋体"/>
                <w:kern w:val="0"/>
                <w:sz w:val="20"/>
                <w:szCs w:val="20"/>
              </w:rPr>
            </w:pPr>
            <w:r>
              <w:rPr>
                <w:rFonts w:hint="eastAsia" w:ascii="宋体" w:hAnsi="宋体" w:cs="宋体"/>
                <w:kern w:val="0"/>
                <w:sz w:val="20"/>
                <w:szCs w:val="20"/>
              </w:rPr>
              <w:t>　</w:t>
            </w:r>
          </w:p>
        </w:tc>
        <w:tc>
          <w:tcPr>
            <w:tcW w:w="2268" w:type="dxa"/>
            <w:tcBorders>
              <w:top w:val="nil"/>
              <w:left w:val="nil"/>
              <w:bottom w:val="single" w:color="auto" w:sz="4" w:space="0"/>
              <w:right w:val="single" w:color="auto" w:sz="8" w:space="0"/>
            </w:tcBorders>
            <w:shd w:val="clear" w:color="000000" w:fill="FFFFFF"/>
            <w:vAlign w:val="center"/>
          </w:tcPr>
          <w:p w14:paraId="261634F7">
            <w:pPr>
              <w:widowControl/>
              <w:jc w:val="left"/>
              <w:rPr>
                <w:rFonts w:ascii="宋体" w:hAnsi="宋体" w:cs="宋体"/>
                <w:kern w:val="0"/>
                <w:sz w:val="20"/>
                <w:szCs w:val="20"/>
              </w:rPr>
            </w:pPr>
            <w:r>
              <w:rPr>
                <w:rFonts w:hint="eastAsia" w:ascii="宋体" w:hAnsi="宋体" w:cs="宋体"/>
                <w:kern w:val="0"/>
                <w:sz w:val="20"/>
                <w:szCs w:val="20"/>
              </w:rPr>
              <w:t>　</w:t>
            </w:r>
          </w:p>
        </w:tc>
      </w:tr>
      <w:tr w14:paraId="73A49609">
        <w:tblPrEx>
          <w:tblCellMar>
            <w:top w:w="0" w:type="dxa"/>
            <w:left w:w="108" w:type="dxa"/>
            <w:bottom w:w="0" w:type="dxa"/>
            <w:right w:w="108" w:type="dxa"/>
          </w:tblCellMar>
        </w:tblPrEx>
        <w:trPr>
          <w:trHeight w:val="285" w:hRule="atLeast"/>
        </w:trPr>
        <w:tc>
          <w:tcPr>
            <w:tcW w:w="618" w:type="dxa"/>
            <w:tcBorders>
              <w:top w:val="nil"/>
              <w:left w:val="single" w:color="auto" w:sz="8" w:space="0"/>
              <w:bottom w:val="single" w:color="auto" w:sz="4" w:space="0"/>
              <w:right w:val="single" w:color="auto" w:sz="4" w:space="0"/>
            </w:tcBorders>
            <w:shd w:val="clear" w:color="000000" w:fill="FFFFFF"/>
            <w:vAlign w:val="center"/>
          </w:tcPr>
          <w:p w14:paraId="372C41FA">
            <w:pPr>
              <w:widowControl/>
              <w:jc w:val="center"/>
              <w:rPr>
                <w:rFonts w:ascii="宋体" w:hAnsi="宋体" w:cs="宋体"/>
                <w:kern w:val="0"/>
                <w:sz w:val="20"/>
                <w:szCs w:val="20"/>
              </w:rPr>
            </w:pPr>
          </w:p>
        </w:tc>
        <w:tc>
          <w:tcPr>
            <w:tcW w:w="4168" w:type="dxa"/>
            <w:gridSpan w:val="2"/>
            <w:tcBorders>
              <w:top w:val="single" w:color="auto" w:sz="4" w:space="0"/>
              <w:left w:val="nil"/>
              <w:bottom w:val="single" w:color="auto" w:sz="4" w:space="0"/>
              <w:right w:val="single" w:color="auto" w:sz="4" w:space="0"/>
            </w:tcBorders>
            <w:shd w:val="clear" w:color="000000" w:fill="FFFFFF"/>
            <w:vAlign w:val="center"/>
          </w:tcPr>
          <w:p w14:paraId="328CE29D">
            <w:pPr>
              <w:widowControl/>
              <w:jc w:val="left"/>
              <w:rPr>
                <w:rFonts w:ascii="宋体" w:hAnsi="宋体" w:cs="宋体"/>
                <w:kern w:val="0"/>
                <w:sz w:val="20"/>
                <w:szCs w:val="20"/>
              </w:rPr>
            </w:pPr>
            <w:r>
              <w:rPr>
                <w:rFonts w:hint="eastAsia" w:ascii="宋体" w:hAnsi="宋体" w:cs="宋体"/>
                <w:b/>
                <w:bCs/>
                <w:kern w:val="0"/>
                <w:sz w:val="20"/>
                <w:szCs w:val="20"/>
              </w:rPr>
              <w:t>……</w:t>
            </w:r>
          </w:p>
        </w:tc>
        <w:tc>
          <w:tcPr>
            <w:tcW w:w="1559" w:type="dxa"/>
            <w:tcBorders>
              <w:top w:val="nil"/>
              <w:left w:val="nil"/>
              <w:bottom w:val="single" w:color="auto" w:sz="4" w:space="0"/>
              <w:right w:val="single" w:color="auto" w:sz="4" w:space="0"/>
            </w:tcBorders>
            <w:shd w:val="clear" w:color="000000" w:fill="FFFFFF"/>
            <w:vAlign w:val="center"/>
          </w:tcPr>
          <w:p w14:paraId="2D3090E4">
            <w:pPr>
              <w:widowControl/>
              <w:jc w:val="left"/>
              <w:rPr>
                <w:rFonts w:ascii="宋体" w:hAnsi="宋体" w:cs="宋体"/>
                <w:kern w:val="0"/>
                <w:sz w:val="20"/>
                <w:szCs w:val="20"/>
              </w:rPr>
            </w:pPr>
          </w:p>
        </w:tc>
        <w:tc>
          <w:tcPr>
            <w:tcW w:w="2268" w:type="dxa"/>
            <w:tcBorders>
              <w:top w:val="nil"/>
              <w:left w:val="nil"/>
              <w:bottom w:val="single" w:color="auto" w:sz="4" w:space="0"/>
              <w:right w:val="single" w:color="auto" w:sz="8" w:space="0"/>
            </w:tcBorders>
            <w:shd w:val="clear" w:color="000000" w:fill="FFFFFF"/>
            <w:vAlign w:val="center"/>
          </w:tcPr>
          <w:p w14:paraId="2C556673">
            <w:pPr>
              <w:widowControl/>
              <w:jc w:val="left"/>
              <w:rPr>
                <w:rFonts w:ascii="宋体" w:hAnsi="宋体" w:cs="宋体"/>
                <w:kern w:val="0"/>
                <w:sz w:val="20"/>
                <w:szCs w:val="20"/>
              </w:rPr>
            </w:pPr>
          </w:p>
        </w:tc>
      </w:tr>
      <w:tr w14:paraId="508DF6F6">
        <w:tblPrEx>
          <w:tblCellMar>
            <w:top w:w="0" w:type="dxa"/>
            <w:left w:w="108" w:type="dxa"/>
            <w:bottom w:w="0" w:type="dxa"/>
            <w:right w:w="108" w:type="dxa"/>
          </w:tblCellMar>
        </w:tblPrEx>
        <w:trPr>
          <w:trHeight w:val="285" w:hRule="atLeast"/>
        </w:trPr>
        <w:tc>
          <w:tcPr>
            <w:tcW w:w="618" w:type="dxa"/>
            <w:tcBorders>
              <w:top w:val="nil"/>
              <w:left w:val="single" w:color="auto" w:sz="8" w:space="0"/>
              <w:bottom w:val="single" w:color="auto" w:sz="4" w:space="0"/>
              <w:right w:val="single" w:color="auto" w:sz="4" w:space="0"/>
            </w:tcBorders>
            <w:shd w:val="clear" w:color="000000" w:fill="FFFFFF"/>
            <w:vAlign w:val="center"/>
          </w:tcPr>
          <w:p w14:paraId="4718B560">
            <w:pPr>
              <w:widowControl/>
              <w:jc w:val="center"/>
              <w:rPr>
                <w:rFonts w:ascii="宋体" w:hAnsi="宋体" w:cs="宋体"/>
                <w:kern w:val="0"/>
                <w:sz w:val="20"/>
                <w:szCs w:val="20"/>
              </w:rPr>
            </w:pPr>
          </w:p>
        </w:tc>
        <w:tc>
          <w:tcPr>
            <w:tcW w:w="4168" w:type="dxa"/>
            <w:gridSpan w:val="2"/>
            <w:tcBorders>
              <w:top w:val="single" w:color="auto" w:sz="4" w:space="0"/>
              <w:left w:val="nil"/>
              <w:bottom w:val="single" w:color="auto" w:sz="4" w:space="0"/>
              <w:right w:val="single" w:color="auto" w:sz="4" w:space="0"/>
            </w:tcBorders>
            <w:shd w:val="clear" w:color="000000" w:fill="FFFFFF"/>
            <w:vAlign w:val="center"/>
          </w:tcPr>
          <w:p w14:paraId="343AA91D">
            <w:pPr>
              <w:widowControl/>
              <w:jc w:val="center"/>
              <w:rPr>
                <w:rFonts w:ascii="宋体" w:hAnsi="宋体" w:cs="宋体"/>
                <w:b/>
                <w:bCs/>
                <w:kern w:val="0"/>
                <w:sz w:val="20"/>
                <w:szCs w:val="20"/>
              </w:rPr>
            </w:pPr>
            <w:r>
              <w:rPr>
                <w:rFonts w:hint="eastAsia" w:ascii="宋体" w:hAnsi="宋体" w:cs="宋体"/>
                <w:b/>
                <w:bCs/>
                <w:kern w:val="0"/>
                <w:sz w:val="20"/>
                <w:szCs w:val="20"/>
              </w:rPr>
              <w:t>合计(元)</w:t>
            </w:r>
          </w:p>
        </w:tc>
        <w:tc>
          <w:tcPr>
            <w:tcW w:w="1559" w:type="dxa"/>
            <w:tcBorders>
              <w:top w:val="nil"/>
              <w:left w:val="nil"/>
              <w:bottom w:val="single" w:color="auto" w:sz="4" w:space="0"/>
              <w:right w:val="single" w:color="auto" w:sz="4" w:space="0"/>
            </w:tcBorders>
            <w:shd w:val="clear" w:color="000000" w:fill="FFFFFF"/>
            <w:vAlign w:val="center"/>
          </w:tcPr>
          <w:p w14:paraId="1A069DA9">
            <w:pPr>
              <w:widowControl/>
              <w:jc w:val="right"/>
              <w:rPr>
                <w:rFonts w:ascii="宋体" w:hAnsi="宋体" w:cs="宋体"/>
                <w:b/>
                <w:bCs/>
                <w:kern w:val="0"/>
                <w:sz w:val="20"/>
                <w:szCs w:val="20"/>
              </w:rPr>
            </w:pPr>
            <w:r>
              <w:rPr>
                <w:rFonts w:hint="eastAsia" w:ascii="宋体" w:hAnsi="宋体" w:cs="宋体"/>
                <w:b/>
                <w:bCs/>
                <w:kern w:val="0"/>
                <w:sz w:val="20"/>
                <w:szCs w:val="20"/>
              </w:rPr>
              <w:t>　</w:t>
            </w:r>
          </w:p>
        </w:tc>
        <w:tc>
          <w:tcPr>
            <w:tcW w:w="2268" w:type="dxa"/>
            <w:tcBorders>
              <w:top w:val="nil"/>
              <w:left w:val="nil"/>
              <w:bottom w:val="single" w:color="auto" w:sz="4" w:space="0"/>
              <w:right w:val="single" w:color="auto" w:sz="8" w:space="0"/>
            </w:tcBorders>
            <w:shd w:val="clear" w:color="000000" w:fill="FFFFFF"/>
            <w:vAlign w:val="center"/>
          </w:tcPr>
          <w:p w14:paraId="389006AA">
            <w:pPr>
              <w:widowControl/>
              <w:jc w:val="center"/>
              <w:rPr>
                <w:rFonts w:ascii="宋体" w:hAnsi="宋体" w:cs="宋体"/>
                <w:kern w:val="0"/>
                <w:sz w:val="20"/>
                <w:szCs w:val="20"/>
              </w:rPr>
            </w:pPr>
            <w:r>
              <w:rPr>
                <w:rFonts w:hint="eastAsia" w:ascii="宋体" w:hAnsi="宋体" w:cs="宋体"/>
                <w:kern w:val="0"/>
                <w:sz w:val="20"/>
                <w:szCs w:val="20"/>
              </w:rPr>
              <w:t>　以上各项之和</w:t>
            </w:r>
          </w:p>
        </w:tc>
      </w:tr>
    </w:tbl>
    <w:p w14:paraId="35B2DE0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lang w:val="en-US" w:eastAsia="zh-CN"/>
        </w:rPr>
      </w:pPr>
      <w:r>
        <w:rPr>
          <w:rFonts w:hint="eastAsia" w:ascii="宋体" w:hAnsi="宋体" w:eastAsia="宋体"/>
          <w:lang w:val="en-US" w:eastAsia="zh-CN"/>
        </w:rPr>
        <w:t>注：1、报价要求：本次项目报价为一年报价，本项目预算金额为（人民币）为244.5万元/年。</w:t>
      </w:r>
      <w:r>
        <w:rPr>
          <w:rFonts w:hint="eastAsia" w:ascii="宋体" w:hAnsi="宋体" w:eastAsia="宋体"/>
          <w:highlight w:val="yellow"/>
          <w:lang w:val="en-US" w:eastAsia="zh-CN"/>
        </w:rPr>
        <w:t>投标报价总价中，服务项目经费人力成本不得少于项目经费的85%，督导经费、业务活动费、管理费、服务险和税费、人员培训费等不得超过项目经费的15%，</w:t>
      </w:r>
      <w:r>
        <w:rPr>
          <w:rFonts w:hint="eastAsia" w:ascii="宋体" w:hAnsi="宋体" w:eastAsia="宋体"/>
          <w:lang w:val="en-US" w:eastAsia="zh-CN"/>
        </w:rPr>
        <w:t>投标人根据招标文件所提供的资料自行测算投标报价，一经中标，投标报价总价作为中标单位与采购单位签定的合同金额。如政府购买标准调整后，本项目依法根据中标价格比例进行调整。</w:t>
      </w:r>
    </w:p>
    <w:p w14:paraId="75A2946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rPr>
      </w:pPr>
      <w:r>
        <w:rPr>
          <w:rFonts w:hint="eastAsia" w:ascii="宋体" w:hAnsi="宋体" w:eastAsia="宋体"/>
          <w:lang w:val="en-US" w:eastAsia="zh-CN"/>
        </w:rPr>
        <w:t xml:space="preserve">2、所有价格应按“招标文件”中规定的货币单位填写； </w:t>
      </w:r>
    </w:p>
    <w:p w14:paraId="7A77F58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rPr>
      </w:pPr>
      <w:r>
        <w:rPr>
          <w:rFonts w:hint="eastAsia" w:ascii="宋体" w:hAnsi="宋体" w:eastAsia="宋体"/>
          <w:lang w:val="en-US" w:eastAsia="zh-CN"/>
        </w:rPr>
        <w:t xml:space="preserve">3、投标总价应为以上各分项价格之和；投标总价应当与开标一览表的投标总价一致。 </w:t>
      </w:r>
    </w:p>
    <w:p w14:paraId="53B5510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lang w:val="en-US" w:eastAsia="zh-CN"/>
        </w:rPr>
      </w:pPr>
      <w:r>
        <w:rPr>
          <w:rFonts w:hint="eastAsia" w:ascii="宋体" w:hAnsi="宋体" w:eastAsia="宋体"/>
          <w:lang w:val="en-US" w:eastAsia="zh-CN"/>
        </w:rPr>
        <w:t xml:space="preserve">4、投标人如果需要对报价或其它内容加以说明，可在备注栏填写； </w:t>
      </w:r>
    </w:p>
    <w:p w14:paraId="3C6A85E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rPr>
      </w:pPr>
      <w:r>
        <w:rPr>
          <w:rFonts w:hint="eastAsia" w:ascii="宋体" w:hAnsi="宋体" w:eastAsia="宋体"/>
          <w:lang w:val="en-US" w:eastAsia="zh-CN"/>
        </w:rPr>
        <w:t xml:space="preserve">5、本表格仅为指导性范本，供应商应根据项目具体情况对各分项内容进行调整提供 </w:t>
      </w:r>
    </w:p>
    <w:p w14:paraId="613CD7F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lang w:val="en-US" w:eastAsia="zh-CN"/>
        </w:rPr>
      </w:pPr>
      <w:r>
        <w:rPr>
          <w:rFonts w:hint="eastAsia" w:ascii="宋体" w:hAnsi="宋体" w:eastAsia="宋体"/>
          <w:lang w:val="en-US" w:eastAsia="zh-CN"/>
        </w:rPr>
        <w:t xml:space="preserve">详细分项报价。 </w:t>
      </w:r>
    </w:p>
    <w:p w14:paraId="23123729">
      <w:pPr>
        <w:pStyle w:val="2"/>
        <w:rPr>
          <w:rFonts w:hint="default"/>
          <w:lang w:val="en-US" w:eastAsia="zh-CN"/>
        </w:rPr>
      </w:pPr>
    </w:p>
    <w:p w14:paraId="429A04F3">
      <w:pPr>
        <w:tabs>
          <w:tab w:val="left" w:pos="720"/>
        </w:tabs>
        <w:jc w:val="center"/>
        <w:rPr>
          <w:b/>
          <w:sz w:val="24"/>
        </w:rPr>
      </w:pPr>
      <w:r>
        <w:rPr>
          <w:rFonts w:hint="eastAsia"/>
          <w:b/>
          <w:sz w:val="24"/>
        </w:rPr>
        <w:t>（二）</w:t>
      </w:r>
      <w:bookmarkStart w:id="24" w:name="_Hlk72073235"/>
      <w:r>
        <w:rPr>
          <w:rFonts w:hint="eastAsia"/>
          <w:b/>
          <w:sz w:val="24"/>
        </w:rPr>
        <w:t>投标人认为需要涉及的其他内容报价清单</w:t>
      </w:r>
      <w:bookmarkEnd w:id="24"/>
    </w:p>
    <w:p w14:paraId="5210CF8C"/>
    <w:p w14:paraId="768C54A7">
      <w:pPr>
        <w:pStyle w:val="2"/>
        <w:ind w:firstLine="0" w:firstLineChars="0"/>
      </w:pPr>
    </w:p>
    <w:p w14:paraId="73DC8173">
      <w:pPr>
        <w:pStyle w:val="3"/>
      </w:pPr>
    </w:p>
    <w:p w14:paraId="234E3C55">
      <w:pPr>
        <w:keepNext w:val="0"/>
        <w:keepLines w:val="0"/>
        <w:pageBreakBefore w:val="0"/>
        <w:widowControl w:val="0"/>
        <w:numPr>
          <w:ilvl w:val="0"/>
          <w:numId w:val="11"/>
        </w:numPr>
        <w:kinsoku/>
        <w:wordWrap/>
        <w:overflowPunct/>
        <w:topLinePunct w:val="0"/>
        <w:autoSpaceDE/>
        <w:autoSpaceDN/>
        <w:bidi w:val="0"/>
        <w:adjustRightInd/>
        <w:snapToGrid/>
        <w:ind w:left="0" w:leftChars="0" w:firstLine="420" w:firstLineChars="0"/>
        <w:jc w:val="center"/>
        <w:textAlignment w:val="auto"/>
        <w:rPr>
          <w:rFonts w:hint="eastAsia" w:ascii="黑体" w:hAnsi="宋体" w:eastAsia="黑体" w:cs="Times New Roman"/>
          <w:b w:val="0"/>
          <w:bCs/>
          <w:kern w:val="0"/>
          <w:sz w:val="24"/>
          <w:szCs w:val="32"/>
          <w:lang w:val="en-US" w:eastAsia="zh-CN" w:bidi="ar-SA"/>
        </w:rPr>
      </w:pPr>
      <w:r>
        <w:rPr>
          <w:rFonts w:hint="eastAsia" w:ascii="黑体" w:hAnsi="宋体" w:eastAsia="黑体" w:cs="Times New Roman"/>
          <w:b w:val="0"/>
          <w:bCs/>
          <w:kern w:val="0"/>
          <w:sz w:val="24"/>
          <w:szCs w:val="32"/>
          <w:lang w:val="en-US" w:eastAsia="zh-CN" w:bidi="ar-SA"/>
        </w:rPr>
        <w:t>认证情况</w:t>
      </w:r>
    </w:p>
    <w:p w14:paraId="0264F246">
      <w:pPr>
        <w:pStyle w:val="2"/>
        <w:rPr>
          <w:rFonts w:hint="eastAsia"/>
          <w:lang w:val="en-US" w:eastAsia="zh-CN"/>
        </w:rPr>
      </w:pPr>
    </w:p>
    <w:p w14:paraId="030A54A4">
      <w:pPr>
        <w:pStyle w:val="3"/>
        <w:rPr>
          <w:rFonts w:hint="eastAsia"/>
          <w:lang w:val="en-US" w:eastAsia="zh-CN"/>
        </w:rPr>
      </w:pPr>
    </w:p>
    <w:p w14:paraId="5EFA982D">
      <w:pPr>
        <w:keepNext w:val="0"/>
        <w:keepLines w:val="0"/>
        <w:pageBreakBefore w:val="0"/>
        <w:widowControl w:val="0"/>
        <w:numPr>
          <w:ilvl w:val="0"/>
          <w:numId w:val="11"/>
        </w:numPr>
        <w:kinsoku/>
        <w:wordWrap/>
        <w:overflowPunct/>
        <w:topLinePunct w:val="0"/>
        <w:autoSpaceDE/>
        <w:autoSpaceDN/>
        <w:bidi w:val="0"/>
        <w:adjustRightInd/>
        <w:snapToGrid/>
        <w:ind w:left="0" w:leftChars="0" w:firstLine="420" w:firstLineChars="0"/>
        <w:jc w:val="center"/>
        <w:textAlignment w:val="auto"/>
        <w:rPr>
          <w:rFonts w:hint="eastAsia" w:ascii="黑体" w:hAnsi="宋体" w:eastAsia="黑体" w:cs="Times New Roman"/>
          <w:b w:val="0"/>
          <w:bCs/>
          <w:kern w:val="0"/>
          <w:sz w:val="24"/>
          <w:szCs w:val="32"/>
          <w:lang w:val="en-US" w:eastAsia="zh-CN" w:bidi="ar-SA"/>
        </w:rPr>
      </w:pPr>
      <w:r>
        <w:rPr>
          <w:rFonts w:hint="eastAsia" w:ascii="黑体" w:hAnsi="宋体" w:eastAsia="黑体" w:cs="Times New Roman"/>
          <w:b w:val="0"/>
          <w:bCs/>
          <w:kern w:val="0"/>
          <w:sz w:val="24"/>
          <w:szCs w:val="32"/>
          <w:lang w:val="en-US" w:eastAsia="zh-CN" w:bidi="ar-SA"/>
        </w:rPr>
        <w:t>社会组织等级评估</w:t>
      </w:r>
    </w:p>
    <w:p w14:paraId="6A815479">
      <w:pPr>
        <w:pStyle w:val="2"/>
        <w:rPr>
          <w:rFonts w:hint="eastAsia"/>
          <w:lang w:val="en-US" w:eastAsia="zh-CN"/>
        </w:rPr>
      </w:pPr>
    </w:p>
    <w:p w14:paraId="6A20B9D2">
      <w:pPr>
        <w:pStyle w:val="3"/>
        <w:rPr>
          <w:rFonts w:hint="eastAsia"/>
          <w:lang w:val="en-US" w:eastAsia="zh-CN"/>
        </w:rPr>
      </w:pPr>
    </w:p>
    <w:p w14:paraId="3084DB7D">
      <w:pPr>
        <w:keepNext w:val="0"/>
        <w:keepLines w:val="0"/>
        <w:pageBreakBefore w:val="0"/>
        <w:widowControl w:val="0"/>
        <w:numPr>
          <w:ilvl w:val="0"/>
          <w:numId w:val="11"/>
        </w:numPr>
        <w:kinsoku/>
        <w:wordWrap/>
        <w:overflowPunct/>
        <w:topLinePunct w:val="0"/>
        <w:autoSpaceDE/>
        <w:autoSpaceDN/>
        <w:bidi w:val="0"/>
        <w:adjustRightInd/>
        <w:snapToGrid/>
        <w:ind w:left="0" w:leftChars="0" w:firstLine="420" w:firstLineChars="0"/>
        <w:jc w:val="center"/>
        <w:textAlignment w:val="auto"/>
        <w:rPr>
          <w:rFonts w:hint="eastAsia" w:ascii="黑体" w:hAnsi="宋体" w:eastAsia="黑体" w:cs="Times New Roman"/>
          <w:b w:val="0"/>
          <w:bCs/>
          <w:kern w:val="0"/>
          <w:sz w:val="24"/>
          <w:szCs w:val="32"/>
          <w:lang w:val="en-US" w:eastAsia="zh-CN" w:bidi="ar-SA"/>
        </w:rPr>
      </w:pPr>
      <w:r>
        <w:rPr>
          <w:rFonts w:hint="eastAsia" w:ascii="黑体" w:hAnsi="宋体" w:eastAsia="黑体" w:cs="Times New Roman"/>
          <w:b w:val="0"/>
          <w:bCs/>
          <w:kern w:val="0"/>
          <w:sz w:val="24"/>
          <w:szCs w:val="32"/>
          <w:lang w:val="en-US" w:eastAsia="zh-CN" w:bidi="ar-SA"/>
        </w:rPr>
        <w:t>同类服务经验</w:t>
      </w:r>
    </w:p>
    <w:p w14:paraId="7F344C9E">
      <w:pPr>
        <w:pStyle w:val="2"/>
        <w:rPr>
          <w:rFonts w:hint="eastAsia"/>
          <w:lang w:val="en-US" w:eastAsia="zh-CN"/>
        </w:rPr>
      </w:pPr>
    </w:p>
    <w:p w14:paraId="492EE20B">
      <w:pPr>
        <w:pStyle w:val="3"/>
        <w:rPr>
          <w:rFonts w:hint="eastAsia"/>
          <w:lang w:val="en-US" w:eastAsia="zh-CN"/>
        </w:rPr>
      </w:pPr>
    </w:p>
    <w:p w14:paraId="201939B1">
      <w:pPr>
        <w:pStyle w:val="3"/>
        <w:rPr>
          <w:rFonts w:hint="eastAsia"/>
          <w:lang w:val="en-US" w:eastAsia="zh-CN"/>
        </w:rPr>
      </w:pPr>
    </w:p>
    <w:p w14:paraId="3D4284D6">
      <w:pPr>
        <w:pStyle w:val="3"/>
        <w:rPr>
          <w:rFonts w:hint="eastAsia"/>
          <w:lang w:val="en-US" w:eastAsia="zh-CN"/>
        </w:rPr>
      </w:pPr>
    </w:p>
    <w:p w14:paraId="12E1486E">
      <w:pPr>
        <w:keepNext w:val="0"/>
        <w:keepLines w:val="0"/>
        <w:pageBreakBefore w:val="0"/>
        <w:widowControl w:val="0"/>
        <w:numPr>
          <w:ilvl w:val="0"/>
          <w:numId w:val="11"/>
        </w:numPr>
        <w:kinsoku/>
        <w:wordWrap/>
        <w:overflowPunct/>
        <w:topLinePunct w:val="0"/>
        <w:autoSpaceDE/>
        <w:autoSpaceDN/>
        <w:bidi w:val="0"/>
        <w:adjustRightInd/>
        <w:snapToGrid/>
        <w:ind w:left="0" w:leftChars="0" w:firstLine="420" w:firstLineChars="0"/>
        <w:jc w:val="center"/>
        <w:textAlignment w:val="auto"/>
        <w:rPr>
          <w:rFonts w:hint="eastAsia" w:ascii="黑体" w:hAnsi="宋体" w:eastAsia="黑体" w:cs="Times New Roman"/>
          <w:b w:val="0"/>
          <w:bCs/>
          <w:kern w:val="0"/>
          <w:sz w:val="24"/>
          <w:szCs w:val="32"/>
          <w:lang w:val="en-US" w:eastAsia="zh-CN" w:bidi="ar-SA"/>
        </w:rPr>
      </w:pPr>
      <w:r>
        <w:rPr>
          <w:rFonts w:hint="eastAsia" w:ascii="黑体" w:hAnsi="宋体" w:eastAsia="黑体" w:cs="Times New Roman"/>
          <w:b w:val="0"/>
          <w:bCs/>
          <w:kern w:val="0"/>
          <w:sz w:val="24"/>
          <w:szCs w:val="32"/>
          <w:lang w:val="en-US" w:eastAsia="zh-CN" w:bidi="ar-SA"/>
        </w:rPr>
        <w:t>服务单位履约评价</w:t>
      </w:r>
    </w:p>
    <w:p w14:paraId="567EA811">
      <w:pPr>
        <w:pStyle w:val="2"/>
        <w:rPr>
          <w:rFonts w:hint="eastAsia"/>
          <w:lang w:val="en-US" w:eastAsia="zh-CN"/>
        </w:rPr>
      </w:pPr>
    </w:p>
    <w:p w14:paraId="7C065471">
      <w:pPr>
        <w:pStyle w:val="3"/>
        <w:rPr>
          <w:rFonts w:hint="eastAsia"/>
          <w:lang w:val="en-US" w:eastAsia="zh-CN"/>
        </w:rPr>
      </w:pPr>
    </w:p>
    <w:p w14:paraId="556472EE">
      <w:pPr>
        <w:keepNext w:val="0"/>
        <w:keepLines w:val="0"/>
        <w:pageBreakBefore w:val="0"/>
        <w:widowControl w:val="0"/>
        <w:numPr>
          <w:ilvl w:val="0"/>
          <w:numId w:val="11"/>
        </w:numPr>
        <w:kinsoku/>
        <w:wordWrap/>
        <w:overflowPunct/>
        <w:topLinePunct w:val="0"/>
        <w:autoSpaceDE/>
        <w:autoSpaceDN/>
        <w:bidi w:val="0"/>
        <w:adjustRightInd/>
        <w:snapToGrid/>
        <w:ind w:left="0" w:leftChars="0" w:firstLine="420" w:firstLineChars="0"/>
        <w:jc w:val="center"/>
        <w:textAlignment w:val="auto"/>
        <w:rPr>
          <w:rFonts w:hint="eastAsia" w:ascii="黑体" w:hAnsi="宋体" w:eastAsia="黑体" w:cs="Times New Roman"/>
          <w:b w:val="0"/>
          <w:bCs/>
          <w:kern w:val="0"/>
          <w:sz w:val="24"/>
          <w:szCs w:val="32"/>
          <w:lang w:val="en-US" w:eastAsia="zh-CN" w:bidi="ar-SA"/>
        </w:rPr>
      </w:pPr>
      <w:r>
        <w:rPr>
          <w:rFonts w:hint="eastAsia" w:ascii="黑体" w:hAnsi="宋体" w:eastAsia="黑体" w:cs="Times New Roman"/>
          <w:b w:val="0"/>
          <w:bCs/>
          <w:kern w:val="0"/>
          <w:sz w:val="24"/>
          <w:szCs w:val="32"/>
          <w:lang w:val="en-US" w:eastAsia="zh-CN" w:bidi="ar-SA"/>
        </w:rPr>
        <w:t>投标人获得荣誉情况</w:t>
      </w:r>
    </w:p>
    <w:p w14:paraId="2795D8A7">
      <w:pPr>
        <w:pStyle w:val="2"/>
        <w:rPr>
          <w:rFonts w:hint="eastAsia"/>
          <w:lang w:val="en-US" w:eastAsia="zh-CN"/>
        </w:rPr>
      </w:pPr>
    </w:p>
    <w:p w14:paraId="27A5CF4D">
      <w:pPr>
        <w:pStyle w:val="3"/>
        <w:rPr>
          <w:rFonts w:hint="eastAsia"/>
          <w:lang w:val="en-US" w:eastAsia="zh-CN"/>
        </w:rPr>
      </w:pPr>
    </w:p>
    <w:p w14:paraId="2AD4B531">
      <w:pPr>
        <w:keepNext w:val="0"/>
        <w:keepLines w:val="0"/>
        <w:pageBreakBefore w:val="0"/>
        <w:widowControl w:val="0"/>
        <w:numPr>
          <w:ilvl w:val="0"/>
          <w:numId w:val="11"/>
        </w:numPr>
        <w:kinsoku/>
        <w:wordWrap/>
        <w:overflowPunct/>
        <w:topLinePunct w:val="0"/>
        <w:autoSpaceDE/>
        <w:autoSpaceDN/>
        <w:bidi w:val="0"/>
        <w:adjustRightInd/>
        <w:snapToGrid/>
        <w:ind w:left="0" w:leftChars="0" w:firstLine="420" w:firstLineChars="0"/>
        <w:jc w:val="center"/>
        <w:textAlignment w:val="auto"/>
        <w:rPr>
          <w:rFonts w:hint="eastAsia" w:ascii="黑体" w:hAnsi="宋体" w:eastAsia="黑体" w:cs="Times New Roman"/>
          <w:b w:val="0"/>
          <w:bCs/>
          <w:kern w:val="0"/>
          <w:sz w:val="24"/>
          <w:szCs w:val="32"/>
          <w:lang w:val="en-US" w:eastAsia="zh-CN" w:bidi="ar-SA"/>
        </w:rPr>
      </w:pPr>
      <w:r>
        <w:rPr>
          <w:rFonts w:hint="eastAsia" w:ascii="黑体" w:hAnsi="宋体" w:eastAsia="黑体" w:cs="Times New Roman"/>
          <w:b w:val="0"/>
          <w:bCs/>
          <w:kern w:val="0"/>
          <w:sz w:val="24"/>
          <w:szCs w:val="32"/>
          <w:lang w:val="en-US" w:eastAsia="zh-CN" w:bidi="ar-SA"/>
        </w:rPr>
        <w:t>投标人党建工作情况</w:t>
      </w:r>
    </w:p>
    <w:p w14:paraId="18659B49">
      <w:pPr>
        <w:pStyle w:val="3"/>
      </w:pPr>
    </w:p>
    <w:p w14:paraId="109F92E1">
      <w:pPr>
        <w:pStyle w:val="3"/>
      </w:pPr>
    </w:p>
    <w:p w14:paraId="1F9BC142"/>
    <w:p w14:paraId="5FA1F268">
      <w:pPr>
        <w:ind w:firstLine="1441" w:firstLineChars="600"/>
        <w:rPr>
          <w:b/>
          <w:color w:val="FF0000"/>
          <w:sz w:val="24"/>
        </w:rPr>
      </w:pPr>
      <w:r>
        <w:rPr>
          <w:rFonts w:hint="eastAsia"/>
          <w:b/>
          <w:color w:val="FF0000"/>
          <w:sz w:val="24"/>
        </w:rPr>
        <w:t>（信息公开部分的内容到此为止！以下为信息不公开部分。）</w:t>
      </w:r>
    </w:p>
    <w:p w14:paraId="37E085CC">
      <w:pPr>
        <w:outlineLvl w:val="1"/>
        <w:rPr>
          <w:rFonts w:hint="eastAsia" w:ascii="宋体" w:hAnsi="宋体"/>
          <w:b/>
          <w:color w:val="FF0000"/>
          <w:sz w:val="28"/>
          <w:szCs w:val="28"/>
        </w:rPr>
        <w:sectPr>
          <w:pgSz w:w="11907" w:h="16840"/>
          <w:pgMar w:top="1440" w:right="1797" w:bottom="1440" w:left="1797" w:header="851" w:footer="992" w:gutter="0"/>
          <w:cols w:space="425" w:num="1"/>
          <w:titlePg/>
          <w:docGrid w:linePitch="462" w:charSpace="0"/>
        </w:sectPr>
      </w:pPr>
    </w:p>
    <w:p w14:paraId="2EBE82D4">
      <w:pPr>
        <w:pStyle w:val="3"/>
        <w:rPr>
          <w:rFonts w:hint="eastAsia"/>
        </w:rPr>
      </w:pPr>
    </w:p>
    <w:p w14:paraId="06986F6C">
      <w:pPr>
        <w:outlineLvl w:val="1"/>
        <w:rPr>
          <w:rFonts w:ascii="宋体" w:hAnsi="宋体"/>
          <w:b/>
          <w:color w:val="FF0000"/>
          <w:sz w:val="28"/>
          <w:szCs w:val="28"/>
        </w:rPr>
      </w:pPr>
      <w:r>
        <w:rPr>
          <w:rFonts w:hint="eastAsia" w:ascii="宋体" w:hAnsi="宋体"/>
          <w:b/>
          <w:color w:val="FF0000"/>
          <w:sz w:val="28"/>
          <w:szCs w:val="28"/>
        </w:rPr>
        <w:t>投标文件附件（信息不公开部分）</w:t>
      </w:r>
    </w:p>
    <w:p w14:paraId="7F110146">
      <w:pPr>
        <w:pStyle w:val="6"/>
        <w:numPr>
          <w:ilvl w:val="0"/>
          <w:numId w:val="13"/>
        </w:numPr>
        <w:ind w:left="0" w:leftChars="0" w:firstLine="420" w:firstLineChars="0"/>
        <w:jc w:val="center"/>
        <w:rPr>
          <w:rFonts w:ascii="黑体" w:eastAsia="黑体"/>
          <w:b w:val="0"/>
          <w:sz w:val="24"/>
        </w:rPr>
      </w:pPr>
      <w:bookmarkStart w:id="25" w:name="_Hlk72092499"/>
      <w:r>
        <w:rPr>
          <w:rFonts w:hint="eastAsia" w:ascii="黑体" w:eastAsia="黑体"/>
          <w:b w:val="0"/>
          <w:sz w:val="24"/>
        </w:rPr>
        <w:t>法定代表人（负责人）证明书</w:t>
      </w:r>
      <w:bookmarkEnd w:id="25"/>
    </w:p>
    <w:p w14:paraId="2332561B">
      <w:pPr>
        <w:rPr>
          <w:sz w:val="24"/>
        </w:rPr>
      </w:pPr>
    </w:p>
    <w:p w14:paraId="05944DDD">
      <w:pPr>
        <w:spacing w:line="360" w:lineRule="auto"/>
        <w:ind w:firstLine="420" w:firstLineChars="200"/>
        <w:rPr>
          <w:rFonts w:hint="default" w:eastAsia="宋体"/>
          <w:szCs w:val="21"/>
          <w:lang w:val="en-US" w:eastAsia="zh-CN"/>
        </w:rPr>
      </w:pPr>
      <w:r>
        <w:rPr>
          <w:rFonts w:hint="eastAsia"/>
          <w:szCs w:val="21"/>
          <w:u w:val="single"/>
        </w:rPr>
        <w:t xml:space="preserve">         </w:t>
      </w:r>
      <w:r>
        <w:rPr>
          <w:rFonts w:hint="eastAsia" w:ascii="Times New Roman" w:eastAsia="宋体"/>
          <w:szCs w:val="21"/>
          <w:u w:val="single"/>
          <w:lang w:val="en-US" w:eastAsia="zh-CN"/>
        </w:rPr>
        <w:t xml:space="preserve">  </w:t>
      </w:r>
      <w:r>
        <w:rPr>
          <w:rFonts w:hint="eastAsia"/>
          <w:szCs w:val="21"/>
          <w:u w:val="single"/>
        </w:rPr>
        <w:t xml:space="preserve">   </w:t>
      </w:r>
      <w:r>
        <w:rPr>
          <w:rFonts w:hint="eastAsia" w:ascii="Times New Roman" w:eastAsia="宋体"/>
          <w:szCs w:val="21"/>
          <w:u w:val="single"/>
          <w:lang w:val="en-US" w:eastAsia="zh-CN"/>
        </w:rPr>
        <w:t xml:space="preserve">   </w:t>
      </w:r>
      <w:r>
        <w:rPr>
          <w:rFonts w:hint="eastAsia" w:eastAsia="宋体"/>
          <w:szCs w:val="21"/>
          <w:u w:val="none"/>
          <w:lang w:eastAsia="zh-CN"/>
        </w:rPr>
        <w:t>（</w:t>
      </w:r>
      <w:r>
        <w:rPr>
          <w:rFonts w:hint="eastAsia" w:ascii="Times New Roman" w:eastAsia="宋体"/>
          <w:szCs w:val="21"/>
          <w:u w:val="none"/>
          <w:lang w:val="en-US" w:eastAsia="zh-CN"/>
        </w:rPr>
        <w:t>姓名</w:t>
      </w:r>
      <w:r>
        <w:rPr>
          <w:rFonts w:hint="eastAsia" w:eastAsia="宋体"/>
          <w:szCs w:val="21"/>
          <w:u w:val="none"/>
          <w:lang w:eastAsia="zh-CN"/>
        </w:rPr>
        <w:t>）</w:t>
      </w:r>
      <w:r>
        <w:rPr>
          <w:rFonts w:hint="eastAsia"/>
          <w:szCs w:val="21"/>
        </w:rPr>
        <w:t>，现任我单位</w:t>
      </w:r>
      <w:r>
        <w:rPr>
          <w:rFonts w:hint="eastAsia"/>
          <w:szCs w:val="21"/>
          <w:u w:val="single"/>
        </w:rPr>
        <w:t xml:space="preserve">     </w:t>
      </w:r>
      <w:r>
        <w:rPr>
          <w:rFonts w:hint="eastAsia" w:ascii="Times New Roman" w:eastAsia="宋体"/>
          <w:szCs w:val="21"/>
          <w:u w:val="single"/>
          <w:lang w:val="en-US" w:eastAsia="zh-CN"/>
        </w:rPr>
        <w:t xml:space="preserve">    </w:t>
      </w:r>
      <w:r>
        <w:rPr>
          <w:rFonts w:hint="eastAsia"/>
          <w:szCs w:val="21"/>
          <w:u w:val="single"/>
        </w:rPr>
        <w:t xml:space="preserve">    </w:t>
      </w:r>
      <w:r>
        <w:rPr>
          <w:rFonts w:hint="eastAsia"/>
          <w:szCs w:val="21"/>
        </w:rPr>
        <w:t>职务，为法定代表人（负责人），</w:t>
      </w:r>
      <w:r>
        <w:rPr>
          <w:rFonts w:hint="eastAsia" w:ascii="Times New Roman" w:eastAsia="宋体"/>
          <w:szCs w:val="21"/>
          <w:lang w:val="en-US" w:eastAsia="zh-CN"/>
        </w:rPr>
        <w:t>身份证件</w:t>
      </w:r>
      <w:r>
        <w:rPr>
          <w:rFonts w:hint="eastAsia"/>
          <w:szCs w:val="21"/>
        </w:rPr>
        <w:t>号</w:t>
      </w:r>
      <w:r>
        <w:rPr>
          <w:rFonts w:hint="eastAsia" w:ascii="Times New Roman" w:eastAsia="宋体"/>
          <w:szCs w:val="21"/>
          <w:lang w:val="en-US" w:eastAsia="zh-CN"/>
        </w:rPr>
        <w:t>为</w:t>
      </w:r>
      <w:r>
        <w:rPr>
          <w:rFonts w:hint="eastAsia"/>
          <w:szCs w:val="21"/>
        </w:rPr>
        <w:t>：</w:t>
      </w:r>
      <w:r>
        <w:rPr>
          <w:rFonts w:hint="eastAsia"/>
          <w:szCs w:val="21"/>
          <w:u w:val="single"/>
        </w:rPr>
        <w:t xml:space="preserve">                                     </w:t>
      </w:r>
      <w:r>
        <w:rPr>
          <w:rFonts w:hint="eastAsia" w:eastAsia="宋体"/>
          <w:szCs w:val="21"/>
          <w:u w:val="none"/>
          <w:lang w:eastAsia="zh-CN"/>
        </w:rPr>
        <w:t>，</w:t>
      </w:r>
      <w:r>
        <w:rPr>
          <w:rFonts w:hint="eastAsia"/>
          <w:szCs w:val="21"/>
        </w:rPr>
        <w:t>联系电话：</w:t>
      </w:r>
      <w:r>
        <w:rPr>
          <w:rFonts w:hint="eastAsia" w:ascii="Times New Roman" w:eastAsia="宋体"/>
          <w:szCs w:val="21"/>
          <w:u w:val="single"/>
          <w:lang w:val="en-US" w:eastAsia="zh-CN"/>
        </w:rPr>
        <w:t xml:space="preserve">                </w:t>
      </w:r>
      <w:r>
        <w:rPr>
          <w:rFonts w:hint="eastAsia" w:ascii="Times New Roman" w:eastAsia="宋体"/>
          <w:szCs w:val="21"/>
          <w:lang w:val="en-US" w:eastAsia="zh-CN"/>
        </w:rPr>
        <w:t>。</w:t>
      </w:r>
    </w:p>
    <w:p w14:paraId="481518E3">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宋体" w:hAnsi="宋体" w:eastAsia="宋体" w:cs="宋体"/>
          <w:szCs w:val="21"/>
        </w:rPr>
      </w:pPr>
      <w:r>
        <w:rPr>
          <w:rFonts w:hint="eastAsia" w:ascii="宋体" w:hAnsi="宋体" w:eastAsia="宋体" w:cs="宋体"/>
          <w:szCs w:val="21"/>
        </w:rPr>
        <w:t>特此证明。</w:t>
      </w:r>
    </w:p>
    <w:p w14:paraId="370DF3B6">
      <w:pPr>
        <w:keepNext w:val="0"/>
        <w:keepLines w:val="0"/>
        <w:pageBreakBefore w:val="0"/>
        <w:widowControl w:val="0"/>
        <w:kinsoku/>
        <w:wordWrap/>
        <w:overflowPunct/>
        <w:topLinePunct w:val="0"/>
        <w:autoSpaceDE/>
        <w:autoSpaceDN/>
        <w:bidi w:val="0"/>
        <w:adjustRightInd/>
        <w:snapToGrid/>
        <w:spacing w:line="240" w:lineRule="auto"/>
        <w:ind w:leftChars="0" w:firstLine="420" w:firstLineChars="200"/>
        <w:textAlignment w:val="auto"/>
        <w:rPr>
          <w:rFonts w:hint="eastAsia" w:ascii="宋体" w:hAnsi="宋体" w:eastAsia="宋体" w:cs="宋体"/>
          <w:szCs w:val="21"/>
        </w:rPr>
      </w:pPr>
      <w:r>
        <w:rPr>
          <w:rFonts w:hint="eastAsia" w:ascii="宋体" w:hAnsi="宋体" w:eastAsia="宋体" w:cs="宋体"/>
          <w:szCs w:val="21"/>
        </w:rPr>
        <w:t>说明：</w:t>
      </w:r>
      <w:r>
        <w:rPr>
          <w:rFonts w:hint="eastAsia" w:ascii="宋体" w:hAnsi="宋体" w:cs="宋体"/>
          <w:szCs w:val="21"/>
          <w:lang w:val="en-US" w:eastAsia="zh-CN"/>
        </w:rPr>
        <w:t>1、</w:t>
      </w:r>
      <w:r>
        <w:rPr>
          <w:rFonts w:hint="eastAsia" w:ascii="宋体" w:hAnsi="宋体" w:eastAsia="宋体" w:cs="宋体"/>
          <w:szCs w:val="21"/>
        </w:rPr>
        <w:t>法定代表人为投标人（企业事业单位、国家机关、社会团体）的主要行政负责人。</w:t>
      </w:r>
    </w:p>
    <w:p w14:paraId="4893DD1E">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420" w:firstLineChars="200"/>
        <w:textAlignment w:val="auto"/>
        <w:rPr>
          <w:rFonts w:hint="eastAsia" w:ascii="宋体" w:hAnsi="宋体" w:eastAsia="宋体" w:cs="宋体"/>
          <w:color w:val="auto"/>
          <w:szCs w:val="21"/>
          <w:lang w:val="en-US" w:eastAsia="zh-CN"/>
        </w:rPr>
      </w:pPr>
      <w:r>
        <w:rPr>
          <w:rFonts w:hint="eastAsia" w:ascii="宋体" w:hAnsi="宋体" w:cs="宋体"/>
          <w:color w:val="auto"/>
          <w:szCs w:val="21"/>
          <w:lang w:val="en-US" w:eastAsia="zh-CN"/>
        </w:rPr>
        <w:t>2、</w:t>
      </w:r>
      <w:r>
        <w:rPr>
          <w:rFonts w:hint="eastAsia" w:ascii="宋体" w:hAnsi="宋体" w:eastAsia="宋体" w:cs="宋体"/>
          <w:color w:val="auto"/>
          <w:szCs w:val="21"/>
          <w:lang w:eastAsia="zh-Hans"/>
        </w:rPr>
        <w:t>本证明书要供法定代表人（负责人）</w:t>
      </w:r>
      <w:r>
        <w:rPr>
          <w:rFonts w:hint="eastAsia" w:ascii="宋体" w:hAnsi="宋体" w:eastAsia="宋体" w:cs="宋体"/>
          <w:color w:val="auto"/>
          <w:szCs w:val="21"/>
          <w:lang w:val="en-US" w:eastAsia="zh-CN"/>
        </w:rPr>
        <w:t>相关身份证明文件：身份证扫描件（正反两面）；港澳台居民可提供来往通行证扫描件；非中国国籍管辖范围人员，可提供公安部门认可的身份证明材料扫描件。</w:t>
      </w:r>
    </w:p>
    <w:p w14:paraId="17014217">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420" w:firstLineChars="200"/>
        <w:textAlignment w:val="auto"/>
        <w:rPr>
          <w:rFonts w:hint="eastAsia" w:ascii="宋体" w:hAnsi="宋体" w:eastAsia="宋体" w:cs="宋体"/>
          <w:szCs w:val="21"/>
        </w:rPr>
      </w:pPr>
      <w:r>
        <w:rPr>
          <w:rFonts w:hint="eastAsia" w:ascii="宋体" w:hAnsi="宋体" w:cs="宋体"/>
          <w:color w:val="auto"/>
          <w:szCs w:val="21"/>
          <w:lang w:val="en-US" w:eastAsia="zh-CN"/>
        </w:rPr>
        <w:t>3、</w:t>
      </w:r>
      <w:r>
        <w:rPr>
          <w:rFonts w:hint="eastAsia" w:ascii="宋体" w:hAnsi="宋体" w:eastAsia="宋体" w:cs="宋体"/>
          <w:color w:val="auto"/>
          <w:szCs w:val="21"/>
          <w:lang w:eastAsia="zh-Hans"/>
        </w:rPr>
        <w:t>本项目投标授权代表为法定代表人（负责人）的，无需提供</w:t>
      </w:r>
      <w:r>
        <w:rPr>
          <w:rFonts w:hint="eastAsia" w:ascii="宋体" w:hAnsi="宋体" w:eastAsia="宋体" w:cs="宋体"/>
          <w:color w:val="auto"/>
          <w:szCs w:val="21"/>
        </w:rPr>
        <w:t>《投标文件签署授权委托书》</w:t>
      </w:r>
      <w:r>
        <w:rPr>
          <w:rFonts w:hint="eastAsia" w:ascii="宋体" w:hAnsi="宋体" w:eastAsia="宋体" w:cs="宋体"/>
          <w:color w:val="auto"/>
          <w:szCs w:val="21"/>
          <w:lang w:eastAsia="zh-Hans"/>
        </w:rPr>
        <w:t>。</w:t>
      </w:r>
    </w:p>
    <w:p w14:paraId="18BD81F2">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420" w:firstLineChars="200"/>
        <w:textAlignment w:val="auto"/>
        <w:rPr>
          <w:szCs w:val="21"/>
        </w:rPr>
      </w:pPr>
      <w:r>
        <w:rPr>
          <w:rFonts w:hint="eastAsia" w:ascii="宋体" w:hAnsi="宋体" w:cs="宋体"/>
          <w:szCs w:val="21"/>
          <w:lang w:val="en-US" w:eastAsia="zh-CN"/>
        </w:rPr>
        <w:t>4、</w:t>
      </w:r>
      <w:r>
        <w:rPr>
          <w:rFonts w:hint="eastAsia" w:ascii="宋体" w:hAnsi="宋体" w:eastAsia="宋体" w:cs="宋体"/>
          <w:szCs w:val="21"/>
        </w:rPr>
        <w:t>内容必须填写真实、清楚，涂改无效，不得转让、买卖。</w:t>
      </w:r>
    </w:p>
    <w:tbl>
      <w:tblPr>
        <w:tblStyle w:val="49"/>
        <w:tblW w:w="852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4"/>
        <w:gridCol w:w="4265"/>
      </w:tblGrid>
      <w:tr w14:paraId="07D83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4" w:type="dxa"/>
            <w:vAlign w:val="top"/>
          </w:tcPr>
          <w:p w14:paraId="71DCB5BE">
            <w:pPr>
              <w:jc w:val="center"/>
              <w:rPr>
                <w:rFonts w:hint="eastAsia"/>
                <w:lang w:val="en-US" w:eastAsia="zh-CN"/>
              </w:rPr>
            </w:pPr>
            <w:r>
              <w:rPr>
                <w:rFonts w:hint="eastAsia" w:ascii="Times New Roman" w:eastAsia="宋体"/>
                <w:lang w:val="en-US" w:eastAsia="zh-CN"/>
              </w:rPr>
              <w:t>证件扫描件正面</w:t>
            </w:r>
          </w:p>
          <w:p w14:paraId="3D514306">
            <w:pPr>
              <w:pStyle w:val="2"/>
              <w:jc w:val="center"/>
              <w:rPr>
                <w:rFonts w:hint="eastAsia"/>
                <w:lang w:val="en-US" w:eastAsia="zh-CN"/>
              </w:rPr>
            </w:pPr>
          </w:p>
          <w:p w14:paraId="57EF4BFB">
            <w:pPr>
              <w:pStyle w:val="3"/>
              <w:jc w:val="center"/>
              <w:rPr>
                <w:rFonts w:hint="default"/>
                <w:lang w:val="en-US" w:eastAsia="zh-CN"/>
              </w:rPr>
            </w:pPr>
          </w:p>
        </w:tc>
        <w:tc>
          <w:tcPr>
            <w:tcW w:w="4265" w:type="dxa"/>
            <w:vAlign w:val="top"/>
          </w:tcPr>
          <w:p w14:paraId="19B7699C">
            <w:pPr>
              <w:jc w:val="center"/>
              <w:rPr>
                <w:rFonts w:hint="eastAsia"/>
                <w:lang w:val="en-US" w:eastAsia="zh-CN"/>
              </w:rPr>
            </w:pPr>
            <w:r>
              <w:rPr>
                <w:rFonts w:hint="eastAsia" w:ascii="Times New Roman" w:eastAsia="宋体"/>
                <w:lang w:val="en-US" w:eastAsia="zh-CN"/>
              </w:rPr>
              <w:t>证件扫描件反面</w:t>
            </w:r>
          </w:p>
          <w:p w14:paraId="51DE381B">
            <w:pPr>
              <w:pStyle w:val="2"/>
              <w:jc w:val="center"/>
              <w:rPr>
                <w:rFonts w:hint="eastAsia"/>
                <w:lang w:val="en-US" w:eastAsia="zh-CN"/>
              </w:rPr>
            </w:pPr>
          </w:p>
          <w:p w14:paraId="02DB5D6D">
            <w:pPr>
              <w:pStyle w:val="3"/>
              <w:jc w:val="center"/>
              <w:rPr>
                <w:rFonts w:hint="eastAsia"/>
                <w:sz w:val="24"/>
                <w:vertAlign w:val="baseline"/>
                <w:lang w:val="en-US" w:eastAsia="zh-CN"/>
              </w:rPr>
            </w:pPr>
          </w:p>
        </w:tc>
      </w:tr>
    </w:tbl>
    <w:p w14:paraId="65F1427B">
      <w:pPr>
        <w:rPr>
          <w:sz w:val="24"/>
        </w:rPr>
      </w:pPr>
    </w:p>
    <w:p w14:paraId="0D1AFD7C">
      <w:pPr>
        <w:pStyle w:val="6"/>
        <w:numPr>
          <w:ilvl w:val="0"/>
          <w:numId w:val="13"/>
        </w:numPr>
        <w:ind w:left="0" w:leftChars="0" w:firstLine="420" w:firstLineChars="0"/>
        <w:jc w:val="center"/>
        <w:rPr>
          <w:rFonts w:hint="eastAsia" w:ascii="黑体" w:hAnsi="宋体" w:eastAsia="黑体"/>
          <w:b w:val="0"/>
          <w:sz w:val="24"/>
        </w:rPr>
      </w:pPr>
      <w:r>
        <w:rPr>
          <w:rFonts w:hint="eastAsia" w:ascii="黑体" w:hAnsi="宋体" w:eastAsia="黑体"/>
          <w:b w:val="0"/>
          <w:sz w:val="24"/>
        </w:rPr>
        <w:t>投标文件签署授权委托书</w:t>
      </w:r>
    </w:p>
    <w:p w14:paraId="63915A65">
      <w:pPr>
        <w:spacing w:line="360" w:lineRule="auto"/>
        <w:ind w:firstLine="420" w:firstLineChars="200"/>
        <w:rPr>
          <w:rFonts w:hint="eastAsia"/>
          <w:szCs w:val="21"/>
        </w:rPr>
      </w:pPr>
      <w:r>
        <w:rPr>
          <w:rFonts w:hint="eastAsia"/>
          <w:szCs w:val="21"/>
        </w:rPr>
        <w:t>本授权委托书声明：我</w:t>
      </w:r>
      <w:r>
        <w:rPr>
          <w:rFonts w:hint="eastAsia"/>
          <w:szCs w:val="21"/>
          <w:u w:val="single"/>
        </w:rPr>
        <w:t xml:space="preserve">           </w:t>
      </w:r>
      <w:r>
        <w:rPr>
          <w:rFonts w:hint="eastAsia"/>
          <w:szCs w:val="21"/>
        </w:rPr>
        <w:t>（姓名）系</w:t>
      </w:r>
      <w:r>
        <w:rPr>
          <w:rFonts w:hint="eastAsia"/>
          <w:szCs w:val="21"/>
          <w:u w:val="single"/>
        </w:rPr>
        <w:t xml:space="preserve">             </w:t>
      </w:r>
      <w:r>
        <w:rPr>
          <w:rFonts w:hint="eastAsia"/>
          <w:szCs w:val="21"/>
        </w:rPr>
        <w:t>（投标人名称）的法定代表人（负责人），现授权委托</w:t>
      </w:r>
      <w:r>
        <w:rPr>
          <w:rFonts w:hint="eastAsia"/>
          <w:szCs w:val="21"/>
          <w:u w:val="single"/>
        </w:rPr>
        <w:t xml:space="preserve">            </w:t>
      </w:r>
      <w:r>
        <w:rPr>
          <w:rFonts w:hint="eastAsia"/>
          <w:szCs w:val="21"/>
        </w:rPr>
        <w:t>（姓名）为我单位签署本项目已递交的投标文件的法定代表人（负责人）的授权委托代理人，代理人全权代表我所签署的本项目已递交的投标文件内容我均承认。</w:t>
      </w:r>
    </w:p>
    <w:p w14:paraId="2ECAC400">
      <w:pPr>
        <w:spacing w:line="360" w:lineRule="auto"/>
        <w:ind w:firstLine="420" w:firstLineChars="200"/>
        <w:rPr>
          <w:rFonts w:hint="eastAsia"/>
          <w:szCs w:val="21"/>
        </w:rPr>
      </w:pPr>
      <w:r>
        <w:rPr>
          <w:rFonts w:hint="eastAsia"/>
          <w:szCs w:val="21"/>
        </w:rPr>
        <w:t>代理人无转委托权，特此委托。</w:t>
      </w:r>
    </w:p>
    <w:p w14:paraId="2ABE1B0B">
      <w:pPr>
        <w:spacing w:line="360" w:lineRule="auto"/>
        <w:ind w:firstLine="420" w:firstLineChars="200"/>
        <w:rPr>
          <w:rFonts w:hint="eastAsia"/>
          <w:szCs w:val="21"/>
        </w:rPr>
      </w:pPr>
    </w:p>
    <w:p w14:paraId="41CFC394">
      <w:pPr>
        <w:spacing w:line="360" w:lineRule="auto"/>
        <w:ind w:firstLine="420" w:firstLineChars="200"/>
        <w:rPr>
          <w:rFonts w:hint="eastAsia"/>
          <w:szCs w:val="21"/>
          <w:u w:val="none"/>
          <w:lang w:eastAsia="zh-CN"/>
        </w:rPr>
      </w:pPr>
      <w:r>
        <w:rPr>
          <w:rFonts w:hint="eastAsia"/>
          <w:szCs w:val="21"/>
        </w:rPr>
        <w:t>代理人</w:t>
      </w:r>
      <w:r>
        <w:rPr>
          <w:rFonts w:hint="eastAsia" w:eastAsia="宋体"/>
          <w:szCs w:val="21"/>
          <w:lang w:eastAsia="zh-CN"/>
        </w:rPr>
        <w:t>：</w:t>
      </w:r>
      <w:r>
        <w:rPr>
          <w:rFonts w:hint="eastAsia"/>
          <w:szCs w:val="21"/>
          <w:u w:val="single"/>
        </w:rPr>
        <w:t xml:space="preserve">      </w:t>
      </w:r>
      <w:r>
        <w:rPr>
          <w:rFonts w:hint="eastAsia" w:ascii="Times New Roman" w:eastAsia="宋体"/>
          <w:szCs w:val="21"/>
          <w:u w:val="single"/>
          <w:lang w:val="en-US" w:eastAsia="zh-CN"/>
        </w:rPr>
        <w:t xml:space="preserve">  </w:t>
      </w:r>
      <w:r>
        <w:rPr>
          <w:rFonts w:hint="eastAsia"/>
          <w:szCs w:val="21"/>
          <w:u w:val="single"/>
        </w:rPr>
        <w:t xml:space="preserve">      </w:t>
      </w:r>
      <w:r>
        <w:rPr>
          <w:rFonts w:hint="eastAsia" w:eastAsia="宋体"/>
          <w:szCs w:val="21"/>
          <w:u w:val="none"/>
          <w:lang w:eastAsia="zh-CN"/>
        </w:rPr>
        <w:t>；</w:t>
      </w:r>
    </w:p>
    <w:p w14:paraId="0FCEBA63">
      <w:pPr>
        <w:spacing w:line="360" w:lineRule="auto"/>
        <w:ind w:firstLine="420" w:firstLineChars="200"/>
        <w:rPr>
          <w:rFonts w:hint="eastAsia"/>
          <w:szCs w:val="21"/>
          <w:u w:val="none"/>
          <w:lang w:eastAsia="zh-CN"/>
        </w:rPr>
      </w:pPr>
      <w:r>
        <w:rPr>
          <w:rFonts w:hint="eastAsia"/>
          <w:szCs w:val="21"/>
        </w:rPr>
        <w:t>身份</w:t>
      </w:r>
      <w:r>
        <w:rPr>
          <w:rFonts w:hint="eastAsia" w:ascii="Times New Roman" w:eastAsia="宋体"/>
          <w:szCs w:val="21"/>
          <w:lang w:val="en-US" w:eastAsia="zh-CN"/>
        </w:rPr>
        <w:t>证件号</w:t>
      </w:r>
      <w:r>
        <w:rPr>
          <w:rFonts w:hint="eastAsia"/>
          <w:szCs w:val="21"/>
        </w:rPr>
        <w:t>：</w:t>
      </w:r>
      <w:r>
        <w:rPr>
          <w:rFonts w:hint="eastAsia"/>
          <w:szCs w:val="21"/>
          <w:u w:val="single"/>
        </w:rPr>
        <w:t xml:space="preserve">                        </w:t>
      </w:r>
      <w:r>
        <w:rPr>
          <w:rFonts w:hint="eastAsia" w:eastAsia="宋体"/>
          <w:szCs w:val="21"/>
          <w:u w:val="none"/>
          <w:lang w:eastAsia="zh-CN"/>
        </w:rPr>
        <w:t>，</w:t>
      </w:r>
      <w:r>
        <w:rPr>
          <w:rFonts w:hint="eastAsia"/>
          <w:szCs w:val="21"/>
        </w:rPr>
        <w:t>职务：</w:t>
      </w:r>
      <w:r>
        <w:rPr>
          <w:rFonts w:hint="eastAsia"/>
          <w:szCs w:val="21"/>
          <w:u w:val="single"/>
        </w:rPr>
        <w:t xml:space="preserve">   </w:t>
      </w:r>
      <w:r>
        <w:rPr>
          <w:rFonts w:hint="eastAsia" w:ascii="Times New Roman" w:eastAsia="宋体"/>
          <w:szCs w:val="21"/>
          <w:u w:val="single"/>
          <w:lang w:val="en-US" w:eastAsia="zh-CN"/>
        </w:rPr>
        <w:t xml:space="preserve">         </w:t>
      </w:r>
      <w:r>
        <w:rPr>
          <w:rFonts w:hint="eastAsia"/>
          <w:szCs w:val="21"/>
          <w:u w:val="single"/>
        </w:rPr>
        <w:t xml:space="preserve">    </w:t>
      </w:r>
      <w:r>
        <w:rPr>
          <w:rFonts w:hint="eastAsia" w:eastAsia="宋体"/>
          <w:szCs w:val="21"/>
          <w:u w:val="none"/>
          <w:lang w:eastAsia="zh-CN"/>
        </w:rPr>
        <w:t>；</w:t>
      </w:r>
    </w:p>
    <w:p w14:paraId="11627116">
      <w:pPr>
        <w:spacing w:line="360" w:lineRule="auto"/>
        <w:ind w:firstLine="420" w:firstLineChars="200"/>
        <w:rPr>
          <w:rFonts w:hint="default"/>
          <w:szCs w:val="21"/>
          <w:u w:val="none"/>
          <w:lang w:val="en-US" w:eastAsia="zh-CN"/>
        </w:rPr>
      </w:pPr>
      <w:r>
        <w:rPr>
          <w:rFonts w:hint="eastAsia"/>
          <w:szCs w:val="21"/>
        </w:rPr>
        <w:t>联系电话：</w:t>
      </w:r>
      <w:r>
        <w:rPr>
          <w:rFonts w:hint="eastAsia"/>
          <w:szCs w:val="21"/>
          <w:u w:val="single"/>
        </w:rPr>
        <w:t xml:space="preserve">         </w:t>
      </w:r>
      <w:r>
        <w:rPr>
          <w:rFonts w:hint="eastAsia" w:eastAsia="宋体"/>
          <w:szCs w:val="21"/>
          <w:lang w:eastAsia="zh-CN"/>
        </w:rPr>
        <w:t>，</w:t>
      </w:r>
      <w:r>
        <w:rPr>
          <w:rFonts w:hint="eastAsia"/>
          <w:szCs w:val="21"/>
        </w:rPr>
        <w:t>手机：</w:t>
      </w:r>
      <w:r>
        <w:rPr>
          <w:rFonts w:hint="eastAsia"/>
          <w:szCs w:val="21"/>
          <w:u w:val="single"/>
        </w:rPr>
        <w:t xml:space="preserve">                </w:t>
      </w:r>
      <w:r>
        <w:rPr>
          <w:rFonts w:hint="eastAsia" w:eastAsia="宋体"/>
          <w:szCs w:val="21"/>
          <w:u w:val="none"/>
          <w:lang w:eastAsia="zh-CN"/>
        </w:rPr>
        <w:t>，</w:t>
      </w:r>
      <w:r>
        <w:rPr>
          <w:rFonts w:hint="eastAsia" w:ascii="Times New Roman" w:eastAsia="宋体"/>
          <w:szCs w:val="21"/>
          <w:u w:val="none"/>
          <w:lang w:val="en-US" w:eastAsia="zh-CN"/>
        </w:rPr>
        <w:t>电子邮箱：</w:t>
      </w:r>
      <w:r>
        <w:rPr>
          <w:rFonts w:hint="eastAsia"/>
          <w:szCs w:val="21"/>
          <w:u w:val="single"/>
        </w:rPr>
        <w:t xml:space="preserve">            </w:t>
      </w:r>
      <w:r>
        <w:rPr>
          <w:rFonts w:hint="eastAsia" w:ascii="Times New Roman" w:eastAsia="宋体"/>
          <w:szCs w:val="21"/>
          <w:u w:val="single"/>
          <w:lang w:val="en-US" w:eastAsia="zh-CN"/>
        </w:rPr>
        <w:t xml:space="preserve">  </w:t>
      </w:r>
      <w:r>
        <w:rPr>
          <w:rFonts w:hint="eastAsia"/>
          <w:szCs w:val="21"/>
          <w:u w:val="single"/>
        </w:rPr>
        <w:t xml:space="preserve">       </w:t>
      </w:r>
      <w:r>
        <w:rPr>
          <w:rFonts w:hint="eastAsia" w:eastAsia="宋体"/>
          <w:szCs w:val="21"/>
          <w:u w:val="none"/>
          <w:lang w:eastAsia="zh-CN"/>
        </w:rPr>
        <w:t>；</w:t>
      </w:r>
    </w:p>
    <w:p w14:paraId="21193E23">
      <w:pPr>
        <w:spacing w:line="360" w:lineRule="auto"/>
        <w:ind w:firstLine="420" w:firstLineChars="200"/>
        <w:rPr>
          <w:rFonts w:hint="eastAsia" w:eastAsia="宋体"/>
          <w:szCs w:val="21"/>
          <w:lang w:eastAsia="zh-CN"/>
        </w:rPr>
      </w:pPr>
      <w:r>
        <w:rPr>
          <w:rFonts w:hint="eastAsia"/>
          <w:szCs w:val="21"/>
        </w:rPr>
        <w:t>授权委托日期：</w:t>
      </w:r>
      <w:r>
        <w:rPr>
          <w:rFonts w:hint="eastAsia"/>
          <w:szCs w:val="21"/>
          <w:u w:val="single"/>
        </w:rPr>
        <w:t xml:space="preserve">         </w:t>
      </w:r>
      <w:r>
        <w:rPr>
          <w:rFonts w:hint="eastAsia"/>
          <w:szCs w:val="21"/>
        </w:rPr>
        <w:t>年</w:t>
      </w:r>
      <w:r>
        <w:rPr>
          <w:rFonts w:hint="eastAsia"/>
          <w:szCs w:val="21"/>
          <w:u w:val="single"/>
        </w:rPr>
        <w:t xml:space="preserve">     </w:t>
      </w:r>
      <w:r>
        <w:rPr>
          <w:rFonts w:hint="eastAsia"/>
          <w:szCs w:val="21"/>
        </w:rPr>
        <w:t xml:space="preserve">月 </w:t>
      </w:r>
      <w:r>
        <w:rPr>
          <w:rFonts w:hint="eastAsia"/>
          <w:szCs w:val="21"/>
          <w:u w:val="single"/>
        </w:rPr>
        <w:t xml:space="preserve">      </w:t>
      </w:r>
      <w:r>
        <w:rPr>
          <w:rFonts w:hint="eastAsia"/>
          <w:szCs w:val="21"/>
        </w:rPr>
        <w:t>日</w:t>
      </w:r>
      <w:r>
        <w:rPr>
          <w:rFonts w:hint="eastAsia" w:eastAsia="宋体"/>
          <w:szCs w:val="21"/>
          <w:lang w:eastAsia="zh-CN"/>
        </w:rPr>
        <w:t>。</w:t>
      </w:r>
    </w:p>
    <w:p w14:paraId="1DDF40D0">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b/>
          <w:color w:val="FF0000"/>
          <w:szCs w:val="21"/>
        </w:rPr>
      </w:pPr>
      <w:r>
        <w:rPr>
          <w:rFonts w:hint="eastAsia"/>
          <w:b/>
          <w:color w:val="FF0000"/>
          <w:szCs w:val="21"/>
        </w:rPr>
        <w:t>附：请提供代理人身份证扫描件（正反两面）；港澳台居民可提供来往通行证扫描件；非中国国籍管辖范围人员，可提供公安部门认可的身份证明材料扫描件。</w:t>
      </w:r>
    </w:p>
    <w:tbl>
      <w:tblPr>
        <w:tblStyle w:val="49"/>
        <w:tblW w:w="852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4"/>
        <w:gridCol w:w="4265"/>
      </w:tblGrid>
      <w:tr w14:paraId="666DF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vAlign w:val="top"/>
          </w:tcPr>
          <w:p w14:paraId="0E26D61E">
            <w:pPr>
              <w:jc w:val="center"/>
              <w:rPr>
                <w:rFonts w:hint="eastAsia"/>
                <w:lang w:val="en-US" w:eastAsia="zh-CN"/>
              </w:rPr>
            </w:pPr>
            <w:r>
              <w:rPr>
                <w:rFonts w:hint="eastAsia" w:ascii="Times New Roman" w:eastAsia="宋体"/>
                <w:lang w:val="en-US" w:eastAsia="zh-CN"/>
              </w:rPr>
              <w:t>证件扫描件正面</w:t>
            </w:r>
          </w:p>
          <w:p w14:paraId="3D7C449E">
            <w:pPr>
              <w:pStyle w:val="2"/>
              <w:jc w:val="center"/>
              <w:rPr>
                <w:rFonts w:hint="eastAsia"/>
                <w:lang w:val="en-US" w:eastAsia="zh-CN"/>
              </w:rPr>
            </w:pPr>
          </w:p>
          <w:p w14:paraId="7DF5B278">
            <w:pPr>
              <w:pStyle w:val="3"/>
              <w:jc w:val="center"/>
              <w:rPr>
                <w:rFonts w:hint="default"/>
                <w:lang w:val="en-US" w:eastAsia="zh-CN"/>
              </w:rPr>
            </w:pPr>
          </w:p>
        </w:tc>
        <w:tc>
          <w:tcPr>
            <w:tcW w:w="4265" w:type="dxa"/>
            <w:vAlign w:val="top"/>
          </w:tcPr>
          <w:p w14:paraId="46D59A8D">
            <w:pPr>
              <w:jc w:val="center"/>
              <w:rPr>
                <w:rFonts w:hint="eastAsia"/>
                <w:lang w:val="en-US" w:eastAsia="zh-CN"/>
              </w:rPr>
            </w:pPr>
            <w:r>
              <w:rPr>
                <w:rFonts w:hint="eastAsia" w:ascii="Times New Roman" w:eastAsia="宋体"/>
                <w:lang w:val="en-US" w:eastAsia="zh-CN"/>
              </w:rPr>
              <w:t>证件扫描件反面</w:t>
            </w:r>
          </w:p>
          <w:p w14:paraId="5D5A79B7">
            <w:pPr>
              <w:pStyle w:val="2"/>
              <w:jc w:val="center"/>
              <w:rPr>
                <w:rFonts w:hint="eastAsia"/>
                <w:lang w:val="en-US" w:eastAsia="zh-CN"/>
              </w:rPr>
            </w:pPr>
          </w:p>
          <w:p w14:paraId="7497E6E2">
            <w:pPr>
              <w:pStyle w:val="3"/>
              <w:jc w:val="center"/>
              <w:rPr>
                <w:rFonts w:hint="eastAsia"/>
                <w:sz w:val="24"/>
                <w:vertAlign w:val="baseline"/>
                <w:lang w:val="en-US" w:eastAsia="zh-CN"/>
              </w:rPr>
            </w:pPr>
          </w:p>
        </w:tc>
      </w:tr>
    </w:tbl>
    <w:p w14:paraId="575263BE">
      <w:pPr>
        <w:pStyle w:val="6"/>
        <w:numPr>
          <w:ilvl w:val="0"/>
          <w:numId w:val="13"/>
        </w:numPr>
        <w:ind w:left="0" w:leftChars="0" w:firstLine="420" w:firstLineChars="0"/>
        <w:jc w:val="center"/>
        <w:rPr>
          <w:rFonts w:hint="eastAsia" w:ascii="黑体" w:hAnsi="宋体" w:eastAsia="黑体"/>
          <w:b w:val="0"/>
          <w:sz w:val="24"/>
        </w:rPr>
      </w:pPr>
      <w:r>
        <w:rPr>
          <w:rFonts w:hint="eastAsia" w:ascii="黑体" w:hAnsi="宋体" w:eastAsia="黑体"/>
          <w:b w:val="0"/>
          <w:sz w:val="24"/>
        </w:rPr>
        <w:t>服务计划</w:t>
      </w:r>
    </w:p>
    <w:p w14:paraId="136398CD">
      <w:pPr>
        <w:bidi w:val="0"/>
        <w:rPr>
          <w:rFonts w:hint="eastAsia"/>
        </w:rPr>
      </w:pPr>
    </w:p>
    <w:p w14:paraId="50467F76">
      <w:pPr>
        <w:pStyle w:val="6"/>
        <w:numPr>
          <w:ilvl w:val="0"/>
          <w:numId w:val="13"/>
        </w:numPr>
        <w:ind w:left="0" w:leftChars="0" w:firstLine="420" w:firstLineChars="0"/>
        <w:jc w:val="center"/>
        <w:rPr>
          <w:rFonts w:hint="eastAsia" w:ascii="黑体" w:hAnsi="宋体" w:eastAsia="黑体"/>
          <w:b w:val="0"/>
          <w:sz w:val="24"/>
        </w:rPr>
      </w:pPr>
      <w:r>
        <w:rPr>
          <w:rFonts w:hint="eastAsia" w:ascii="黑体" w:hAnsi="宋体" w:eastAsia="黑体"/>
          <w:b w:val="0"/>
          <w:sz w:val="24"/>
        </w:rPr>
        <w:t>专业服务流程及标准</w:t>
      </w:r>
    </w:p>
    <w:p w14:paraId="4313A0DE">
      <w:pPr>
        <w:bidi w:val="0"/>
        <w:rPr>
          <w:rFonts w:hint="eastAsia"/>
        </w:rPr>
      </w:pPr>
    </w:p>
    <w:p w14:paraId="5F7A14AB">
      <w:pPr>
        <w:pStyle w:val="6"/>
        <w:numPr>
          <w:ilvl w:val="0"/>
          <w:numId w:val="13"/>
        </w:numPr>
        <w:ind w:left="0" w:leftChars="0" w:firstLine="420" w:firstLineChars="0"/>
        <w:jc w:val="center"/>
        <w:rPr>
          <w:rFonts w:hint="eastAsia" w:ascii="黑体" w:hAnsi="宋体" w:eastAsia="黑体"/>
          <w:b w:val="0"/>
          <w:sz w:val="24"/>
        </w:rPr>
      </w:pPr>
      <w:r>
        <w:rPr>
          <w:rFonts w:hint="eastAsia" w:ascii="黑体" w:hAnsi="宋体" w:eastAsia="黑体"/>
          <w:b w:val="0"/>
          <w:sz w:val="24"/>
        </w:rPr>
        <w:t>管理制度</w:t>
      </w:r>
    </w:p>
    <w:p w14:paraId="7C5C57AF">
      <w:pPr>
        <w:rPr>
          <w:rFonts w:hint="eastAsia"/>
        </w:rPr>
      </w:pPr>
    </w:p>
    <w:p w14:paraId="6FDAF33B">
      <w:pPr>
        <w:pStyle w:val="6"/>
        <w:numPr>
          <w:ilvl w:val="0"/>
          <w:numId w:val="13"/>
        </w:numPr>
        <w:ind w:left="0" w:leftChars="0" w:firstLine="420" w:firstLineChars="0"/>
        <w:jc w:val="center"/>
        <w:rPr>
          <w:rFonts w:hint="eastAsia" w:ascii="黑体" w:hAnsi="宋体" w:eastAsia="黑体"/>
          <w:b w:val="0"/>
          <w:sz w:val="24"/>
        </w:rPr>
      </w:pPr>
      <w:r>
        <w:rPr>
          <w:rFonts w:hint="eastAsia" w:ascii="黑体" w:hAnsi="宋体" w:eastAsia="黑体"/>
          <w:b w:val="0"/>
          <w:sz w:val="24"/>
        </w:rPr>
        <w:t>服务监测与评估</w:t>
      </w:r>
    </w:p>
    <w:p w14:paraId="39688969">
      <w:pPr>
        <w:rPr>
          <w:rFonts w:hint="eastAsia"/>
        </w:rPr>
      </w:pPr>
    </w:p>
    <w:p w14:paraId="67563211">
      <w:pPr>
        <w:pStyle w:val="6"/>
        <w:numPr>
          <w:ilvl w:val="0"/>
          <w:numId w:val="13"/>
        </w:numPr>
        <w:ind w:left="0" w:leftChars="0" w:firstLine="420" w:firstLineChars="0"/>
        <w:jc w:val="center"/>
        <w:rPr>
          <w:rFonts w:hint="eastAsia" w:ascii="黑体" w:hAnsi="宋体" w:eastAsia="黑体"/>
          <w:b w:val="0"/>
          <w:sz w:val="24"/>
        </w:rPr>
      </w:pPr>
      <w:r>
        <w:rPr>
          <w:rFonts w:hint="eastAsia" w:ascii="黑体" w:hAnsi="宋体" w:eastAsia="黑体"/>
          <w:b w:val="0"/>
          <w:sz w:val="24"/>
        </w:rPr>
        <w:t>人员督导、培训计划</w:t>
      </w:r>
    </w:p>
    <w:p w14:paraId="6B30AF3A">
      <w:pPr>
        <w:rPr>
          <w:rFonts w:hint="eastAsia"/>
        </w:rPr>
      </w:pPr>
    </w:p>
    <w:p w14:paraId="590955CB">
      <w:pPr>
        <w:pStyle w:val="6"/>
        <w:numPr>
          <w:ilvl w:val="0"/>
          <w:numId w:val="13"/>
        </w:numPr>
        <w:ind w:left="0" w:leftChars="0" w:firstLine="420" w:firstLineChars="0"/>
        <w:jc w:val="center"/>
        <w:rPr>
          <w:rFonts w:hint="eastAsia" w:ascii="黑体" w:hAnsi="宋体" w:eastAsia="黑体"/>
          <w:b w:val="0"/>
          <w:sz w:val="24"/>
        </w:rPr>
      </w:pPr>
      <w:r>
        <w:rPr>
          <w:rFonts w:hint="eastAsia" w:ascii="黑体" w:hAnsi="宋体" w:eastAsia="黑体"/>
          <w:b w:val="0"/>
          <w:sz w:val="24"/>
        </w:rPr>
        <w:t>项目督导人员</w:t>
      </w:r>
    </w:p>
    <w:p w14:paraId="423813D9">
      <w:pPr>
        <w:rPr>
          <w:rFonts w:hint="eastAsia"/>
        </w:rPr>
      </w:pPr>
    </w:p>
    <w:p w14:paraId="43BE681E">
      <w:pPr>
        <w:pStyle w:val="6"/>
        <w:numPr>
          <w:ilvl w:val="0"/>
          <w:numId w:val="13"/>
        </w:numPr>
        <w:ind w:left="0" w:leftChars="0" w:firstLine="420" w:firstLineChars="0"/>
        <w:jc w:val="center"/>
        <w:rPr>
          <w:rFonts w:hint="eastAsia" w:ascii="黑体" w:hAnsi="宋体" w:eastAsia="黑体"/>
          <w:b w:val="0"/>
          <w:sz w:val="24"/>
        </w:rPr>
      </w:pPr>
      <w:r>
        <w:rPr>
          <w:rFonts w:hint="eastAsia" w:ascii="黑体" w:hAnsi="宋体" w:eastAsia="黑体"/>
          <w:b w:val="0"/>
          <w:sz w:val="24"/>
        </w:rPr>
        <w:t>拟安排的项目团队负责人情况</w:t>
      </w:r>
    </w:p>
    <w:p w14:paraId="0CB28775">
      <w:pPr>
        <w:rPr>
          <w:rFonts w:hint="eastAsia"/>
        </w:rPr>
      </w:pPr>
    </w:p>
    <w:p w14:paraId="43FA5E7C">
      <w:pPr>
        <w:pStyle w:val="6"/>
        <w:numPr>
          <w:ilvl w:val="0"/>
          <w:numId w:val="13"/>
        </w:numPr>
        <w:ind w:left="0" w:leftChars="0" w:firstLine="420" w:firstLineChars="0"/>
        <w:jc w:val="center"/>
        <w:rPr>
          <w:rFonts w:hint="eastAsia" w:ascii="黑体" w:hAnsi="宋体" w:eastAsia="黑体"/>
          <w:b w:val="0"/>
          <w:sz w:val="24"/>
        </w:rPr>
      </w:pPr>
      <w:r>
        <w:rPr>
          <w:rFonts w:hint="eastAsia" w:ascii="黑体" w:hAnsi="宋体" w:eastAsia="黑体"/>
          <w:b w:val="0"/>
          <w:sz w:val="24"/>
        </w:rPr>
        <w:t>拟安排的项目团队成员情况</w:t>
      </w:r>
    </w:p>
    <w:p w14:paraId="4965C7FC">
      <w:pPr>
        <w:rPr>
          <w:rFonts w:hint="eastAsia"/>
        </w:rPr>
        <w:sectPr>
          <w:pgSz w:w="11907" w:h="16840"/>
          <w:pgMar w:top="1440" w:right="1797" w:bottom="1440" w:left="1797" w:header="851" w:footer="992" w:gutter="0"/>
          <w:cols w:space="425" w:num="1"/>
          <w:titlePg/>
          <w:docGrid w:linePitch="462" w:charSpace="0"/>
        </w:sectPr>
      </w:pPr>
    </w:p>
    <w:p w14:paraId="0951442F">
      <w:pPr>
        <w:pStyle w:val="6"/>
        <w:numPr>
          <w:ilvl w:val="0"/>
          <w:numId w:val="13"/>
        </w:numPr>
        <w:ind w:left="0" w:leftChars="0" w:firstLine="420" w:firstLineChars="0"/>
        <w:jc w:val="center"/>
        <w:rPr>
          <w:rFonts w:hint="eastAsia" w:ascii="黑体" w:hAnsi="宋体" w:eastAsia="黑体"/>
          <w:b w:val="0"/>
          <w:sz w:val="24"/>
        </w:rPr>
      </w:pPr>
      <w:bookmarkStart w:id="26" w:name="_Hlk72062872"/>
      <w:r>
        <w:rPr>
          <w:rFonts w:hint="eastAsia" w:ascii="黑体" w:hAnsi="宋体" w:eastAsia="黑体"/>
          <w:b w:val="0"/>
          <w:sz w:val="24"/>
        </w:rPr>
        <w:t>投标人认为需要加以说明的其他内容</w:t>
      </w:r>
      <w:bookmarkEnd w:id="26"/>
    </w:p>
    <w:p w14:paraId="5D513758">
      <w:pPr>
        <w:widowControl/>
        <w:jc w:val="center"/>
        <w:rPr>
          <w:rFonts w:ascii="黑体" w:hAnsi="宋体" w:eastAsia="黑体"/>
          <w:kern w:val="0"/>
          <w:sz w:val="24"/>
          <w:szCs w:val="20"/>
        </w:rPr>
      </w:pPr>
      <w:r>
        <w:rPr>
          <w:rFonts w:hint="eastAsia" w:ascii="黑体" w:hAnsi="宋体" w:eastAsia="黑体"/>
          <w:kern w:val="0"/>
          <w:sz w:val="24"/>
          <w:szCs w:val="20"/>
        </w:rPr>
        <w:t>（一）</w:t>
      </w:r>
      <w:r>
        <w:rPr>
          <w:rFonts w:hint="eastAsia" w:ascii="黑体" w:hAnsi="宋体" w:eastAsia="黑体"/>
          <w:kern w:val="0"/>
          <w:sz w:val="24"/>
          <w:szCs w:val="20"/>
          <w:highlight w:val="yellow"/>
        </w:rPr>
        <w:t>政府采购违法行为风险知悉确认书</w:t>
      </w:r>
    </w:p>
    <w:p w14:paraId="27EF7343">
      <w:pPr>
        <w:widowControl/>
        <w:jc w:val="center"/>
        <w:rPr>
          <w:rFonts w:ascii="黑体" w:hAnsi="宋体" w:eastAsia="黑体"/>
          <w:kern w:val="0"/>
          <w:sz w:val="24"/>
          <w:szCs w:val="20"/>
        </w:rPr>
      </w:pPr>
    </w:p>
    <w:p w14:paraId="255ED2A8">
      <w:pPr>
        <w:ind w:firstLine="420" w:firstLineChars="200"/>
      </w:pPr>
      <w:r>
        <w:rPr>
          <w:rFonts w:hint="eastAsia"/>
        </w:rPr>
        <w:t>本公司在投标前已充分知悉以下情形为参与政府采购活动时的重大风险事项，并承诺已对下述风险提示事项重点排查，做到严谨、诚信、依法依规参与政府采购活动。</w:t>
      </w:r>
    </w:p>
    <w:p w14:paraId="0645E725">
      <w:pPr>
        <w:ind w:firstLine="420" w:firstLineChars="200"/>
        <w:rPr>
          <w:b/>
        </w:rPr>
      </w:pPr>
      <w:r>
        <w:rPr>
          <w:rFonts w:hint="eastAsia"/>
          <w:b/>
        </w:rPr>
        <w:t>一、本公司已充分知悉“隐瞒真实情况，提供虚假资料”的法定情形，相关情形包括但不限于：</w:t>
      </w:r>
    </w:p>
    <w:p w14:paraId="23451EA3">
      <w:pPr>
        <w:ind w:firstLine="420" w:firstLineChars="200"/>
      </w:pPr>
      <w:r>
        <w:rPr>
          <w:rFonts w:hint="eastAsia"/>
        </w:rPr>
        <w:t>（一）通过转让或者租借等方式从其他单位获取资格或者资质证书投标的。</w:t>
      </w:r>
    </w:p>
    <w:p w14:paraId="775F8D92">
      <w:pPr>
        <w:ind w:firstLine="420" w:firstLineChars="200"/>
      </w:pPr>
      <w:r>
        <w:rPr>
          <w:rFonts w:hint="eastAsia"/>
        </w:rPr>
        <w:t>（二）由其他单位或者其他单位负责人在投标供应商编制的投标文件上加盖印章或者签字的。</w:t>
      </w:r>
    </w:p>
    <w:p w14:paraId="65EE42A0">
      <w:pPr>
        <w:ind w:firstLine="420" w:firstLineChars="200"/>
      </w:pPr>
      <w:r>
        <w:rPr>
          <w:rFonts w:hint="eastAsia"/>
        </w:rPr>
        <w:t>（三）项目负责人或者主要技术人员不是本单位人员的。</w:t>
      </w:r>
    </w:p>
    <w:p w14:paraId="6F7CE5A5">
      <w:pPr>
        <w:ind w:firstLine="420" w:firstLineChars="200"/>
      </w:pPr>
      <w:r>
        <w:rPr>
          <w:rFonts w:hint="eastAsia"/>
        </w:rPr>
        <w:t>（四）投标保证金不是从投标供应商基本账户转出的。</w:t>
      </w:r>
    </w:p>
    <w:p w14:paraId="251DB51E">
      <w:pPr>
        <w:ind w:firstLine="420" w:firstLineChars="200"/>
      </w:pPr>
      <w:r>
        <w:rPr>
          <w:rFonts w:hint="eastAsia"/>
        </w:rPr>
        <w:t>（五）其他隐瞒真实情况、提供虚假资料的行为。</w:t>
      </w:r>
    </w:p>
    <w:p w14:paraId="2D23D9CE">
      <w:pPr>
        <w:ind w:firstLine="420" w:firstLineChars="200"/>
        <w:rPr>
          <w:b/>
        </w:rPr>
      </w:pPr>
      <w:r>
        <w:rPr>
          <w:rFonts w:hint="eastAsia"/>
          <w:b/>
        </w:rPr>
        <w:t>二、本公司已充分知悉“与其他采购参加人串通投标”的法定情形，相关情形包括但不限于：</w:t>
      </w:r>
    </w:p>
    <w:p w14:paraId="73CD1BFF">
      <w:pPr>
        <w:ind w:firstLine="420" w:firstLineChars="200"/>
      </w:pPr>
      <w:r>
        <w:rPr>
          <w:rFonts w:hint="eastAsia"/>
        </w:rPr>
        <w:t>（一）投标供应商之间相互约定给予未中标的供应商利益补偿。</w:t>
      </w:r>
    </w:p>
    <w:p w14:paraId="38D6729D">
      <w:pPr>
        <w:ind w:firstLine="420" w:firstLineChars="200"/>
      </w:pPr>
      <w:r>
        <w:rPr>
          <w:rFonts w:hint="eastAsia"/>
        </w:rPr>
        <w:t>（二）不同投标供应商的法定代表人、主要经营负责人、项目投标授权代表人、项目负责人、主要技术人员为同一人、属同一单位或者在同一单位缴纳社会保险。</w:t>
      </w:r>
    </w:p>
    <w:p w14:paraId="0B46FB89">
      <w:pPr>
        <w:ind w:firstLine="420" w:firstLineChars="200"/>
      </w:pPr>
      <w:r>
        <w:rPr>
          <w:rFonts w:hint="eastAsia"/>
        </w:rPr>
        <w:t>（三）不同投标供应商的投标文件由同一单位或者同一人编制，或者由同一人分阶段参与编制的。</w:t>
      </w:r>
    </w:p>
    <w:p w14:paraId="1BC304E1">
      <w:pPr>
        <w:ind w:firstLine="420" w:firstLineChars="200"/>
      </w:pPr>
      <w:r>
        <w:rPr>
          <w:rFonts w:hint="eastAsia"/>
        </w:rPr>
        <w:t>（四）不同投标供应商的投标文件或部分投标文件相互混装。</w:t>
      </w:r>
    </w:p>
    <w:p w14:paraId="4A026CBD">
      <w:pPr>
        <w:ind w:firstLine="420" w:firstLineChars="200"/>
      </w:pPr>
      <w:r>
        <w:rPr>
          <w:rFonts w:hint="eastAsia"/>
        </w:rPr>
        <w:t>（五）不同投标供应商的投标文件内容存在非正常一致。</w:t>
      </w:r>
    </w:p>
    <w:p w14:paraId="6B33BDDA">
      <w:pPr>
        <w:ind w:firstLine="420" w:firstLineChars="200"/>
      </w:pPr>
      <w:r>
        <w:rPr>
          <w:rFonts w:hint="eastAsia"/>
        </w:rPr>
        <w:t>（六）由同一单位工作人员为两家以上（含两家）供应商进行同一项投标活动的。</w:t>
      </w:r>
    </w:p>
    <w:p w14:paraId="56001ADB">
      <w:pPr>
        <w:ind w:firstLine="420" w:firstLineChars="200"/>
      </w:pPr>
      <w:r>
        <w:rPr>
          <w:rFonts w:hint="eastAsia"/>
        </w:rPr>
        <w:t>（七）不同投标人的投标报价呈规律性差异。</w:t>
      </w:r>
    </w:p>
    <w:p w14:paraId="615001CC">
      <w:pPr>
        <w:ind w:firstLine="420" w:firstLineChars="200"/>
      </w:pPr>
      <w:r>
        <w:rPr>
          <w:rFonts w:hint="eastAsia"/>
        </w:rPr>
        <w:t>（八）不同投标人的投标保证金从同一单位或者个人的账户转出。</w:t>
      </w:r>
    </w:p>
    <w:p w14:paraId="51549870">
      <w:pPr>
        <w:ind w:firstLine="420" w:firstLineChars="200"/>
      </w:pPr>
      <w:r>
        <w:rPr>
          <w:rFonts w:hint="eastAsia"/>
        </w:rPr>
        <w:t>（九）主管部门依照法律、法规认定的其他情形。</w:t>
      </w:r>
    </w:p>
    <w:p w14:paraId="310DBF61">
      <w:pPr>
        <w:ind w:firstLine="420" w:firstLineChars="200"/>
        <w:rPr>
          <w:b/>
        </w:rPr>
      </w:pPr>
      <w:r>
        <w:rPr>
          <w:rFonts w:hint="eastAsia"/>
          <w:b/>
        </w:rPr>
        <w:t>三、本公司已充分知悉下列情形所对应的法律风险，并在投标前已对相关风险事项进行排查。</w:t>
      </w:r>
    </w:p>
    <w:p w14:paraId="21098F79">
      <w:pPr>
        <w:ind w:firstLine="420" w:firstLineChars="200"/>
        <w:rPr>
          <w:b/>
        </w:rPr>
      </w:pPr>
      <w:r>
        <w:rPr>
          <w:rFonts w:hint="eastAsia"/>
        </w:rPr>
        <w:t>（一）对于从其他主体获取的投标资料，供应商应审慎核查，确保投标资料的真实性。</w:t>
      </w:r>
      <w:r>
        <w:rPr>
          <w:rFonts w:hint="eastAsia"/>
          <w:b/>
        </w:rPr>
        <w:t>如主管部门查实投标文件中存在虚假资料的，无论相关资料是否由第三方或本公司员工提供，均不影响主管部门对供应商存在“隐瞒真实情况，提供虚假资料”违法行为的认定。</w:t>
      </w:r>
    </w:p>
    <w:p w14:paraId="604F4093">
      <w:pPr>
        <w:ind w:firstLine="420" w:firstLineChars="200"/>
      </w:pPr>
      <w:r>
        <w:rPr>
          <w:rFonts w:hint="eastAsia"/>
        </w:rPr>
        <w:t>（二）对于涉及国家机关出具的公文、证件、证明材料等文件，一旦涉嫌虚假，经查实，主管部门将依法从严处理，并移送有关部门追究法律责任；涉嫌犯罪的，主管部门将一并移送司法机关追究法律责任。</w:t>
      </w:r>
    </w:p>
    <w:p w14:paraId="2D8E807C">
      <w:pPr>
        <w:ind w:firstLine="420" w:firstLineChars="200"/>
      </w:pPr>
      <w:r>
        <w:rPr>
          <w:rFonts w:hint="eastAsia"/>
        </w:rPr>
        <w:t>（三）对于涉及安全生产、特种作业、抢险救灾、防疫等政府采购项目，供应商实施提供虚假资料、串通投标等违法行为的，主管部门将依法从严处理。</w:t>
      </w:r>
    </w:p>
    <w:p w14:paraId="455A639B">
      <w:pPr>
        <w:ind w:firstLine="420" w:firstLineChars="200"/>
      </w:pPr>
      <w:r>
        <w:rPr>
          <w:rFonts w:hint="eastAsia"/>
        </w:rPr>
        <w:t>（四）供应商应严格规范项目授权代表、员工参与招标投标的行为，加强对投标文件的审核。项目授权代表、员工编制、上传投标文件等行为违反政府采购法律法规或招标文件要求的，投标供应商应当依法承担相应法律责任。</w:t>
      </w:r>
    </w:p>
    <w:p w14:paraId="55984CA6">
      <w:pPr>
        <w:ind w:firstLine="420" w:firstLineChars="200"/>
      </w:pPr>
      <w:r>
        <w:rPr>
          <w:rFonts w:hint="eastAsia"/>
        </w:rPr>
        <w:t>（五）供应商对投标电子密钥负有妥善保管、及时变更和续期等主体责任。供应商使用电子密钥在深圳政府采购网站进行的活动，均具有法律效力，须承担相应的法律后果。供应商擅自将投标密钥出借他人使用所造成的法律后果，由供应商自行承担。</w:t>
      </w:r>
    </w:p>
    <w:p w14:paraId="40258D20">
      <w:pPr>
        <w:ind w:firstLine="420" w:firstLineChars="200"/>
      </w:pPr>
      <w:r>
        <w:rPr>
          <w:rFonts w:hint="eastAsia"/>
        </w:rPr>
        <w:t>（六）单位负责人为同一人或者存在直接控股、管理关系的不同供应商，不得参加同一合同项下的政府采购活动。相关情形如查实，依法作投标无效处理；涉嫌串通投标等违法行为的，主管部门将依法调查处理。</w:t>
      </w:r>
    </w:p>
    <w:p w14:paraId="44926B74">
      <w:pPr>
        <w:ind w:firstLine="420" w:firstLineChars="200"/>
        <w:rPr>
          <w:b/>
        </w:rPr>
      </w:pPr>
      <w:r>
        <w:rPr>
          <w:rFonts w:hint="eastAsia"/>
          <w:b/>
        </w:rPr>
        <w:t>四、本公司已充分知悉政府采购违法、违规行为的法律后果。</w:t>
      </w:r>
    </w:p>
    <w:p w14:paraId="7D3509B0">
      <w:pPr>
        <w:ind w:firstLine="420" w:firstLineChars="200"/>
      </w:pPr>
      <w:r>
        <w:rPr>
          <w:rFonts w:hint="eastAsia"/>
        </w:rPr>
        <w:t>经查实，若投标供应商存在政府采购违法、违规行为，主管部门将依据《深圳经济特区政府采购条例》第五十七条的规定，处以一至三年内禁止参与本市政府采购，并由主管部门记入供应商诚信档案，处采购金额千分之十以上千分之二十以下罚款；情节严重的，取消参与本市政府采购资格，处采购金额千分之二十以上千分之三十以下罚款，并由市场监管部门依法吊销营业执照。</w:t>
      </w:r>
    </w:p>
    <w:p w14:paraId="60FA837E">
      <w:pPr>
        <w:ind w:firstLine="420" w:firstLineChars="200"/>
      </w:pPr>
      <w:r>
        <w:rPr>
          <w:rFonts w:hint="eastAsia"/>
          <w:highlight w:val="yellow"/>
        </w:rPr>
        <w:t>以下文字请投标供应商抄写并确认：“本公司已仔细阅读《政府采购违法行为风险知悉确认书》，充分知悉违法行为的法律后果，并承诺将严谨、诚信、依法依规参与政府采购活动”。</w:t>
      </w:r>
    </w:p>
    <w:tbl>
      <w:tblPr>
        <w:tblStyle w:val="307"/>
        <w:tblW w:w="8529" w:type="dxa"/>
        <w:tblInd w:w="0"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529"/>
      </w:tblGrid>
      <w:tr w14:paraId="76FE39F1">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4" w:hRule="atLeast"/>
        </w:trPr>
        <w:tc>
          <w:tcPr>
            <w:tcW w:w="8529" w:type="dxa"/>
            <w:tcBorders>
              <w:top w:val="nil"/>
              <w:left w:val="nil"/>
              <w:bottom w:val="single" w:color="000000" w:sz="8" w:space="0"/>
              <w:right w:val="nil"/>
            </w:tcBorders>
          </w:tcPr>
          <w:p w14:paraId="79B94E2A">
            <w:pPr>
              <w:autoSpaceDE w:val="0"/>
              <w:autoSpaceDN w:val="0"/>
              <w:spacing w:line="400" w:lineRule="exact"/>
              <w:ind w:firstLine="1866"/>
              <w:rPr>
                <w:rFonts w:ascii="宋体" w:hAnsi="宋体" w:eastAsiaTheme="minorEastAsia"/>
                <w:spacing w:val="-4"/>
                <w:kern w:val="0"/>
                <w:szCs w:val="21"/>
              </w:rPr>
            </w:pPr>
          </w:p>
        </w:tc>
      </w:tr>
      <w:tr w14:paraId="6D43EE3D">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PrEx>
        <w:tc>
          <w:tcPr>
            <w:tcW w:w="8529" w:type="dxa"/>
            <w:tcBorders>
              <w:top w:val="single" w:color="000000" w:sz="8" w:space="0"/>
              <w:left w:val="nil"/>
              <w:bottom w:val="single" w:color="000000" w:sz="8" w:space="0"/>
              <w:right w:val="nil"/>
            </w:tcBorders>
          </w:tcPr>
          <w:p w14:paraId="04B00298">
            <w:pPr>
              <w:autoSpaceDE w:val="0"/>
              <w:autoSpaceDN w:val="0"/>
              <w:spacing w:line="400" w:lineRule="exact"/>
              <w:ind w:firstLine="1866"/>
              <w:rPr>
                <w:rFonts w:ascii="宋体" w:hAnsi="宋体" w:eastAsiaTheme="minorEastAsia"/>
                <w:spacing w:val="-4"/>
                <w:kern w:val="0"/>
                <w:szCs w:val="21"/>
              </w:rPr>
            </w:pPr>
          </w:p>
        </w:tc>
      </w:tr>
      <w:tr w14:paraId="6D2A69C3">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PrEx>
        <w:tc>
          <w:tcPr>
            <w:tcW w:w="8529" w:type="dxa"/>
            <w:tcBorders>
              <w:top w:val="single" w:color="000000" w:sz="8" w:space="0"/>
              <w:left w:val="nil"/>
              <w:bottom w:val="single" w:color="000000" w:sz="8" w:space="0"/>
              <w:right w:val="nil"/>
            </w:tcBorders>
          </w:tcPr>
          <w:p w14:paraId="068A8C8F">
            <w:pPr>
              <w:autoSpaceDE w:val="0"/>
              <w:autoSpaceDN w:val="0"/>
              <w:spacing w:line="400" w:lineRule="exact"/>
              <w:ind w:firstLine="1866"/>
              <w:rPr>
                <w:rFonts w:ascii="宋体" w:hAnsi="宋体" w:eastAsiaTheme="minorEastAsia"/>
                <w:spacing w:val="-4"/>
                <w:kern w:val="0"/>
                <w:szCs w:val="21"/>
              </w:rPr>
            </w:pPr>
          </w:p>
        </w:tc>
      </w:tr>
      <w:tr w14:paraId="1A33AE98">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PrEx>
        <w:tc>
          <w:tcPr>
            <w:tcW w:w="8529" w:type="dxa"/>
            <w:tcBorders>
              <w:top w:val="single" w:color="000000" w:sz="8" w:space="0"/>
              <w:left w:val="nil"/>
              <w:bottom w:val="single" w:color="auto" w:sz="8" w:space="0"/>
              <w:right w:val="nil"/>
            </w:tcBorders>
          </w:tcPr>
          <w:p w14:paraId="28E1AD83">
            <w:pPr>
              <w:autoSpaceDE w:val="0"/>
              <w:autoSpaceDN w:val="0"/>
              <w:spacing w:line="400" w:lineRule="exact"/>
              <w:ind w:firstLine="1866"/>
              <w:rPr>
                <w:rFonts w:ascii="宋体" w:hAnsi="宋体" w:eastAsiaTheme="minorEastAsia"/>
                <w:spacing w:val="-4"/>
                <w:kern w:val="0"/>
                <w:szCs w:val="21"/>
              </w:rPr>
            </w:pPr>
          </w:p>
        </w:tc>
      </w:tr>
    </w:tbl>
    <w:p w14:paraId="3CD1D7B8">
      <w:pPr>
        <w:widowControl/>
        <w:wordWrap w:val="0"/>
        <w:autoSpaceDE w:val="0"/>
        <w:autoSpaceDN w:val="0"/>
        <w:spacing w:line="400" w:lineRule="exact"/>
        <w:ind w:right="808" w:firstLine="404" w:firstLineChars="200"/>
        <w:jc w:val="right"/>
        <w:rPr>
          <w:rFonts w:ascii="宋体" w:hAnsi="宋体" w:eastAsiaTheme="minorEastAsia"/>
          <w:spacing w:val="-4"/>
          <w:kern w:val="0"/>
          <w:szCs w:val="21"/>
          <w:u w:val="single"/>
        </w:rPr>
      </w:pPr>
      <w:r>
        <w:rPr>
          <w:rFonts w:hint="eastAsia" w:ascii="宋体" w:hAnsi="宋体" w:eastAsiaTheme="minorEastAsia"/>
          <w:spacing w:val="-4"/>
          <w:kern w:val="0"/>
          <w:szCs w:val="21"/>
        </w:rPr>
        <w:t>负责人/投标授权代表签名：</w:t>
      </w:r>
      <w:r>
        <w:rPr>
          <w:rFonts w:hint="eastAsia" w:ascii="宋体" w:hAnsi="宋体" w:eastAsiaTheme="minorEastAsia"/>
          <w:spacing w:val="-4"/>
          <w:kern w:val="0"/>
          <w:szCs w:val="21"/>
          <w:u w:val="single"/>
        </w:rPr>
        <w:t xml:space="preserve">              </w:t>
      </w:r>
    </w:p>
    <w:p w14:paraId="34F1CC26">
      <w:pPr>
        <w:widowControl/>
        <w:wordWrap w:val="0"/>
        <w:autoSpaceDE w:val="0"/>
        <w:autoSpaceDN w:val="0"/>
        <w:spacing w:line="400" w:lineRule="exact"/>
        <w:ind w:right="808" w:firstLine="404" w:firstLineChars="200"/>
        <w:jc w:val="right"/>
        <w:rPr>
          <w:rFonts w:ascii="宋体" w:hAnsi="宋体" w:eastAsiaTheme="minorEastAsia"/>
          <w:spacing w:val="-4"/>
          <w:kern w:val="0"/>
          <w:szCs w:val="21"/>
          <w:u w:val="single"/>
        </w:rPr>
      </w:pPr>
      <w:r>
        <w:rPr>
          <w:rFonts w:hint="eastAsia" w:ascii="宋体" w:hAnsi="宋体" w:eastAsiaTheme="minorEastAsia"/>
          <w:spacing w:val="-4"/>
          <w:kern w:val="0"/>
          <w:szCs w:val="21"/>
        </w:rPr>
        <w:t>知悉人（公章）：</w:t>
      </w:r>
      <w:r>
        <w:rPr>
          <w:rFonts w:hint="eastAsia" w:ascii="宋体" w:hAnsi="宋体" w:eastAsiaTheme="minorEastAsia"/>
          <w:spacing w:val="-4"/>
          <w:kern w:val="0"/>
          <w:szCs w:val="21"/>
          <w:u w:val="single"/>
        </w:rPr>
        <w:t xml:space="preserve">              </w:t>
      </w:r>
    </w:p>
    <w:p w14:paraId="7B9D6C87">
      <w:pPr>
        <w:widowControl/>
        <w:wordWrap w:val="0"/>
        <w:autoSpaceDE w:val="0"/>
        <w:autoSpaceDN w:val="0"/>
        <w:spacing w:line="400" w:lineRule="exact"/>
        <w:ind w:right="808" w:firstLine="404" w:firstLineChars="200"/>
        <w:jc w:val="right"/>
        <w:rPr>
          <w:rFonts w:ascii="宋体" w:hAnsi="宋体" w:eastAsiaTheme="minorEastAsia"/>
          <w:spacing w:val="-4"/>
          <w:kern w:val="0"/>
          <w:szCs w:val="21"/>
        </w:rPr>
      </w:pPr>
      <w:r>
        <w:rPr>
          <w:rFonts w:hint="eastAsia" w:ascii="宋体" w:hAnsi="宋体" w:eastAsiaTheme="minorEastAsia"/>
          <w:spacing w:val="-4"/>
          <w:kern w:val="0"/>
          <w:szCs w:val="21"/>
        </w:rPr>
        <w:t xml:space="preserve">    </w:t>
      </w:r>
      <w:r>
        <w:rPr>
          <w:rFonts w:hint="eastAsia" w:ascii="宋体" w:hAnsi="宋体" w:eastAsiaTheme="minorEastAsia"/>
          <w:spacing w:val="-4"/>
          <w:kern w:val="0"/>
          <w:szCs w:val="21"/>
          <w:lang w:val="en-US" w:eastAsia="zh-CN"/>
        </w:rPr>
        <w:t xml:space="preserve">      </w:t>
      </w:r>
      <w:r>
        <w:rPr>
          <w:rFonts w:hint="eastAsia" w:ascii="宋体" w:hAnsi="宋体" w:eastAsiaTheme="minorEastAsia"/>
          <w:spacing w:val="-4"/>
          <w:kern w:val="0"/>
          <w:szCs w:val="21"/>
        </w:rPr>
        <w:t xml:space="preserve"> 日期：</w:t>
      </w:r>
      <w:r>
        <w:rPr>
          <w:rFonts w:hint="eastAsia" w:ascii="宋体" w:hAnsi="宋体" w:eastAsiaTheme="minorEastAsia"/>
          <w:spacing w:val="-4"/>
          <w:kern w:val="0"/>
          <w:szCs w:val="21"/>
          <w:u w:val="single"/>
        </w:rPr>
        <w:t xml:space="preserve">              </w:t>
      </w:r>
      <w:r>
        <w:rPr>
          <w:rFonts w:hint="eastAsia" w:ascii="宋体" w:hAnsi="宋体" w:eastAsiaTheme="minorEastAsia"/>
          <w:spacing w:val="-4"/>
          <w:kern w:val="0"/>
          <w:szCs w:val="21"/>
        </w:rPr>
        <w:t xml:space="preserve">     </w:t>
      </w:r>
    </w:p>
    <w:p w14:paraId="49C36FD7">
      <w:pPr>
        <w:keepNext w:val="0"/>
        <w:keepLines w:val="0"/>
        <w:pageBreakBefore w:val="0"/>
        <w:widowControl/>
        <w:kinsoku/>
        <w:wordWrap/>
        <w:overflowPunct/>
        <w:topLinePunct w:val="0"/>
        <w:autoSpaceDE w:val="0"/>
        <w:autoSpaceDN w:val="0"/>
        <w:bidi w:val="0"/>
        <w:adjustRightInd/>
        <w:snapToGrid/>
        <w:spacing w:line="360" w:lineRule="exact"/>
        <w:ind w:firstLine="404" w:firstLineChars="200"/>
        <w:jc w:val="left"/>
        <w:textAlignment w:val="auto"/>
        <w:rPr>
          <w:rFonts w:hint="eastAsia" w:ascii="宋体" w:hAnsi="宋体" w:eastAsia="宋体" w:cs="宋体"/>
          <w:b/>
          <w:bCs/>
          <w:color w:val="FF0000"/>
          <w:spacing w:val="-4"/>
          <w:kern w:val="0"/>
          <w:szCs w:val="21"/>
        </w:rPr>
      </w:pPr>
      <w:r>
        <w:rPr>
          <w:rFonts w:hint="eastAsia" w:ascii="宋体" w:hAnsi="宋体" w:eastAsia="宋体" w:cs="宋体"/>
          <w:b/>
          <w:bCs/>
          <w:color w:val="FF0000"/>
          <w:spacing w:val="-4"/>
          <w:kern w:val="0"/>
          <w:szCs w:val="21"/>
        </w:rPr>
        <w:t>注：</w:t>
      </w:r>
    </w:p>
    <w:p w14:paraId="55755268">
      <w:pPr>
        <w:keepNext w:val="0"/>
        <w:keepLines w:val="0"/>
        <w:pageBreakBefore w:val="0"/>
        <w:widowControl/>
        <w:kinsoku/>
        <w:wordWrap/>
        <w:overflowPunct/>
        <w:topLinePunct w:val="0"/>
        <w:autoSpaceDE w:val="0"/>
        <w:autoSpaceDN w:val="0"/>
        <w:bidi w:val="0"/>
        <w:adjustRightInd/>
        <w:snapToGrid/>
        <w:spacing w:line="360" w:lineRule="exact"/>
        <w:ind w:firstLine="404" w:firstLineChars="200"/>
        <w:jc w:val="left"/>
        <w:textAlignment w:val="auto"/>
        <w:rPr>
          <w:rFonts w:hint="eastAsia" w:ascii="宋体" w:hAnsi="宋体" w:eastAsia="宋体" w:cs="宋体"/>
          <w:b/>
          <w:bCs/>
          <w:color w:val="FF0000"/>
          <w:spacing w:val="-4"/>
          <w:kern w:val="0"/>
          <w:szCs w:val="21"/>
        </w:rPr>
      </w:pPr>
      <w:r>
        <w:rPr>
          <w:rFonts w:hint="eastAsia" w:ascii="宋体" w:hAnsi="宋体" w:eastAsia="宋体" w:cs="宋体"/>
          <w:b/>
          <w:bCs/>
          <w:color w:val="FF0000"/>
          <w:spacing w:val="-4"/>
          <w:kern w:val="0"/>
          <w:szCs w:val="21"/>
        </w:rPr>
        <w:t>1.</w:t>
      </w:r>
      <w:r>
        <w:rPr>
          <w:rFonts w:hint="eastAsia" w:ascii="宋体" w:hAnsi="宋体" w:eastAsia="宋体" w:cs="宋体"/>
        </w:rPr>
        <w:t xml:space="preserve"> </w:t>
      </w:r>
      <w:r>
        <w:rPr>
          <w:rFonts w:hint="eastAsia" w:ascii="宋体" w:hAnsi="宋体" w:eastAsia="宋体" w:cs="宋体"/>
          <w:b/>
          <w:bCs/>
          <w:color w:val="FF0000"/>
          <w:spacing w:val="-4"/>
          <w:kern w:val="0"/>
          <w:szCs w:val="21"/>
        </w:rPr>
        <w:t>根据《深圳市财政局关于采购文件增加风险告知有关事项的通知》（深财购〔2022〕22 号），该风险知悉确认书用于对供应商违法行为的警示，不作为供应商资格性审查及符合性审查条件。</w:t>
      </w:r>
    </w:p>
    <w:p w14:paraId="38F681B5">
      <w:pPr>
        <w:keepNext w:val="0"/>
        <w:keepLines w:val="0"/>
        <w:pageBreakBefore w:val="0"/>
        <w:widowControl/>
        <w:kinsoku/>
        <w:wordWrap/>
        <w:overflowPunct/>
        <w:topLinePunct w:val="0"/>
        <w:autoSpaceDE w:val="0"/>
        <w:autoSpaceDN w:val="0"/>
        <w:bidi w:val="0"/>
        <w:adjustRightInd/>
        <w:snapToGrid/>
        <w:spacing w:line="360" w:lineRule="exact"/>
        <w:ind w:firstLine="404" w:firstLineChars="200"/>
        <w:jc w:val="left"/>
        <w:textAlignment w:val="auto"/>
        <w:rPr>
          <w:rFonts w:hint="eastAsia" w:ascii="宋体" w:hAnsi="宋体" w:eastAsia="宋体" w:cs="宋体"/>
          <w:color w:val="FF0000"/>
          <w:spacing w:val="-4"/>
          <w:kern w:val="0"/>
          <w:szCs w:val="21"/>
        </w:rPr>
      </w:pPr>
      <w:r>
        <w:rPr>
          <w:rFonts w:hint="eastAsia" w:ascii="宋体" w:hAnsi="宋体" w:eastAsia="宋体" w:cs="宋体"/>
          <w:b/>
          <w:bCs/>
          <w:color w:val="FF0000"/>
          <w:spacing w:val="-4"/>
          <w:kern w:val="0"/>
          <w:szCs w:val="21"/>
        </w:rPr>
        <w:t>2.投标供应商负责人或投标授权代表签字</w:t>
      </w:r>
      <w:r>
        <w:rPr>
          <w:rFonts w:hint="eastAsia" w:ascii="宋体" w:hAnsi="宋体" w:eastAsia="宋体" w:cs="宋体"/>
          <w:b/>
          <w:bCs/>
          <w:color w:val="FF0000"/>
          <w:spacing w:val="-4"/>
          <w:kern w:val="0"/>
          <w:szCs w:val="21"/>
          <w:highlight w:val="yellow"/>
        </w:rPr>
        <w:t>并加盖单位公章</w:t>
      </w:r>
      <w:r>
        <w:rPr>
          <w:rFonts w:hint="eastAsia" w:ascii="宋体" w:hAnsi="宋体" w:eastAsia="宋体" w:cs="宋体"/>
          <w:b/>
          <w:bCs/>
          <w:color w:val="FF0000"/>
          <w:spacing w:val="-4"/>
          <w:kern w:val="0"/>
          <w:szCs w:val="21"/>
        </w:rPr>
        <w:t>后，扫描上传至投标文件一并提交。</w:t>
      </w:r>
    </w:p>
    <w:p w14:paraId="2445F849">
      <w:pPr>
        <w:widowControl/>
        <w:autoSpaceDE w:val="0"/>
        <w:autoSpaceDN w:val="0"/>
        <w:spacing w:line="400" w:lineRule="exact"/>
        <w:ind w:right="1414" w:firstLine="480" w:firstLineChars="200"/>
        <w:jc w:val="right"/>
        <w:rPr>
          <w:rFonts w:eastAsiaTheme="minorEastAsia"/>
          <w:kern w:val="0"/>
          <w:sz w:val="24"/>
        </w:rPr>
      </w:pPr>
    </w:p>
    <w:p w14:paraId="0530CE5C">
      <w:pPr>
        <w:jc w:val="center"/>
        <w:rPr>
          <w:rFonts w:hint="eastAsia" w:ascii="黑体" w:eastAsia="黑体"/>
          <w:b w:val="0"/>
          <w:bCs w:val="0"/>
          <w:sz w:val="24"/>
          <w:szCs w:val="20"/>
          <w:lang w:val="en-US" w:eastAsia="zh-CN"/>
        </w:rPr>
      </w:pPr>
      <w:r>
        <w:rPr>
          <w:rFonts w:hint="eastAsia" w:ascii="黑体" w:eastAsia="黑体"/>
          <w:b w:val="0"/>
          <w:bCs w:val="0"/>
          <w:sz w:val="24"/>
          <w:szCs w:val="20"/>
          <w:lang w:val="en-US" w:eastAsia="zh-CN"/>
        </w:rPr>
        <w:t>（二）订单融资情况</w:t>
      </w:r>
    </w:p>
    <w:p w14:paraId="4E1ADE3B">
      <w:pPr>
        <w:keepNext w:val="0"/>
        <w:keepLines w:val="0"/>
        <w:pageBreakBefore w:val="0"/>
        <w:widowControl w:val="0"/>
        <w:kinsoku/>
        <w:wordWrap w:val="0"/>
        <w:overflowPunct/>
        <w:topLinePunct w:val="0"/>
        <w:autoSpaceDE/>
        <w:autoSpaceDN/>
        <w:bidi w:val="0"/>
        <w:adjustRightInd/>
        <w:snapToGrid/>
        <w:spacing w:line="240" w:lineRule="auto"/>
        <w:ind w:left="0" w:leftChars="0" w:firstLine="420" w:firstLineChars="200"/>
        <w:textAlignment w:val="auto"/>
        <w:rPr>
          <w:rFonts w:hint="eastAsia" w:ascii="宋体" w:hAnsi="宋体" w:eastAsia="宋体" w:cs="宋体"/>
          <w:b/>
          <w:bCs/>
        </w:rPr>
      </w:pPr>
      <w:r>
        <w:rPr>
          <w:rFonts w:hint="eastAsia" w:ascii="宋体" w:hAnsi="宋体" w:eastAsia="宋体" w:cs="宋体"/>
          <w:b/>
          <w:bCs/>
          <w:lang w:val="en-US" w:eastAsia="zh-CN"/>
        </w:rPr>
        <w:t>1</w:t>
      </w:r>
      <w:r>
        <w:rPr>
          <w:rFonts w:hint="eastAsia" w:ascii="宋体" w:hAnsi="宋体" w:eastAsia="宋体" w:cs="宋体"/>
          <w:b/>
          <w:bCs/>
          <w:lang w:eastAsia="zh-CN"/>
        </w:rPr>
        <w:t>、</w:t>
      </w:r>
      <w:r>
        <w:rPr>
          <w:rFonts w:hint="eastAsia" w:ascii="宋体" w:hAnsi="宋体" w:eastAsia="宋体" w:cs="宋体"/>
          <w:b/>
          <w:bCs/>
        </w:rPr>
        <w:t>关于政府采购订单融资政策</w:t>
      </w:r>
    </w:p>
    <w:p w14:paraId="52541C37">
      <w:pPr>
        <w:pStyle w:val="2"/>
        <w:keepNext w:val="0"/>
        <w:keepLines w:val="0"/>
        <w:pageBreakBefore w:val="0"/>
        <w:widowControl w:val="0"/>
        <w:kinsoku/>
        <w:wordWrap w:val="0"/>
        <w:overflowPunct/>
        <w:topLinePunct w:val="0"/>
        <w:autoSpaceDE/>
        <w:autoSpaceDN/>
        <w:bidi w:val="0"/>
        <w:adjustRightInd/>
        <w:snapToGrid/>
        <w:spacing w:line="240" w:lineRule="auto"/>
        <w:ind w:left="0" w:leftChars="0" w:firstLine="420" w:firstLineChars="200"/>
        <w:textAlignment w:val="auto"/>
        <w:rPr>
          <w:rFonts w:hint="eastAsia" w:ascii="宋体" w:hAnsi="宋体" w:eastAsia="宋体" w:cs="宋体"/>
          <w:b w:val="0"/>
          <w:bCs/>
          <w:kern w:val="2"/>
          <w:sz w:val="21"/>
          <w:szCs w:val="21"/>
          <w:lang w:val="en-US" w:eastAsia="zh-CN" w:bidi="ar-SA"/>
        </w:rPr>
      </w:pPr>
      <w:r>
        <w:rPr>
          <w:rFonts w:hint="eastAsia" w:ascii="宋体" w:hAnsi="宋体" w:eastAsia="宋体" w:cs="宋体"/>
          <w:b w:val="0"/>
          <w:bCs/>
          <w:kern w:val="2"/>
          <w:sz w:val="21"/>
          <w:szCs w:val="21"/>
          <w:lang w:val="en-US" w:eastAsia="zh-CN" w:bidi="ar-SA"/>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https://finance.szexgrp.com/gtm/web/guarantee/#/)，相关政策法规参阅深圳市政府采购监管网（http://zfcg.sz.gov.cn/）信息公开栏目。</w:t>
      </w:r>
    </w:p>
    <w:p w14:paraId="683CD718">
      <w:pPr>
        <w:keepNext w:val="0"/>
        <w:keepLines w:val="0"/>
        <w:pageBreakBefore w:val="0"/>
        <w:widowControl w:val="0"/>
        <w:kinsoku/>
        <w:wordWrap w:val="0"/>
        <w:overflowPunct/>
        <w:topLinePunct w:val="0"/>
        <w:autoSpaceDE/>
        <w:autoSpaceDN/>
        <w:bidi w:val="0"/>
        <w:adjustRightInd/>
        <w:snapToGrid/>
        <w:spacing w:line="240" w:lineRule="auto"/>
        <w:ind w:left="0" w:leftChars="0" w:firstLine="420" w:firstLineChars="200"/>
        <w:textAlignment w:val="auto"/>
        <w:rPr>
          <w:rFonts w:hint="eastAsia" w:ascii="宋体" w:hAnsi="宋体" w:eastAsia="宋体" w:cs="宋体"/>
          <w:b/>
          <w:bCs/>
          <w:lang w:val="en-US" w:eastAsia="zh-CN"/>
        </w:rPr>
      </w:pPr>
      <w:r>
        <w:rPr>
          <w:rFonts w:hint="eastAsia" w:ascii="宋体" w:hAnsi="宋体" w:eastAsia="宋体" w:cs="宋体"/>
          <w:b/>
          <w:bCs/>
          <w:lang w:val="en-US" w:eastAsia="zh-CN"/>
        </w:rPr>
        <w:t>2</w:t>
      </w:r>
      <w:r>
        <w:rPr>
          <w:rFonts w:hint="eastAsia" w:ascii="宋体" w:hAnsi="宋体" w:eastAsia="宋体" w:cs="宋体"/>
          <w:b/>
          <w:bCs/>
          <w:lang w:eastAsia="zh-CN"/>
        </w:rPr>
        <w:t>、</w:t>
      </w:r>
      <w:r>
        <w:rPr>
          <w:rFonts w:hint="eastAsia" w:ascii="宋体" w:hAnsi="宋体" w:eastAsia="宋体" w:cs="宋体"/>
          <w:b/>
          <w:bCs/>
          <w:lang w:val="en-US" w:eastAsia="zh-CN"/>
        </w:rPr>
        <w:t>供应商账户信息</w:t>
      </w:r>
    </w:p>
    <w:p w14:paraId="3DC727B6">
      <w:pPr>
        <w:keepNext w:val="0"/>
        <w:keepLines w:val="0"/>
        <w:pageBreakBefore w:val="0"/>
        <w:widowControl w:val="0"/>
        <w:kinsoku/>
        <w:wordWrap w:val="0"/>
        <w:overflowPunct/>
        <w:topLinePunct w:val="0"/>
        <w:autoSpaceDE/>
        <w:autoSpaceDN/>
        <w:bidi w:val="0"/>
        <w:adjustRightInd/>
        <w:snapToGrid/>
        <w:ind w:left="0" w:leftChars="0" w:firstLine="210" w:firstLineChars="100"/>
        <w:textAlignment w:val="auto"/>
        <w:rPr>
          <w:rFonts w:hint="eastAsia" w:ascii="宋体" w:hAnsi="宋体" w:eastAsia="宋体" w:cs="宋体"/>
          <w:szCs w:val="21"/>
        </w:rPr>
      </w:pPr>
      <w:r>
        <w:rPr>
          <w:rFonts w:hint="eastAsia" w:ascii="宋体" w:hAnsi="宋体" w:eastAsia="宋体" w:cs="宋体"/>
          <w:szCs w:val="21"/>
        </w:rPr>
        <w:t>投标人</w:t>
      </w:r>
      <w:r>
        <w:rPr>
          <w:rFonts w:hint="eastAsia" w:ascii="宋体" w:hAnsi="宋体" w:eastAsia="宋体" w:cs="宋体"/>
          <w:szCs w:val="21"/>
          <w:lang w:eastAsia="zh-CN"/>
        </w:rPr>
        <w:t>（</w:t>
      </w:r>
      <w:r>
        <w:rPr>
          <w:rFonts w:hint="eastAsia" w:ascii="宋体" w:hAnsi="宋体" w:eastAsia="宋体" w:cs="宋体"/>
          <w:szCs w:val="21"/>
          <w:lang w:val="en-US" w:eastAsia="zh-CN"/>
        </w:rPr>
        <w:t>单位全称</w:t>
      </w:r>
      <w:r>
        <w:rPr>
          <w:rFonts w:hint="eastAsia" w:ascii="宋体" w:hAnsi="宋体" w:eastAsia="宋体" w:cs="宋体"/>
          <w:szCs w:val="21"/>
          <w:lang w:eastAsia="zh-CN"/>
        </w:rPr>
        <w:t>）</w:t>
      </w:r>
      <w:r>
        <w:rPr>
          <w:rFonts w:hint="eastAsia" w:ascii="宋体" w:hAnsi="宋体" w:eastAsia="宋体" w:cs="宋体"/>
          <w:szCs w:val="21"/>
        </w:rPr>
        <w:t>：</w:t>
      </w:r>
      <w:r>
        <w:rPr>
          <w:rFonts w:hint="eastAsia" w:ascii="宋体" w:hAnsi="宋体" w:eastAsia="宋体" w:cs="宋体"/>
          <w:szCs w:val="21"/>
          <w:u w:val="thick"/>
        </w:rPr>
        <w:t xml:space="preserve">       </w:t>
      </w:r>
      <w:r>
        <w:rPr>
          <w:rFonts w:hint="eastAsia" w:ascii="宋体" w:hAnsi="宋体" w:eastAsia="宋体" w:cs="宋体"/>
          <w:szCs w:val="21"/>
          <w:u w:val="thick"/>
          <w:lang w:val="en-US" w:eastAsia="zh-CN"/>
        </w:rPr>
        <w:t xml:space="preserve">         </w:t>
      </w:r>
      <w:r>
        <w:rPr>
          <w:rFonts w:hint="eastAsia" w:ascii="宋体" w:hAnsi="宋体" w:eastAsia="宋体" w:cs="宋体"/>
          <w:szCs w:val="21"/>
          <w:lang w:eastAsia="zh-CN"/>
        </w:rPr>
        <w:t>；</w:t>
      </w:r>
      <w:r>
        <w:rPr>
          <w:rFonts w:hint="eastAsia" w:ascii="宋体" w:hAnsi="宋体" w:eastAsia="宋体" w:cs="宋体"/>
          <w:szCs w:val="21"/>
        </w:rPr>
        <w:t xml:space="preserve">  </w:t>
      </w:r>
    </w:p>
    <w:p w14:paraId="1241A98C">
      <w:pPr>
        <w:keepNext w:val="0"/>
        <w:keepLines w:val="0"/>
        <w:pageBreakBefore w:val="0"/>
        <w:widowControl w:val="0"/>
        <w:kinsoku/>
        <w:wordWrap w:val="0"/>
        <w:overflowPunct/>
        <w:topLinePunct w:val="0"/>
        <w:autoSpaceDE/>
        <w:autoSpaceDN/>
        <w:bidi w:val="0"/>
        <w:adjustRightInd/>
        <w:snapToGrid/>
        <w:ind w:left="0" w:leftChars="0" w:firstLine="210" w:firstLineChars="100"/>
        <w:textAlignment w:val="auto"/>
        <w:rPr>
          <w:rFonts w:hint="eastAsia" w:ascii="宋体" w:hAnsi="宋体" w:eastAsia="宋体" w:cs="宋体"/>
          <w:szCs w:val="21"/>
          <w:u w:val="none"/>
          <w:lang w:eastAsia="zh-CN"/>
        </w:rPr>
      </w:pPr>
      <w:r>
        <w:rPr>
          <w:rFonts w:hint="eastAsia" w:ascii="宋体" w:hAnsi="宋体" w:eastAsia="宋体" w:cs="宋体"/>
          <w:szCs w:val="21"/>
          <w:lang w:val="en-US" w:eastAsia="zh-CN"/>
        </w:rPr>
        <w:t>投标人</w:t>
      </w:r>
      <w:r>
        <w:rPr>
          <w:rFonts w:hint="eastAsia" w:ascii="宋体" w:hAnsi="宋体" w:eastAsia="宋体" w:cs="宋体"/>
          <w:szCs w:val="21"/>
        </w:rPr>
        <w:t>单位地址：</w:t>
      </w:r>
      <w:r>
        <w:rPr>
          <w:rFonts w:hint="eastAsia" w:ascii="宋体" w:hAnsi="宋体" w:eastAsia="宋体" w:cs="宋体"/>
          <w:szCs w:val="21"/>
          <w:u w:val="thick"/>
        </w:rPr>
        <w:t xml:space="preserve">       </w:t>
      </w:r>
      <w:r>
        <w:rPr>
          <w:rFonts w:hint="eastAsia" w:ascii="宋体" w:hAnsi="宋体" w:eastAsia="宋体" w:cs="宋体"/>
          <w:szCs w:val="21"/>
          <w:u w:val="thick"/>
          <w:lang w:val="en-US" w:eastAsia="zh-CN"/>
        </w:rPr>
        <w:t xml:space="preserve">             </w:t>
      </w:r>
      <w:r>
        <w:rPr>
          <w:rFonts w:hint="eastAsia" w:ascii="宋体" w:hAnsi="宋体" w:eastAsia="宋体" w:cs="宋体"/>
          <w:szCs w:val="21"/>
          <w:u w:val="none"/>
          <w:lang w:eastAsia="zh-CN"/>
        </w:rPr>
        <w:t>；</w:t>
      </w:r>
    </w:p>
    <w:p w14:paraId="6405F5C2">
      <w:pPr>
        <w:keepNext w:val="0"/>
        <w:keepLines w:val="0"/>
        <w:pageBreakBefore w:val="0"/>
        <w:widowControl w:val="0"/>
        <w:kinsoku/>
        <w:wordWrap w:val="0"/>
        <w:overflowPunct/>
        <w:topLinePunct w:val="0"/>
        <w:autoSpaceDE/>
        <w:autoSpaceDN/>
        <w:bidi w:val="0"/>
        <w:adjustRightInd/>
        <w:snapToGrid/>
        <w:ind w:left="0" w:leftChars="0" w:firstLine="210" w:firstLineChars="100"/>
        <w:textAlignment w:val="auto"/>
        <w:rPr>
          <w:rFonts w:hint="eastAsia" w:ascii="宋体" w:hAnsi="宋体" w:eastAsia="宋体" w:cs="宋体"/>
          <w:szCs w:val="21"/>
          <w:u w:val="none"/>
          <w:lang w:eastAsia="zh-CN"/>
        </w:rPr>
      </w:pPr>
      <w:r>
        <w:rPr>
          <w:rFonts w:hint="eastAsia" w:ascii="宋体" w:hAnsi="宋体" w:eastAsia="宋体" w:cs="宋体"/>
          <w:szCs w:val="21"/>
        </w:rPr>
        <w:t>法定代表人（负责人）或其</w:t>
      </w:r>
      <w:r>
        <w:rPr>
          <w:rFonts w:hint="eastAsia" w:ascii="宋体" w:hAnsi="宋体" w:eastAsia="宋体" w:cs="宋体"/>
          <w:szCs w:val="21"/>
          <w:lang w:val="en-US" w:eastAsia="zh-CN"/>
        </w:rPr>
        <w:t>授权</w:t>
      </w:r>
      <w:r>
        <w:rPr>
          <w:rFonts w:hint="eastAsia" w:ascii="宋体" w:hAnsi="宋体" w:eastAsia="宋体" w:cs="宋体"/>
          <w:szCs w:val="21"/>
        </w:rPr>
        <w:t>委托代理人：</w:t>
      </w:r>
      <w:r>
        <w:rPr>
          <w:rFonts w:hint="eastAsia" w:ascii="宋体" w:hAnsi="宋体" w:eastAsia="宋体" w:cs="宋体"/>
          <w:szCs w:val="21"/>
          <w:u w:val="thick"/>
        </w:rPr>
        <w:t xml:space="preserve">       </w:t>
      </w:r>
      <w:r>
        <w:rPr>
          <w:rFonts w:hint="eastAsia" w:ascii="宋体" w:hAnsi="宋体" w:eastAsia="宋体" w:cs="宋体"/>
          <w:szCs w:val="21"/>
          <w:u w:val="thick"/>
          <w:lang w:val="en-US" w:eastAsia="zh-CN"/>
        </w:rPr>
        <w:t xml:space="preserve">    </w:t>
      </w:r>
      <w:r>
        <w:rPr>
          <w:rFonts w:hint="eastAsia" w:ascii="宋体" w:hAnsi="宋体" w:eastAsia="宋体" w:cs="宋体"/>
          <w:szCs w:val="21"/>
          <w:u w:val="thick"/>
        </w:rPr>
        <w:t xml:space="preserve"> </w:t>
      </w:r>
      <w:r>
        <w:rPr>
          <w:rFonts w:hint="eastAsia" w:ascii="宋体" w:hAnsi="宋体" w:eastAsia="宋体" w:cs="宋体"/>
          <w:szCs w:val="21"/>
          <w:u w:val="thick"/>
          <w:lang w:val="en-US" w:eastAsia="zh-CN"/>
        </w:rPr>
        <w:t xml:space="preserve">   </w:t>
      </w:r>
      <w:r>
        <w:rPr>
          <w:rFonts w:hint="eastAsia" w:ascii="宋体" w:hAnsi="宋体" w:eastAsia="宋体" w:cs="宋体"/>
          <w:szCs w:val="21"/>
          <w:u w:val="none"/>
          <w:lang w:eastAsia="zh-CN"/>
        </w:rPr>
        <w:t>；</w:t>
      </w:r>
    </w:p>
    <w:p w14:paraId="43E9B37B">
      <w:pPr>
        <w:keepNext w:val="0"/>
        <w:keepLines w:val="0"/>
        <w:pageBreakBefore w:val="0"/>
        <w:widowControl w:val="0"/>
        <w:kinsoku/>
        <w:wordWrap w:val="0"/>
        <w:overflowPunct/>
        <w:topLinePunct w:val="0"/>
        <w:autoSpaceDE/>
        <w:autoSpaceDN/>
        <w:bidi w:val="0"/>
        <w:adjustRightInd/>
        <w:snapToGrid/>
        <w:ind w:left="0" w:leftChars="0" w:firstLine="210" w:firstLineChars="100"/>
        <w:textAlignment w:val="auto"/>
        <w:rPr>
          <w:rFonts w:hint="eastAsia" w:ascii="宋体" w:hAnsi="宋体" w:eastAsia="宋体" w:cs="宋体"/>
          <w:szCs w:val="21"/>
          <w:u w:val="thick"/>
        </w:rPr>
      </w:pPr>
      <w:r>
        <w:rPr>
          <w:rFonts w:hint="eastAsia" w:ascii="宋体" w:hAnsi="宋体" w:eastAsia="宋体" w:cs="宋体"/>
          <w:szCs w:val="21"/>
          <w:lang w:val="en-US" w:eastAsia="zh-CN"/>
        </w:rPr>
        <w:t>联系</w:t>
      </w:r>
      <w:r>
        <w:rPr>
          <w:rFonts w:hint="eastAsia" w:ascii="宋体" w:hAnsi="宋体" w:eastAsia="宋体" w:cs="宋体"/>
          <w:szCs w:val="21"/>
        </w:rPr>
        <w:t>电话</w:t>
      </w:r>
      <w:r>
        <w:rPr>
          <w:rFonts w:hint="eastAsia" w:ascii="宋体" w:hAnsi="宋体" w:eastAsia="宋体" w:cs="宋体"/>
          <w:szCs w:val="21"/>
          <w:u w:val="none"/>
        </w:rPr>
        <w:t>：</w:t>
      </w:r>
      <w:r>
        <w:rPr>
          <w:rFonts w:hint="eastAsia" w:ascii="宋体" w:hAnsi="宋体" w:eastAsia="宋体" w:cs="宋体"/>
          <w:szCs w:val="21"/>
          <w:u w:val="thick"/>
        </w:rPr>
        <w:t xml:space="preserve">        </w:t>
      </w:r>
      <w:r>
        <w:rPr>
          <w:rFonts w:hint="eastAsia" w:ascii="宋体" w:hAnsi="宋体" w:eastAsia="宋体" w:cs="宋体"/>
          <w:szCs w:val="21"/>
          <w:u w:val="thick"/>
          <w:lang w:val="en-US" w:eastAsia="zh-CN"/>
        </w:rPr>
        <w:t xml:space="preserve">             </w:t>
      </w:r>
      <w:r>
        <w:rPr>
          <w:rFonts w:hint="eastAsia" w:ascii="宋体" w:hAnsi="宋体" w:eastAsia="宋体" w:cs="宋体"/>
          <w:szCs w:val="21"/>
          <w:u w:val="none"/>
          <w:lang w:eastAsia="zh-CN"/>
        </w:rPr>
        <w:t>；</w:t>
      </w:r>
    </w:p>
    <w:p w14:paraId="0CD3D792">
      <w:pPr>
        <w:keepNext w:val="0"/>
        <w:keepLines w:val="0"/>
        <w:pageBreakBefore w:val="0"/>
        <w:widowControl w:val="0"/>
        <w:kinsoku/>
        <w:wordWrap w:val="0"/>
        <w:overflowPunct/>
        <w:topLinePunct w:val="0"/>
        <w:autoSpaceDE/>
        <w:autoSpaceDN/>
        <w:bidi w:val="0"/>
        <w:adjustRightInd/>
        <w:snapToGrid/>
        <w:ind w:left="0" w:leftChars="0" w:firstLine="210" w:firstLineChars="100"/>
        <w:textAlignment w:val="auto"/>
        <w:rPr>
          <w:rFonts w:hint="eastAsia" w:ascii="宋体" w:hAnsi="宋体" w:eastAsia="宋体" w:cs="宋体"/>
          <w:szCs w:val="21"/>
          <w:u w:val="none"/>
          <w:lang w:eastAsia="zh-CN"/>
        </w:rPr>
      </w:pPr>
      <w:r>
        <w:rPr>
          <w:rFonts w:hint="eastAsia" w:ascii="宋体" w:hAnsi="宋体" w:eastAsia="宋体" w:cs="宋体"/>
          <w:szCs w:val="21"/>
          <w:lang w:val="en-US" w:eastAsia="zh-CN"/>
        </w:rPr>
        <w:t>开户银行名称：</w:t>
      </w:r>
      <w:r>
        <w:rPr>
          <w:rFonts w:hint="eastAsia" w:ascii="宋体" w:hAnsi="宋体" w:eastAsia="宋体" w:cs="宋体"/>
          <w:szCs w:val="21"/>
          <w:u w:val="thick"/>
        </w:rPr>
        <w:t xml:space="preserve">                   </w:t>
      </w:r>
      <w:r>
        <w:rPr>
          <w:rFonts w:hint="eastAsia" w:ascii="宋体" w:hAnsi="宋体" w:eastAsia="宋体" w:cs="宋体"/>
          <w:szCs w:val="21"/>
          <w:u w:val="none"/>
          <w:lang w:eastAsia="zh-CN"/>
        </w:rPr>
        <w:t>；</w:t>
      </w:r>
    </w:p>
    <w:p w14:paraId="4C555D68">
      <w:pPr>
        <w:keepNext w:val="0"/>
        <w:keepLines w:val="0"/>
        <w:pageBreakBefore w:val="0"/>
        <w:widowControl w:val="0"/>
        <w:kinsoku/>
        <w:wordWrap w:val="0"/>
        <w:overflowPunct/>
        <w:topLinePunct w:val="0"/>
        <w:autoSpaceDE/>
        <w:autoSpaceDN/>
        <w:bidi w:val="0"/>
        <w:adjustRightInd/>
        <w:snapToGrid/>
        <w:ind w:left="0" w:leftChars="0" w:firstLine="210" w:firstLineChars="100"/>
        <w:textAlignment w:val="auto"/>
        <w:rPr>
          <w:rFonts w:hint="eastAsia" w:ascii="宋体" w:hAnsi="宋体" w:eastAsia="宋体" w:cs="宋体"/>
          <w:szCs w:val="21"/>
          <w:u w:val="thick"/>
          <w:lang w:eastAsia="zh-CN"/>
        </w:rPr>
      </w:pPr>
      <w:r>
        <w:rPr>
          <w:rFonts w:hint="eastAsia" w:ascii="宋体" w:hAnsi="宋体" w:eastAsia="宋体" w:cs="宋体"/>
          <w:szCs w:val="21"/>
          <w:u w:val="none"/>
          <w:lang w:val="en-US" w:eastAsia="zh-CN"/>
        </w:rPr>
        <w:t>开户银行账号：</w:t>
      </w:r>
      <w:r>
        <w:rPr>
          <w:rFonts w:hint="eastAsia" w:ascii="宋体" w:hAnsi="宋体" w:eastAsia="宋体" w:cs="宋体"/>
          <w:szCs w:val="21"/>
          <w:u w:val="thick"/>
        </w:rPr>
        <w:t xml:space="preserve">      </w:t>
      </w:r>
      <w:r>
        <w:rPr>
          <w:rFonts w:hint="eastAsia" w:ascii="宋体" w:hAnsi="宋体" w:eastAsia="宋体" w:cs="宋体"/>
          <w:szCs w:val="21"/>
          <w:u w:val="thick"/>
          <w:lang w:val="en-US" w:eastAsia="zh-CN"/>
        </w:rPr>
        <w:t xml:space="preserve">            </w:t>
      </w:r>
      <w:r>
        <w:rPr>
          <w:rFonts w:hint="eastAsia" w:ascii="宋体" w:hAnsi="宋体" w:eastAsia="宋体" w:cs="宋体"/>
          <w:szCs w:val="21"/>
          <w:u w:val="thick"/>
        </w:rPr>
        <w:t xml:space="preserve"> </w:t>
      </w:r>
      <w:r>
        <w:rPr>
          <w:rFonts w:hint="eastAsia" w:ascii="宋体" w:hAnsi="宋体" w:eastAsia="宋体" w:cs="宋体"/>
          <w:szCs w:val="21"/>
          <w:u w:val="none"/>
          <w:lang w:eastAsia="zh-CN"/>
        </w:rPr>
        <w:t>；</w:t>
      </w:r>
    </w:p>
    <w:p w14:paraId="6E8899B3">
      <w:pPr>
        <w:keepNext w:val="0"/>
        <w:keepLines w:val="0"/>
        <w:pageBreakBefore w:val="0"/>
        <w:widowControl w:val="0"/>
        <w:kinsoku/>
        <w:wordWrap w:val="0"/>
        <w:overflowPunct/>
        <w:topLinePunct w:val="0"/>
        <w:autoSpaceDE/>
        <w:autoSpaceDN/>
        <w:bidi w:val="0"/>
        <w:adjustRightInd/>
        <w:snapToGrid/>
        <w:ind w:left="0" w:leftChars="0" w:firstLine="210" w:firstLineChars="100"/>
        <w:textAlignment w:val="auto"/>
        <w:rPr>
          <w:rFonts w:hint="eastAsia" w:ascii="宋体" w:hAnsi="宋体" w:eastAsia="宋体" w:cs="宋体"/>
          <w:szCs w:val="21"/>
          <w:u w:val="none"/>
          <w:lang w:eastAsia="zh-CN"/>
        </w:rPr>
      </w:pPr>
      <w:r>
        <w:rPr>
          <w:rFonts w:hint="eastAsia" w:ascii="宋体" w:hAnsi="宋体" w:eastAsia="宋体" w:cs="宋体"/>
          <w:szCs w:val="21"/>
          <w:u w:val="none"/>
          <w:lang w:val="en-US" w:eastAsia="zh-CN"/>
        </w:rPr>
        <w:t>开户银行地址：</w:t>
      </w:r>
      <w:r>
        <w:rPr>
          <w:rFonts w:hint="eastAsia" w:ascii="宋体" w:hAnsi="宋体" w:eastAsia="宋体" w:cs="宋体"/>
          <w:szCs w:val="21"/>
          <w:u w:val="thick"/>
        </w:rPr>
        <w:t xml:space="preserve">      </w:t>
      </w:r>
      <w:r>
        <w:rPr>
          <w:rFonts w:hint="eastAsia" w:ascii="宋体" w:hAnsi="宋体" w:eastAsia="宋体" w:cs="宋体"/>
          <w:szCs w:val="21"/>
          <w:u w:val="thick"/>
          <w:lang w:val="en-US" w:eastAsia="zh-CN"/>
        </w:rPr>
        <w:t xml:space="preserve">            </w:t>
      </w:r>
      <w:r>
        <w:rPr>
          <w:rFonts w:hint="eastAsia" w:ascii="宋体" w:hAnsi="宋体" w:eastAsia="宋体" w:cs="宋体"/>
          <w:szCs w:val="21"/>
          <w:u w:val="thick"/>
        </w:rPr>
        <w:t xml:space="preserve"> </w:t>
      </w:r>
      <w:r>
        <w:rPr>
          <w:rFonts w:hint="eastAsia" w:ascii="宋体" w:hAnsi="宋体" w:eastAsia="宋体" w:cs="宋体"/>
          <w:szCs w:val="21"/>
          <w:u w:val="none"/>
          <w:lang w:eastAsia="zh-CN"/>
        </w:rPr>
        <w:t>。</w:t>
      </w:r>
    </w:p>
    <w:p w14:paraId="004240D0">
      <w:pPr>
        <w:keepNext w:val="0"/>
        <w:keepLines w:val="0"/>
        <w:pageBreakBefore w:val="0"/>
        <w:widowControl w:val="0"/>
        <w:kinsoku/>
        <w:wordWrap w:val="0"/>
        <w:overflowPunct/>
        <w:topLinePunct w:val="0"/>
        <w:autoSpaceDE/>
        <w:autoSpaceDN/>
        <w:bidi w:val="0"/>
        <w:adjustRightInd/>
        <w:snapToGrid/>
        <w:ind w:left="0" w:leftChars="0" w:firstLine="210" w:firstLineChars="100"/>
        <w:textAlignment w:val="auto"/>
        <w:rPr>
          <w:sz w:val="24"/>
        </w:rPr>
      </w:pPr>
      <w:r>
        <w:rPr>
          <w:rFonts w:hint="eastAsia" w:ascii="宋体" w:hAnsi="宋体" w:eastAsia="宋体" w:cs="宋体"/>
          <w:szCs w:val="21"/>
          <w:u w:val="none"/>
        </w:rPr>
        <w:t xml:space="preserve"> </w:t>
      </w:r>
      <w:r>
        <w:rPr>
          <w:rFonts w:hint="eastAsia" w:ascii="宋体" w:hAnsi="宋体" w:eastAsia="宋体" w:cs="宋体"/>
          <w:b/>
          <w:bCs/>
          <w:color w:val="FF0000"/>
          <w:spacing w:val="-4"/>
          <w:kern w:val="0"/>
          <w:szCs w:val="21"/>
          <w:lang w:val="en-US" w:eastAsia="zh-CN"/>
        </w:rPr>
        <w:t>注：本项填写内容作为订单融资开展的参考信息，</w:t>
      </w:r>
      <w:r>
        <w:rPr>
          <w:rFonts w:hint="eastAsia" w:ascii="宋体" w:hAnsi="宋体" w:eastAsia="宋体" w:cs="宋体"/>
          <w:b/>
          <w:bCs/>
          <w:color w:val="FF0000"/>
          <w:spacing w:val="-4"/>
          <w:kern w:val="0"/>
          <w:szCs w:val="21"/>
        </w:rPr>
        <w:t>不作为供应商资格性审查及符合性审查条件。</w:t>
      </w:r>
    </w:p>
    <w:p w14:paraId="43BE697F">
      <w:pPr>
        <w:widowControl/>
        <w:spacing w:line="360" w:lineRule="auto"/>
        <w:jc w:val="left"/>
        <w:rPr>
          <w:rFonts w:eastAsiaTheme="minorEastAsia"/>
          <w:b/>
          <w:bCs/>
          <w:kern w:val="0"/>
          <w:sz w:val="24"/>
        </w:rPr>
      </w:pPr>
    </w:p>
    <w:p w14:paraId="4DA162B3">
      <w:pPr>
        <w:widowControl/>
        <w:jc w:val="center"/>
        <w:rPr>
          <w:rFonts w:ascii="黑体" w:hAnsi="宋体" w:eastAsia="黑体"/>
          <w:kern w:val="0"/>
          <w:sz w:val="24"/>
          <w:szCs w:val="20"/>
        </w:rPr>
      </w:pPr>
      <w:r>
        <w:rPr>
          <w:rFonts w:hint="eastAsia" w:ascii="黑体" w:hAnsi="宋体" w:eastAsia="黑体"/>
          <w:kern w:val="0"/>
          <w:sz w:val="24"/>
          <w:szCs w:val="20"/>
        </w:rPr>
        <w:t>（</w:t>
      </w:r>
      <w:r>
        <w:rPr>
          <w:rFonts w:hint="eastAsia" w:ascii="黑体" w:hAnsi="宋体" w:eastAsia="黑体"/>
          <w:kern w:val="0"/>
          <w:sz w:val="24"/>
          <w:szCs w:val="20"/>
          <w:lang w:val="en-US" w:eastAsia="zh-CN"/>
        </w:rPr>
        <w:t>三</w:t>
      </w:r>
      <w:r>
        <w:rPr>
          <w:rFonts w:hint="eastAsia" w:ascii="黑体" w:hAnsi="宋体" w:eastAsia="黑体"/>
          <w:kern w:val="0"/>
          <w:sz w:val="24"/>
          <w:szCs w:val="20"/>
        </w:rPr>
        <w:t>）投标人认为需要加以说明的其他内容（格式自定）</w:t>
      </w:r>
    </w:p>
    <w:p w14:paraId="7ED838A1"/>
    <w:p w14:paraId="10B730DC">
      <w:pPr>
        <w:pStyle w:val="2"/>
        <w:sectPr>
          <w:pgSz w:w="11907" w:h="16840"/>
          <w:pgMar w:top="1440" w:right="1797" w:bottom="1440" w:left="1797" w:header="851" w:footer="992" w:gutter="0"/>
          <w:cols w:space="425" w:num="1"/>
          <w:titlePg/>
          <w:docGrid w:linePitch="462" w:charSpace="0"/>
        </w:sectPr>
      </w:pPr>
    </w:p>
    <w:p w14:paraId="15114213">
      <w:pPr>
        <w:pStyle w:val="2"/>
      </w:pPr>
    </w:p>
    <w:p w14:paraId="6DBD5125">
      <w:pPr>
        <w:pStyle w:val="5"/>
      </w:pPr>
      <w:r>
        <w:rPr>
          <w:rFonts w:hint="eastAsia"/>
        </w:rPr>
        <w:t>第五章  合同条款及格式</w:t>
      </w:r>
    </w:p>
    <w:p w14:paraId="6C664611">
      <w:pPr>
        <w:ind w:firstLine="411" w:firstLineChars="196"/>
      </w:pPr>
    </w:p>
    <w:p w14:paraId="04642363">
      <w:pPr>
        <w:jc w:val="center"/>
        <w:outlineLvl w:val="0"/>
      </w:pPr>
      <w:r>
        <w:rPr>
          <w:rFonts w:hint="eastAsia"/>
          <w:b/>
          <w:sz w:val="24"/>
        </w:rPr>
        <w:t>（仅供参考，具体以项目需求及采购结果为准）</w:t>
      </w:r>
    </w:p>
    <w:p w14:paraId="0FEF8807">
      <w:pPr>
        <w:rPr>
          <w:rFonts w:ascii="宋体" w:hAnsi="宋体"/>
          <w:b/>
          <w:bCs/>
          <w:szCs w:val="21"/>
        </w:rPr>
      </w:pPr>
      <w:r>
        <w:rPr>
          <w:rFonts w:hint="eastAsia" w:ascii="宋体" w:hAnsi="宋体"/>
          <w:b/>
          <w:bCs/>
          <w:szCs w:val="21"/>
        </w:rPr>
        <w:t>甲方：</w:t>
      </w:r>
    </w:p>
    <w:p w14:paraId="0CBB8A7C">
      <w:pPr>
        <w:rPr>
          <w:rFonts w:ascii="宋体" w:hAnsi="宋体"/>
          <w:szCs w:val="21"/>
        </w:rPr>
      </w:pPr>
      <w:r>
        <w:rPr>
          <w:rFonts w:hint="eastAsia" w:ascii="宋体" w:hAnsi="宋体"/>
          <w:szCs w:val="21"/>
        </w:rPr>
        <w:t>地址：</w:t>
      </w:r>
    </w:p>
    <w:p w14:paraId="2BD9B828">
      <w:pPr>
        <w:rPr>
          <w:rFonts w:ascii="宋体" w:hAnsi="宋体"/>
          <w:szCs w:val="21"/>
        </w:rPr>
      </w:pPr>
      <w:r>
        <w:rPr>
          <w:rFonts w:hint="eastAsia" w:ascii="宋体" w:hAnsi="宋体"/>
          <w:szCs w:val="21"/>
        </w:rPr>
        <w:t>联系人：</w:t>
      </w:r>
      <w:r>
        <w:rPr>
          <w:rFonts w:ascii="宋体" w:hAnsi="宋体"/>
          <w:szCs w:val="21"/>
        </w:rPr>
        <w:t xml:space="preserve">                          </w:t>
      </w:r>
    </w:p>
    <w:p w14:paraId="4193D90A">
      <w:pPr>
        <w:rPr>
          <w:rFonts w:ascii="宋体" w:hAnsi="宋体"/>
          <w:b/>
          <w:bCs/>
          <w:szCs w:val="21"/>
        </w:rPr>
      </w:pPr>
      <w:r>
        <w:rPr>
          <w:rFonts w:hint="eastAsia" w:ascii="宋体" w:hAnsi="宋体"/>
          <w:szCs w:val="21"/>
        </w:rPr>
        <w:t>联系电话：</w:t>
      </w:r>
    </w:p>
    <w:p w14:paraId="1C955FE5">
      <w:pPr>
        <w:rPr>
          <w:rFonts w:ascii="宋体" w:hAnsi="宋体"/>
          <w:b/>
          <w:bCs/>
          <w:szCs w:val="21"/>
        </w:rPr>
      </w:pPr>
      <w:r>
        <w:rPr>
          <w:rFonts w:ascii="宋体" w:hAnsi="宋体"/>
          <w:b/>
          <w:bCs/>
          <w:szCs w:val="21"/>
        </w:rPr>
        <w:t xml:space="preserve"> </w:t>
      </w:r>
      <w:r>
        <w:rPr>
          <w:rFonts w:hint="eastAsia" w:ascii="宋体" w:hAnsi="宋体"/>
          <w:b/>
          <w:bCs/>
          <w:szCs w:val="21"/>
        </w:rPr>
        <w:t xml:space="preserve"> </w:t>
      </w:r>
      <w:r>
        <w:rPr>
          <w:rFonts w:ascii="宋体" w:hAnsi="宋体"/>
          <w:b/>
          <w:bCs/>
          <w:szCs w:val="21"/>
        </w:rPr>
        <w:t xml:space="preserve"> </w:t>
      </w:r>
    </w:p>
    <w:p w14:paraId="486388C3">
      <w:pPr>
        <w:rPr>
          <w:rFonts w:ascii="宋体" w:hAnsi="宋体"/>
          <w:b/>
          <w:bCs/>
          <w:szCs w:val="21"/>
        </w:rPr>
      </w:pPr>
      <w:r>
        <w:rPr>
          <w:rFonts w:hint="eastAsia" w:ascii="宋体" w:hAnsi="宋体"/>
          <w:b/>
          <w:bCs/>
          <w:szCs w:val="21"/>
        </w:rPr>
        <w:t>乙方：</w:t>
      </w:r>
    </w:p>
    <w:p w14:paraId="2B9503E8">
      <w:pPr>
        <w:rPr>
          <w:rFonts w:ascii="宋体" w:hAnsi="宋体"/>
          <w:szCs w:val="21"/>
        </w:rPr>
      </w:pPr>
      <w:r>
        <w:rPr>
          <w:rFonts w:hint="eastAsia" w:ascii="宋体" w:hAnsi="宋体"/>
          <w:szCs w:val="21"/>
        </w:rPr>
        <w:t>地址：</w:t>
      </w:r>
    </w:p>
    <w:p w14:paraId="2AEDCFDE">
      <w:pPr>
        <w:rPr>
          <w:rFonts w:ascii="宋体" w:hAnsi="宋体"/>
          <w:szCs w:val="21"/>
        </w:rPr>
      </w:pPr>
      <w:r>
        <w:rPr>
          <w:rFonts w:hint="eastAsia" w:ascii="宋体" w:hAnsi="宋体"/>
          <w:szCs w:val="21"/>
        </w:rPr>
        <w:t>联系人：</w:t>
      </w:r>
      <w:r>
        <w:rPr>
          <w:rFonts w:ascii="宋体" w:hAnsi="宋体"/>
          <w:szCs w:val="21"/>
        </w:rPr>
        <w:t xml:space="preserve">                          </w:t>
      </w:r>
    </w:p>
    <w:p w14:paraId="32EA6150">
      <w:pPr>
        <w:rPr>
          <w:rFonts w:ascii="宋体" w:hAnsi="宋体"/>
          <w:b/>
          <w:bCs/>
          <w:szCs w:val="21"/>
        </w:rPr>
      </w:pPr>
      <w:r>
        <w:rPr>
          <w:rFonts w:hint="eastAsia" w:ascii="宋体" w:hAnsi="宋体"/>
          <w:szCs w:val="21"/>
        </w:rPr>
        <w:t>联系电话：</w:t>
      </w:r>
    </w:p>
    <w:p w14:paraId="30411B04">
      <w:pPr>
        <w:rPr>
          <w:rFonts w:ascii="宋体" w:hAnsi="宋体"/>
          <w:szCs w:val="21"/>
        </w:rPr>
      </w:pPr>
      <w:r>
        <w:rPr>
          <w:rFonts w:ascii="宋体" w:hAnsi="宋体"/>
          <w:b/>
          <w:bCs/>
          <w:szCs w:val="21"/>
        </w:rPr>
        <w:t xml:space="preserve">            </w:t>
      </w:r>
      <w:r>
        <w:rPr>
          <w:rFonts w:hint="eastAsia" w:ascii="宋体" w:hAnsi="宋体"/>
          <w:b/>
          <w:bCs/>
          <w:szCs w:val="21"/>
        </w:rPr>
        <w:t xml:space="preserve">          </w:t>
      </w:r>
    </w:p>
    <w:p w14:paraId="46E04DC0">
      <w:pPr>
        <w:rPr>
          <w:rFonts w:ascii="宋体" w:hAnsi="宋体"/>
          <w:szCs w:val="21"/>
        </w:rPr>
      </w:pPr>
    </w:p>
    <w:p w14:paraId="0D6A9647">
      <w:pPr>
        <w:ind w:firstLine="420" w:firstLineChars="200"/>
        <w:rPr>
          <w:rFonts w:ascii="宋体" w:hAnsi="宋体"/>
          <w:szCs w:val="21"/>
        </w:rPr>
      </w:pPr>
      <w:r>
        <w:rPr>
          <w:rFonts w:hint="eastAsia" w:ascii="宋体" w:hAnsi="宋体"/>
          <w:szCs w:val="21"/>
        </w:rPr>
        <w:t>根据深圳公共资源交易中心（深圳交易集团有限公司</w:t>
      </w:r>
      <w:r>
        <w:rPr>
          <w:rFonts w:hint="eastAsia" w:ascii="宋体" w:hAnsi="宋体"/>
          <w:szCs w:val="21"/>
          <w:lang w:eastAsia="zh-CN"/>
        </w:rPr>
        <w:t>光明</w:t>
      </w:r>
      <w:r>
        <w:rPr>
          <w:rFonts w:hint="eastAsia" w:ascii="宋体" w:hAnsi="宋体"/>
          <w:szCs w:val="21"/>
        </w:rPr>
        <w:t>分公司）*</w:t>
      </w:r>
      <w:r>
        <w:rPr>
          <w:rFonts w:ascii="宋体" w:hAnsi="宋体"/>
          <w:szCs w:val="21"/>
        </w:rPr>
        <w:t>**</w:t>
      </w:r>
      <w:r>
        <w:rPr>
          <w:rFonts w:hint="eastAsia" w:ascii="宋体" w:hAnsi="宋体"/>
          <w:szCs w:val="21"/>
        </w:rPr>
        <w:t>号项目结果，*</w:t>
      </w:r>
      <w:r>
        <w:rPr>
          <w:rFonts w:ascii="宋体" w:hAnsi="宋体"/>
          <w:szCs w:val="21"/>
        </w:rPr>
        <w:t>**</w:t>
      </w:r>
      <w:r>
        <w:rPr>
          <w:rFonts w:hint="eastAsia" w:ascii="宋体" w:hAnsi="宋体"/>
          <w:szCs w:val="21"/>
        </w:rPr>
        <w:t>单位为中标人。按照《中华人民共和国民法典》（第三编 合同）》和《深圳经济特区政府采购条例》，经深圳市（以下简称甲方）和单位（以下简称乙方）协商，就甲方委托乙方承担</w:t>
      </w:r>
      <w:r>
        <w:rPr>
          <w:rFonts w:hint="eastAsia" w:ascii="宋体" w:hAnsi="宋体"/>
          <w:b/>
          <w:bCs/>
          <w:snapToGrid w:val="0"/>
          <w:kern w:val="0"/>
          <w:szCs w:val="21"/>
          <w:u w:val="single"/>
          <w:lang w:val="zh-CN"/>
        </w:rPr>
        <w:t xml:space="preserve">                      服务项目</w:t>
      </w:r>
      <w:r>
        <w:rPr>
          <w:rFonts w:hint="eastAsia" w:ascii="宋体" w:hAnsi="宋体"/>
          <w:szCs w:val="21"/>
        </w:rPr>
        <w:t>，达成以下合同条款：</w:t>
      </w:r>
    </w:p>
    <w:p w14:paraId="67E09B06">
      <w:pPr>
        <w:ind w:firstLine="420" w:firstLineChars="200"/>
        <w:rPr>
          <w:rFonts w:ascii="宋体" w:hAnsi="宋体"/>
          <w:b/>
          <w:bCs/>
          <w:szCs w:val="21"/>
        </w:rPr>
      </w:pPr>
      <w:r>
        <w:rPr>
          <w:rFonts w:hint="eastAsia" w:ascii="宋体" w:hAnsi="宋体"/>
          <w:b/>
          <w:bCs/>
          <w:szCs w:val="21"/>
        </w:rPr>
        <w:t>第一条　项目概况</w:t>
      </w:r>
    </w:p>
    <w:p w14:paraId="3593940D">
      <w:pPr>
        <w:ind w:firstLine="420" w:firstLineChars="200"/>
        <w:rPr>
          <w:rFonts w:ascii="宋体" w:hAnsi="宋体"/>
          <w:szCs w:val="21"/>
        </w:rPr>
      </w:pPr>
      <w:r>
        <w:rPr>
          <w:rFonts w:hint="eastAsia" w:ascii="宋体" w:hAnsi="宋体"/>
          <w:szCs w:val="21"/>
        </w:rPr>
        <w:t xml:space="preserve">项目名称： </w:t>
      </w:r>
    </w:p>
    <w:p w14:paraId="451C630E">
      <w:pPr>
        <w:ind w:firstLine="420" w:firstLineChars="200"/>
        <w:rPr>
          <w:rFonts w:ascii="宋体" w:hAnsi="宋体"/>
          <w:szCs w:val="21"/>
        </w:rPr>
      </w:pPr>
      <w:r>
        <w:rPr>
          <w:rFonts w:hint="eastAsia" w:ascii="宋体" w:hAnsi="宋体"/>
          <w:szCs w:val="21"/>
        </w:rPr>
        <w:t xml:space="preserve">项目内容： </w:t>
      </w:r>
    </w:p>
    <w:p w14:paraId="3B6B47C7">
      <w:pPr>
        <w:ind w:firstLine="420" w:firstLineChars="200"/>
        <w:rPr>
          <w:rFonts w:ascii="宋体" w:hAnsi="宋体"/>
          <w:szCs w:val="21"/>
        </w:rPr>
      </w:pPr>
      <w:r>
        <w:rPr>
          <w:rFonts w:hint="eastAsia" w:ascii="宋体" w:hAnsi="宋体"/>
          <w:szCs w:val="21"/>
        </w:rPr>
        <w:t xml:space="preserve">服务时间： </w:t>
      </w:r>
    </w:p>
    <w:p w14:paraId="798BC878">
      <w:pPr>
        <w:ind w:firstLine="420" w:firstLineChars="200"/>
        <w:rPr>
          <w:rFonts w:ascii="宋体" w:hAnsi="宋体"/>
          <w:szCs w:val="21"/>
        </w:rPr>
      </w:pPr>
      <w:r>
        <w:rPr>
          <w:rFonts w:hint="eastAsia" w:ascii="宋体" w:hAnsi="宋体"/>
          <w:szCs w:val="21"/>
        </w:rPr>
        <w:t>合同价款：合同总价为元，含一切税、费。</w:t>
      </w:r>
      <w:r>
        <w:t>本合同总价包括</w:t>
      </w:r>
      <w:r>
        <w:rPr>
          <w:rFonts w:hint="eastAsia" w:ascii="宋体" w:hAnsi="宋体"/>
          <w:szCs w:val="21"/>
        </w:rPr>
        <w:t>乙方为实施本项目*</w:t>
      </w:r>
      <w:r>
        <w:rPr>
          <w:rFonts w:ascii="宋体" w:hAnsi="宋体"/>
          <w:szCs w:val="21"/>
        </w:rPr>
        <w:t>**</w:t>
      </w:r>
      <w:r>
        <w:rPr>
          <w:rFonts w:hint="eastAsia" w:ascii="宋体" w:hAnsi="宋体"/>
          <w:szCs w:val="21"/>
        </w:rPr>
        <w:t>所需的设备仪器费、车辆租赁费、</w:t>
      </w:r>
      <w:r>
        <w:t>服务</w:t>
      </w:r>
      <w:r>
        <w:rPr>
          <w:rFonts w:hint="eastAsia"/>
        </w:rPr>
        <w:t>和</w:t>
      </w:r>
      <w:r>
        <w:t>技术费用</w:t>
      </w:r>
      <w:r>
        <w:rPr>
          <w:rFonts w:hint="eastAsia"/>
        </w:rPr>
        <w:t>等</w:t>
      </w:r>
      <w:r>
        <w:t>，为固定不变价格，且不随通货膨胀的影响而波动。合同总价包括</w:t>
      </w:r>
      <w:r>
        <w:rPr>
          <w:rFonts w:hint="eastAsia" w:ascii="宋体" w:hAnsi="宋体"/>
          <w:szCs w:val="21"/>
        </w:rPr>
        <w:t>乙方</w:t>
      </w:r>
      <w:r>
        <w:t>履行本合同义务所发生的一切费用和支出和以各种方式寄送技术资料到</w:t>
      </w:r>
      <w:r>
        <w:rPr>
          <w:rFonts w:hint="eastAsia"/>
        </w:rPr>
        <w:t>甲</w:t>
      </w:r>
      <w:r>
        <w:t>方办公室所发生的费用。</w:t>
      </w:r>
    </w:p>
    <w:p w14:paraId="7F0E0976">
      <w:pPr>
        <w:pStyle w:val="10"/>
        <w:rPr>
          <w:rFonts w:ascii="宋体" w:hAnsi="宋体"/>
          <w:szCs w:val="21"/>
        </w:rPr>
      </w:pPr>
      <w:r>
        <w:rPr>
          <w:rFonts w:hint="eastAsia" w:ascii="宋体" w:hAnsi="宋体"/>
          <w:szCs w:val="21"/>
        </w:rPr>
        <w:t>支付方式：分期支付。</w:t>
      </w:r>
    </w:p>
    <w:p w14:paraId="4EAF8D2E">
      <w:pPr>
        <w:ind w:firstLine="420" w:firstLineChars="200"/>
        <w:rPr>
          <w:rFonts w:ascii="宋体" w:hAnsi="宋体"/>
          <w:b/>
          <w:bCs/>
          <w:szCs w:val="21"/>
        </w:rPr>
      </w:pPr>
      <w:r>
        <w:rPr>
          <w:rFonts w:hint="eastAsia" w:ascii="宋体" w:hAnsi="宋体"/>
          <w:b/>
          <w:bCs/>
          <w:szCs w:val="21"/>
        </w:rPr>
        <w:t>第二条  服务范围</w:t>
      </w:r>
    </w:p>
    <w:p w14:paraId="4D68CF3F">
      <w:pPr>
        <w:ind w:firstLine="420" w:firstLineChars="200"/>
        <w:rPr>
          <w:rFonts w:ascii="宋体" w:hAnsi="宋体"/>
          <w:szCs w:val="21"/>
        </w:rPr>
      </w:pPr>
      <w:r>
        <w:rPr>
          <w:rFonts w:hint="eastAsia" w:ascii="宋体" w:hAnsi="宋体"/>
          <w:szCs w:val="21"/>
        </w:rPr>
        <w:t xml:space="preserve">1、  </w:t>
      </w:r>
    </w:p>
    <w:p w14:paraId="32D95E8C">
      <w:pPr>
        <w:ind w:firstLine="420" w:firstLineChars="200"/>
        <w:rPr>
          <w:rFonts w:ascii="宋体" w:hAnsi="宋体"/>
          <w:szCs w:val="21"/>
        </w:rPr>
      </w:pPr>
      <w:r>
        <w:rPr>
          <w:rFonts w:hint="eastAsia" w:ascii="宋体" w:hAnsi="宋体"/>
          <w:szCs w:val="21"/>
        </w:rPr>
        <w:t xml:space="preserve">2、  </w:t>
      </w:r>
    </w:p>
    <w:p w14:paraId="643E2459">
      <w:pPr>
        <w:ind w:firstLine="420" w:firstLineChars="200"/>
        <w:rPr>
          <w:rFonts w:ascii="宋体" w:hAnsi="宋体"/>
          <w:szCs w:val="21"/>
        </w:rPr>
      </w:pPr>
      <w:r>
        <w:rPr>
          <w:rFonts w:hint="eastAsia" w:ascii="宋体" w:hAnsi="宋体"/>
          <w:szCs w:val="21"/>
        </w:rPr>
        <w:t xml:space="preserve">3、  </w:t>
      </w:r>
    </w:p>
    <w:p w14:paraId="0D98E9B5">
      <w:pPr>
        <w:ind w:firstLine="420" w:firstLineChars="200"/>
        <w:rPr>
          <w:rFonts w:ascii="宋体" w:hAnsi="宋体"/>
          <w:szCs w:val="21"/>
        </w:rPr>
      </w:pPr>
      <w:r>
        <w:rPr>
          <w:rFonts w:hint="eastAsia" w:ascii="宋体" w:hAnsi="宋体"/>
          <w:szCs w:val="21"/>
        </w:rPr>
        <w:t>4、 其他合同未明示的相关工作。</w:t>
      </w:r>
    </w:p>
    <w:p w14:paraId="78115EA7">
      <w:pPr>
        <w:ind w:firstLine="420" w:firstLineChars="200"/>
        <w:rPr>
          <w:rFonts w:ascii="宋体" w:hAnsi="宋体"/>
          <w:b/>
          <w:bCs/>
          <w:szCs w:val="21"/>
        </w:rPr>
      </w:pPr>
      <w:r>
        <w:rPr>
          <w:rFonts w:hint="eastAsia" w:ascii="宋体" w:hAnsi="宋体"/>
          <w:b/>
          <w:bCs/>
          <w:szCs w:val="21"/>
        </w:rPr>
        <w:t>第三条  时间要求及阶段成果</w:t>
      </w:r>
    </w:p>
    <w:p w14:paraId="7A21B8D4">
      <w:pPr>
        <w:ind w:firstLine="420" w:firstLineChars="200"/>
        <w:rPr>
          <w:rFonts w:ascii="宋体" w:hAnsi="宋体"/>
          <w:szCs w:val="21"/>
        </w:rPr>
      </w:pPr>
      <w:r>
        <w:rPr>
          <w:rFonts w:hint="eastAsia" w:ascii="宋体" w:hAnsi="宋体"/>
          <w:szCs w:val="21"/>
        </w:rPr>
        <w:t>1、合同签订天内完成项目实施的准备工作，包括工作大纲和试验细则的编制；</w:t>
      </w:r>
    </w:p>
    <w:p w14:paraId="28357ED2">
      <w:pPr>
        <w:ind w:firstLine="420" w:firstLineChars="200"/>
        <w:rPr>
          <w:rFonts w:ascii="宋体" w:hAnsi="宋体"/>
          <w:szCs w:val="21"/>
        </w:rPr>
      </w:pPr>
      <w:r>
        <w:rPr>
          <w:rFonts w:hint="eastAsia" w:ascii="宋体" w:hAnsi="宋体"/>
          <w:szCs w:val="21"/>
        </w:rPr>
        <w:t xml:space="preserve">2、 </w:t>
      </w:r>
    </w:p>
    <w:p w14:paraId="37CB3AD5">
      <w:pPr>
        <w:ind w:firstLine="420" w:firstLineChars="200"/>
        <w:rPr>
          <w:rFonts w:ascii="宋体" w:hAnsi="宋体"/>
          <w:szCs w:val="21"/>
        </w:rPr>
      </w:pPr>
      <w:r>
        <w:rPr>
          <w:rFonts w:hint="eastAsia" w:ascii="宋体" w:hAnsi="宋体"/>
          <w:szCs w:val="21"/>
        </w:rPr>
        <w:t>3、</w:t>
      </w:r>
    </w:p>
    <w:p w14:paraId="7D78E6F4">
      <w:pPr>
        <w:ind w:firstLine="420" w:firstLineChars="200"/>
        <w:rPr>
          <w:rFonts w:ascii="宋体" w:hAnsi="宋体"/>
          <w:szCs w:val="21"/>
        </w:rPr>
      </w:pPr>
      <w:r>
        <w:rPr>
          <w:rFonts w:hint="eastAsia" w:ascii="宋体" w:hAnsi="宋体"/>
          <w:szCs w:val="21"/>
        </w:rPr>
        <w:t>4、</w:t>
      </w:r>
    </w:p>
    <w:p w14:paraId="14971AB1">
      <w:pPr>
        <w:ind w:firstLine="420" w:firstLineChars="200"/>
        <w:rPr>
          <w:rFonts w:ascii="宋体" w:hAnsi="宋体"/>
          <w:b/>
          <w:bCs/>
          <w:szCs w:val="21"/>
        </w:rPr>
      </w:pPr>
      <w:r>
        <w:rPr>
          <w:rFonts w:hint="eastAsia" w:ascii="宋体" w:hAnsi="宋体"/>
          <w:b/>
          <w:bCs/>
          <w:szCs w:val="21"/>
        </w:rPr>
        <w:t>第四条  服务资料归属</w:t>
      </w:r>
    </w:p>
    <w:p w14:paraId="387DDD6C">
      <w:pPr>
        <w:ind w:firstLine="420" w:firstLineChars="200"/>
      </w:pPr>
      <w:r>
        <w:t>1</w:t>
      </w:r>
      <w:r>
        <w:rPr>
          <w:rFonts w:hint="eastAsia"/>
        </w:rPr>
        <w:t>、</w:t>
      </w:r>
      <w:r>
        <w:t>所有提交给</w:t>
      </w:r>
      <w:r>
        <w:rPr>
          <w:rFonts w:hint="eastAsia"/>
        </w:rPr>
        <w:t>甲</w:t>
      </w:r>
      <w:r>
        <w:t>方的服务</w:t>
      </w:r>
      <w:r>
        <w:rPr>
          <w:rFonts w:hint="eastAsia"/>
        </w:rPr>
        <w:t>文件</w:t>
      </w:r>
      <w:r>
        <w:t>及相关的资料的最后文本，包括为履行技术服务范围所编制的图纸、计划和证明资料等，都属于</w:t>
      </w:r>
      <w:r>
        <w:rPr>
          <w:rFonts w:hint="eastAsia"/>
        </w:rPr>
        <w:t>甲</w:t>
      </w:r>
      <w:r>
        <w:t>方的财产，</w:t>
      </w:r>
      <w:r>
        <w:rPr>
          <w:rFonts w:hint="eastAsia" w:ascii="宋体" w:hAnsi="宋体"/>
          <w:szCs w:val="21"/>
        </w:rPr>
        <w:t>乙</w:t>
      </w:r>
      <w:r>
        <w:t>方在提交给</w:t>
      </w:r>
      <w:r>
        <w:rPr>
          <w:rFonts w:hint="eastAsia"/>
        </w:rPr>
        <w:t>甲</w:t>
      </w:r>
      <w:r>
        <w:t>方之前应将上述资料进行整理归类和编制索引</w:t>
      </w:r>
      <w:r>
        <w:rPr>
          <w:rFonts w:hint="eastAsia"/>
        </w:rPr>
        <w:t>。</w:t>
      </w:r>
    </w:p>
    <w:p w14:paraId="5767F9A0">
      <w:pPr>
        <w:ind w:firstLine="420" w:firstLineChars="200"/>
      </w:pPr>
      <w:r>
        <w:t>2</w:t>
      </w:r>
      <w:r>
        <w:rPr>
          <w:rFonts w:hint="eastAsia"/>
        </w:rPr>
        <w:t>、</w:t>
      </w:r>
      <w:r>
        <w:rPr>
          <w:rFonts w:hint="eastAsia" w:ascii="宋体" w:hAnsi="宋体"/>
          <w:szCs w:val="21"/>
        </w:rPr>
        <w:t>乙</w:t>
      </w:r>
      <w:r>
        <w:t>方未经</w:t>
      </w:r>
      <w:r>
        <w:rPr>
          <w:rFonts w:hint="eastAsia"/>
        </w:rPr>
        <w:t>甲</w:t>
      </w:r>
      <w:r>
        <w:t>方的书面同意，不得将上述资料用于与本服务项目之外的任何项目</w:t>
      </w:r>
      <w:r>
        <w:rPr>
          <w:rFonts w:hint="eastAsia"/>
        </w:rPr>
        <w:t>。</w:t>
      </w:r>
    </w:p>
    <w:p w14:paraId="225D3F3D">
      <w:pPr>
        <w:ind w:firstLine="420" w:firstLineChars="200"/>
      </w:pPr>
      <w:r>
        <w:rPr>
          <w:rFonts w:hint="eastAsia"/>
        </w:rPr>
        <w:t>3、</w:t>
      </w:r>
      <w:r>
        <w:t>合同履行</w:t>
      </w:r>
      <w:r>
        <w:rPr>
          <w:rFonts w:hint="eastAsia"/>
        </w:rPr>
        <w:t>完毕，</w:t>
      </w:r>
      <w:r>
        <w:t>未经</w:t>
      </w:r>
      <w:r>
        <w:rPr>
          <w:rFonts w:hint="eastAsia"/>
        </w:rPr>
        <w:t>甲</w:t>
      </w:r>
      <w:r>
        <w:t>方的书面同意</w:t>
      </w:r>
      <w:r>
        <w:rPr>
          <w:rFonts w:hint="eastAsia"/>
        </w:rPr>
        <w:t>，</w:t>
      </w:r>
      <w:r>
        <w:rPr>
          <w:rFonts w:hint="eastAsia" w:ascii="宋体" w:hAnsi="宋体"/>
          <w:szCs w:val="21"/>
        </w:rPr>
        <w:t>乙</w:t>
      </w:r>
      <w:r>
        <w:t>方</w:t>
      </w:r>
      <w:r>
        <w:rPr>
          <w:rFonts w:hint="eastAsia"/>
        </w:rPr>
        <w:t>不得保存在</w:t>
      </w:r>
      <w:r>
        <w:t>履行合同过程中所获得或接触到的任何</w:t>
      </w:r>
      <w:r>
        <w:rPr>
          <w:rFonts w:hint="eastAsia" w:ascii="宋体" w:hAnsi="宋体"/>
          <w:szCs w:val="21"/>
        </w:rPr>
        <w:t>内部数据资料。</w:t>
      </w:r>
    </w:p>
    <w:p w14:paraId="47DC61C5">
      <w:pPr>
        <w:ind w:firstLine="420" w:firstLineChars="200"/>
        <w:rPr>
          <w:rFonts w:ascii="宋体" w:hAnsi="宋体"/>
          <w:b/>
          <w:bCs/>
          <w:szCs w:val="21"/>
        </w:rPr>
      </w:pPr>
      <w:r>
        <w:rPr>
          <w:rFonts w:hint="eastAsia" w:ascii="宋体" w:hAnsi="宋体"/>
          <w:b/>
          <w:bCs/>
          <w:szCs w:val="21"/>
        </w:rPr>
        <w:t>第五条  甲方的义务</w:t>
      </w:r>
    </w:p>
    <w:p w14:paraId="1C1B7DF0">
      <w:pPr>
        <w:ind w:firstLine="420" w:firstLineChars="200"/>
        <w:rPr>
          <w:rFonts w:ascii="宋体" w:hAnsi="宋体"/>
          <w:szCs w:val="21"/>
        </w:rPr>
      </w:pPr>
      <w:r>
        <w:rPr>
          <w:rFonts w:hint="eastAsia" w:ascii="宋体" w:hAnsi="宋体"/>
          <w:szCs w:val="21"/>
        </w:rPr>
        <w:t>1、负责与本服务项目有关的第三方的协调，提供开展服务工作的外部条件。</w:t>
      </w:r>
    </w:p>
    <w:p w14:paraId="351FBFD7">
      <w:pPr>
        <w:ind w:firstLine="420" w:firstLineChars="200"/>
        <w:rPr>
          <w:rFonts w:ascii="宋体" w:hAnsi="宋体"/>
          <w:szCs w:val="21"/>
        </w:rPr>
      </w:pPr>
      <w:r>
        <w:rPr>
          <w:rFonts w:hint="eastAsia" w:ascii="宋体" w:hAnsi="宋体"/>
          <w:szCs w:val="21"/>
        </w:rPr>
        <w:t>2、向乙方提供与本项目服务工作有关的资料。</w:t>
      </w:r>
    </w:p>
    <w:p w14:paraId="335C4082">
      <w:pPr>
        <w:ind w:firstLine="420" w:firstLineChars="200"/>
        <w:rPr>
          <w:rFonts w:ascii="宋体" w:hAnsi="宋体"/>
          <w:szCs w:val="21"/>
        </w:rPr>
      </w:pPr>
      <w:r>
        <w:rPr>
          <w:rFonts w:hint="eastAsia" w:ascii="宋体" w:hAnsi="宋体"/>
          <w:szCs w:val="21"/>
        </w:rPr>
        <w:t>3、负责组织有关专家对项目试验成果评估报告的评审。</w:t>
      </w:r>
    </w:p>
    <w:p w14:paraId="300AEA89">
      <w:pPr>
        <w:ind w:firstLine="420" w:firstLineChars="200"/>
        <w:rPr>
          <w:rFonts w:ascii="宋体" w:hAnsi="宋体"/>
          <w:b/>
          <w:bCs/>
          <w:szCs w:val="21"/>
        </w:rPr>
      </w:pPr>
      <w:r>
        <w:rPr>
          <w:rFonts w:hint="eastAsia" w:ascii="宋体" w:hAnsi="宋体"/>
          <w:b/>
          <w:bCs/>
          <w:szCs w:val="21"/>
        </w:rPr>
        <w:t>第六条　乙方的义务</w:t>
      </w:r>
    </w:p>
    <w:p w14:paraId="7C66BF0E">
      <w:pPr>
        <w:ind w:firstLine="420" w:firstLineChars="200"/>
        <w:rPr>
          <w:rFonts w:ascii="宋体" w:hAnsi="宋体"/>
          <w:szCs w:val="21"/>
        </w:rPr>
      </w:pPr>
      <w:r>
        <w:rPr>
          <w:rFonts w:hint="eastAsia" w:ascii="宋体" w:hAnsi="宋体"/>
          <w:szCs w:val="21"/>
        </w:rPr>
        <w:t>１、应按照招标文件、投标文件要求按期完成本项目服务工作。</w:t>
      </w:r>
    </w:p>
    <w:p w14:paraId="5C90AD6F">
      <w:pPr>
        <w:ind w:firstLine="420" w:firstLineChars="200"/>
        <w:rPr>
          <w:rFonts w:ascii="宋体" w:hAnsi="宋体"/>
          <w:szCs w:val="21"/>
        </w:rPr>
      </w:pPr>
      <w:r>
        <w:rPr>
          <w:rFonts w:hint="eastAsia" w:ascii="宋体" w:hAnsi="宋体"/>
          <w:szCs w:val="21"/>
        </w:rPr>
        <w:t>2、负责组织项目的实施，保证工程进度和成桥荷载试验工作质量，并满足交通部交工验收相关标准。</w:t>
      </w:r>
    </w:p>
    <w:p w14:paraId="4DE0699D">
      <w:pPr>
        <w:ind w:firstLine="420" w:firstLineChars="200"/>
        <w:rPr>
          <w:rFonts w:ascii="宋体" w:hAnsi="宋体"/>
          <w:szCs w:val="21"/>
        </w:rPr>
      </w:pPr>
      <w:r>
        <w:rPr>
          <w:rFonts w:hint="eastAsia" w:ascii="宋体" w:hAnsi="宋体"/>
          <w:szCs w:val="21"/>
        </w:rPr>
        <w:t>3、</w:t>
      </w:r>
      <w:r>
        <w:rPr>
          <w:rFonts w:hint="eastAsia" w:ascii="宋体" w:hAnsi="宋体"/>
        </w:rPr>
        <w:t>向甲方提交检测资料等各套，一套电子版文件。</w:t>
      </w:r>
    </w:p>
    <w:p w14:paraId="315D4443">
      <w:pPr>
        <w:ind w:firstLine="420" w:firstLineChars="200"/>
        <w:rPr>
          <w:rFonts w:ascii="宋体" w:hAnsi="宋体"/>
          <w:szCs w:val="21"/>
        </w:rPr>
      </w:pPr>
      <w:r>
        <w:rPr>
          <w:rFonts w:hint="eastAsia" w:ascii="宋体" w:hAnsi="宋体"/>
          <w:szCs w:val="21"/>
        </w:rPr>
        <w:t>4、在履行合同期间或合同规定期限内，不得泄露与本合同规定业务活动有关的保密资料。</w:t>
      </w:r>
    </w:p>
    <w:p w14:paraId="27870F41">
      <w:pPr>
        <w:ind w:firstLine="420" w:firstLineChars="200"/>
        <w:rPr>
          <w:rFonts w:ascii="宋体" w:hAnsi="宋体"/>
          <w:b/>
          <w:bCs/>
          <w:szCs w:val="21"/>
        </w:rPr>
      </w:pPr>
      <w:r>
        <w:rPr>
          <w:rFonts w:hint="eastAsia" w:ascii="宋体" w:hAnsi="宋体"/>
          <w:b/>
          <w:bCs/>
          <w:szCs w:val="21"/>
        </w:rPr>
        <w:t>第七条  甲方的权利</w:t>
      </w:r>
    </w:p>
    <w:p w14:paraId="7A2DB611">
      <w:pPr>
        <w:ind w:firstLine="420" w:firstLineChars="200"/>
        <w:rPr>
          <w:rFonts w:ascii="宋体" w:hAnsi="宋体"/>
          <w:szCs w:val="21"/>
        </w:rPr>
      </w:pPr>
      <w:r>
        <w:rPr>
          <w:rFonts w:ascii="宋体" w:hAnsi="宋体"/>
          <w:szCs w:val="21"/>
        </w:rPr>
        <w:t>1</w:t>
      </w:r>
      <w:r>
        <w:rPr>
          <w:rFonts w:hint="eastAsia" w:ascii="宋体" w:hAnsi="宋体"/>
          <w:szCs w:val="21"/>
        </w:rPr>
        <w:t>、有权向乙方询问工作进展情况及相关的内容。</w:t>
      </w:r>
    </w:p>
    <w:p w14:paraId="0CE4B751">
      <w:pPr>
        <w:ind w:firstLine="420" w:firstLineChars="200"/>
        <w:rPr>
          <w:rFonts w:ascii="宋体" w:hAnsi="宋体"/>
          <w:szCs w:val="21"/>
        </w:rPr>
      </w:pPr>
      <w:r>
        <w:rPr>
          <w:rFonts w:ascii="宋体" w:hAnsi="宋体"/>
          <w:szCs w:val="21"/>
        </w:rPr>
        <w:t>2</w:t>
      </w:r>
      <w:r>
        <w:rPr>
          <w:rFonts w:hint="eastAsia" w:ascii="宋体" w:hAnsi="宋体"/>
          <w:szCs w:val="21"/>
        </w:rPr>
        <w:t>、有权阐述对具体问题的意见和建议。</w:t>
      </w:r>
    </w:p>
    <w:p w14:paraId="314D1834">
      <w:pPr>
        <w:ind w:firstLine="420" w:firstLineChars="200"/>
        <w:rPr>
          <w:rFonts w:ascii="宋体" w:hAnsi="宋体"/>
          <w:szCs w:val="21"/>
        </w:rPr>
      </w:pPr>
      <w:r>
        <w:rPr>
          <w:rFonts w:ascii="宋体" w:hAnsi="宋体"/>
          <w:szCs w:val="21"/>
        </w:rPr>
        <w:t>3</w:t>
      </w:r>
      <w:r>
        <w:rPr>
          <w:rFonts w:hint="eastAsia" w:ascii="宋体" w:hAnsi="宋体"/>
          <w:szCs w:val="21"/>
        </w:rPr>
        <w:t>、当甲方认定乙方人员不按合同履行其职责，或与第三人串通给甲方造成经济损失的，甲方有权要求更换人员，直至终止合同并要求乙方承担相应的赔偿责任。</w:t>
      </w:r>
    </w:p>
    <w:p w14:paraId="6F117742">
      <w:pPr>
        <w:ind w:firstLine="420" w:firstLineChars="200"/>
        <w:rPr>
          <w:rFonts w:ascii="宋体" w:hAnsi="宋体"/>
          <w:b/>
          <w:bCs/>
          <w:szCs w:val="21"/>
        </w:rPr>
      </w:pPr>
      <w:r>
        <w:rPr>
          <w:rFonts w:hint="eastAsia" w:ascii="宋体" w:hAnsi="宋体"/>
          <w:b/>
          <w:bCs/>
          <w:szCs w:val="21"/>
        </w:rPr>
        <w:t>第八条  乙方的权利</w:t>
      </w:r>
    </w:p>
    <w:p w14:paraId="5CD0C0B0">
      <w:pPr>
        <w:ind w:firstLine="420" w:firstLineChars="200"/>
        <w:rPr>
          <w:rFonts w:ascii="宋体" w:hAnsi="宋体"/>
          <w:szCs w:val="21"/>
        </w:rPr>
      </w:pPr>
      <w:r>
        <w:rPr>
          <w:rFonts w:ascii="宋体" w:hAnsi="宋体"/>
          <w:szCs w:val="21"/>
        </w:rPr>
        <w:t>1</w:t>
      </w:r>
      <w:r>
        <w:rPr>
          <w:rFonts w:hint="eastAsia" w:ascii="宋体" w:hAnsi="宋体"/>
          <w:szCs w:val="21"/>
        </w:rPr>
        <w:t>、乙方在本项目服务过程中，如甲方提供的资料不明确时可向甲方提出书面报告。</w:t>
      </w:r>
    </w:p>
    <w:p w14:paraId="27A720D4">
      <w:pPr>
        <w:ind w:firstLine="420" w:firstLineChars="200"/>
        <w:rPr>
          <w:rFonts w:ascii="宋体" w:hAnsi="宋体"/>
          <w:szCs w:val="21"/>
        </w:rPr>
      </w:pPr>
      <w:r>
        <w:rPr>
          <w:rFonts w:ascii="宋体" w:hAnsi="宋体"/>
          <w:szCs w:val="21"/>
        </w:rPr>
        <w:t>2</w:t>
      </w:r>
      <w:r>
        <w:rPr>
          <w:rFonts w:hint="eastAsia" w:ascii="宋体" w:hAnsi="宋体"/>
          <w:szCs w:val="21"/>
        </w:rPr>
        <w:t>、乙方在本项目服务过程中，有权对第三方提出与本服务业务有关的问题进行核对或查问。</w:t>
      </w:r>
    </w:p>
    <w:p w14:paraId="6DEAE1AC">
      <w:pPr>
        <w:ind w:firstLine="420" w:firstLineChars="200"/>
        <w:rPr>
          <w:rFonts w:ascii="宋体" w:hAnsi="宋体"/>
          <w:szCs w:val="21"/>
        </w:rPr>
      </w:pPr>
      <w:r>
        <w:rPr>
          <w:rFonts w:ascii="宋体" w:hAnsi="宋体"/>
          <w:szCs w:val="21"/>
        </w:rPr>
        <w:t>3</w:t>
      </w:r>
      <w:r>
        <w:rPr>
          <w:rFonts w:hint="eastAsia" w:ascii="宋体" w:hAnsi="宋体"/>
          <w:szCs w:val="21"/>
        </w:rPr>
        <w:t>、乙方在本项目服务过程中，有到工程现场勘察的权利。</w:t>
      </w:r>
    </w:p>
    <w:p w14:paraId="5694C82D">
      <w:pPr>
        <w:ind w:firstLine="420" w:firstLineChars="200"/>
        <w:rPr>
          <w:rFonts w:ascii="宋体" w:hAnsi="宋体"/>
          <w:b/>
          <w:bCs/>
          <w:szCs w:val="21"/>
        </w:rPr>
      </w:pPr>
      <w:r>
        <w:rPr>
          <w:rFonts w:hint="eastAsia" w:ascii="宋体" w:hAnsi="宋体"/>
          <w:b/>
          <w:bCs/>
          <w:szCs w:val="21"/>
        </w:rPr>
        <w:t>第九条  甲方的责任</w:t>
      </w:r>
    </w:p>
    <w:p w14:paraId="4E28B9DA">
      <w:pPr>
        <w:ind w:firstLine="420" w:firstLineChars="200"/>
        <w:rPr>
          <w:rFonts w:ascii="宋体" w:hAnsi="宋体"/>
          <w:szCs w:val="21"/>
        </w:rPr>
      </w:pPr>
      <w:r>
        <w:rPr>
          <w:rFonts w:hint="eastAsia" w:ascii="宋体" w:hAnsi="宋体"/>
          <w:szCs w:val="21"/>
        </w:rPr>
        <w:t>1、应当履行本合同约定的义务，如有违反则应当承担违约责任，赔偿给乙方造成的损失。</w:t>
      </w:r>
    </w:p>
    <w:p w14:paraId="03BAA0D4">
      <w:pPr>
        <w:ind w:firstLine="420" w:firstLineChars="200"/>
        <w:rPr>
          <w:rFonts w:ascii="宋体" w:hAnsi="宋体"/>
          <w:szCs w:val="21"/>
        </w:rPr>
      </w:pPr>
      <w:r>
        <w:rPr>
          <w:rFonts w:hint="eastAsia" w:ascii="宋体" w:hAnsi="宋体"/>
          <w:szCs w:val="21"/>
        </w:rPr>
        <w:t>2、甲方向乙方提出赔偿要求不能成立时，则应补偿由于该赔偿或其他要求所导致乙方的各种费用的支出。</w:t>
      </w:r>
    </w:p>
    <w:p w14:paraId="3144E649">
      <w:pPr>
        <w:ind w:firstLine="420" w:firstLineChars="200"/>
        <w:rPr>
          <w:rFonts w:ascii="宋体" w:hAnsi="宋体"/>
          <w:b/>
          <w:bCs/>
          <w:szCs w:val="21"/>
        </w:rPr>
      </w:pPr>
      <w:r>
        <w:rPr>
          <w:rFonts w:hint="eastAsia" w:ascii="宋体" w:hAnsi="宋体"/>
          <w:b/>
          <w:bCs/>
          <w:szCs w:val="21"/>
        </w:rPr>
        <w:t>第十条  乙方的责任</w:t>
      </w:r>
    </w:p>
    <w:p w14:paraId="528F5855">
      <w:pPr>
        <w:ind w:firstLine="420" w:firstLineChars="200"/>
        <w:rPr>
          <w:rFonts w:ascii="宋体" w:hAnsi="宋体"/>
          <w:szCs w:val="21"/>
        </w:rPr>
      </w:pPr>
      <w:r>
        <w:rPr>
          <w:rFonts w:hint="eastAsia" w:ascii="宋体" w:hAnsi="宋体"/>
          <w:szCs w:val="21"/>
        </w:rPr>
        <w:t>1、乙方的责任期即本合同有效期。如因非乙方的责任造成进度的推迟或延误而超过约定的日期，双方应进一步约定相应延长合同有效期。</w:t>
      </w:r>
    </w:p>
    <w:p w14:paraId="437BFDAA">
      <w:pPr>
        <w:ind w:firstLine="420" w:firstLineChars="200"/>
        <w:rPr>
          <w:rFonts w:ascii="宋体" w:hAnsi="宋体"/>
          <w:szCs w:val="21"/>
        </w:rPr>
      </w:pPr>
      <w:r>
        <w:rPr>
          <w:rFonts w:hint="eastAsia" w:ascii="宋体" w:hAnsi="宋体"/>
          <w:szCs w:val="21"/>
        </w:rPr>
        <w:t>2、乙方的责任期内，应当履行本合同中约定的义务，因乙方的单方过失造成的经济损失，应当向甲方进行赔偿。</w:t>
      </w:r>
    </w:p>
    <w:p w14:paraId="35462567">
      <w:pPr>
        <w:ind w:firstLine="420" w:firstLineChars="200"/>
        <w:rPr>
          <w:rFonts w:ascii="宋体" w:hAnsi="宋体"/>
          <w:szCs w:val="21"/>
        </w:rPr>
      </w:pPr>
      <w:r>
        <w:rPr>
          <w:rFonts w:hint="eastAsia" w:ascii="宋体" w:hAnsi="宋体"/>
          <w:szCs w:val="21"/>
        </w:rPr>
        <w:t>3、乙方对甲方或第三方所提出的问题不能及时核对或答复，导致合同不能全部或部分履行，乙方应承担责任。</w:t>
      </w:r>
    </w:p>
    <w:p w14:paraId="223255BF">
      <w:pPr>
        <w:ind w:firstLine="420" w:firstLineChars="200"/>
        <w:rPr>
          <w:rFonts w:ascii="宋体" w:hAnsi="宋体"/>
          <w:szCs w:val="21"/>
        </w:rPr>
      </w:pPr>
      <w:r>
        <w:rPr>
          <w:rFonts w:hint="eastAsia" w:ascii="宋体" w:hAnsi="宋体"/>
          <w:szCs w:val="21"/>
        </w:rPr>
        <w:t>4、乙方向甲方提出赔偿要求不能成立时，则应补偿由于该赔偿或其他要求所导致甲方的各种费用的支出。</w:t>
      </w:r>
    </w:p>
    <w:p w14:paraId="0412C3FC">
      <w:pPr>
        <w:ind w:firstLine="420" w:firstLineChars="200"/>
        <w:rPr>
          <w:rFonts w:ascii="宋体" w:hAnsi="宋体"/>
          <w:b/>
          <w:bCs/>
          <w:szCs w:val="21"/>
        </w:rPr>
      </w:pPr>
      <w:r>
        <w:rPr>
          <w:rFonts w:hint="eastAsia" w:ascii="宋体" w:hAnsi="宋体"/>
          <w:b/>
          <w:bCs/>
          <w:szCs w:val="21"/>
        </w:rPr>
        <w:t>第十一条  人员要求</w:t>
      </w:r>
    </w:p>
    <w:p w14:paraId="3C1D6A25">
      <w:pPr>
        <w:ind w:firstLine="420" w:firstLineChars="200"/>
        <w:rPr>
          <w:rFonts w:ascii="宋体" w:hAnsi="宋体"/>
          <w:szCs w:val="21"/>
        </w:rPr>
      </w:pPr>
      <w:r>
        <w:rPr>
          <w:rFonts w:hint="eastAsia" w:ascii="宋体" w:hAnsi="宋体"/>
          <w:szCs w:val="21"/>
        </w:rPr>
        <w:t>1、参加本项目试验的人员必须具有国家和有关部门规定的相应资质。</w:t>
      </w:r>
    </w:p>
    <w:p w14:paraId="58B59EFB">
      <w:pPr>
        <w:ind w:firstLine="420" w:firstLineChars="200"/>
        <w:rPr>
          <w:rFonts w:ascii="宋体" w:hAnsi="宋体"/>
          <w:szCs w:val="21"/>
        </w:rPr>
      </w:pPr>
      <w:r>
        <w:rPr>
          <w:rFonts w:hint="eastAsia" w:ascii="宋体" w:hAnsi="宋体"/>
          <w:szCs w:val="21"/>
        </w:rPr>
        <w:t>2、 参加本项目的试验人员的配置必须与投标文件中的服务承诺书和试验服务组织实施方案一致。</w:t>
      </w:r>
    </w:p>
    <w:p w14:paraId="3E20BFB8">
      <w:pPr>
        <w:ind w:firstLine="420" w:firstLineChars="200"/>
        <w:rPr>
          <w:rFonts w:ascii="宋体" w:hAnsi="宋体"/>
          <w:szCs w:val="21"/>
        </w:rPr>
      </w:pPr>
      <w:r>
        <w:rPr>
          <w:rFonts w:hint="eastAsia" w:ascii="宋体" w:hAnsi="宋体"/>
          <w:szCs w:val="21"/>
        </w:rPr>
        <w:t>3、必须以直属试验人员参与本项目服务，不得使用挂靠队伍。</w:t>
      </w:r>
    </w:p>
    <w:p w14:paraId="5211602D">
      <w:pPr>
        <w:ind w:firstLine="420" w:firstLineChars="200"/>
        <w:rPr>
          <w:rFonts w:ascii="宋体" w:hAnsi="宋体"/>
          <w:b/>
          <w:bCs/>
          <w:szCs w:val="21"/>
        </w:rPr>
      </w:pPr>
      <w:r>
        <w:rPr>
          <w:rFonts w:hint="eastAsia" w:ascii="宋体" w:hAnsi="宋体"/>
          <w:b/>
          <w:bCs/>
          <w:szCs w:val="21"/>
        </w:rPr>
        <w:t>第十二条  乙方服务工具要求</w:t>
      </w:r>
    </w:p>
    <w:p w14:paraId="6AB66538">
      <w:pPr>
        <w:ind w:firstLine="420" w:firstLineChars="200"/>
        <w:rPr>
          <w:rFonts w:ascii="宋体" w:hAnsi="宋体"/>
          <w:szCs w:val="21"/>
        </w:rPr>
      </w:pPr>
      <w:r>
        <w:rPr>
          <w:rFonts w:hint="eastAsia" w:ascii="宋体" w:hAnsi="宋体"/>
          <w:szCs w:val="21"/>
        </w:rPr>
        <w:t>1、乙方应配备中标项目所需的足够数量的仪器、仪表以及工具等设备。用户不需向乙方提供施工工具和仪器、仪表。</w:t>
      </w:r>
    </w:p>
    <w:p w14:paraId="473B8807">
      <w:pPr>
        <w:ind w:firstLine="420" w:firstLineChars="200"/>
        <w:rPr>
          <w:rFonts w:ascii="宋体" w:hAnsi="宋体"/>
          <w:szCs w:val="21"/>
        </w:rPr>
      </w:pPr>
      <w:r>
        <w:rPr>
          <w:rFonts w:hint="eastAsia" w:ascii="宋体" w:hAnsi="宋体"/>
          <w:szCs w:val="21"/>
        </w:rPr>
        <w:t>2、乙方在提供服务过程中应自备车辆。</w:t>
      </w:r>
    </w:p>
    <w:p w14:paraId="7C7EA3CC">
      <w:pPr>
        <w:ind w:firstLine="420" w:firstLineChars="200"/>
        <w:rPr>
          <w:rFonts w:ascii="宋体" w:hAnsi="宋体"/>
          <w:b/>
          <w:bCs/>
          <w:szCs w:val="21"/>
        </w:rPr>
      </w:pPr>
      <w:r>
        <w:rPr>
          <w:rFonts w:hint="eastAsia" w:ascii="宋体" w:hAnsi="宋体"/>
          <w:b/>
          <w:bCs/>
          <w:szCs w:val="21"/>
        </w:rPr>
        <w:t>第十三条  保密要求</w:t>
      </w:r>
    </w:p>
    <w:p w14:paraId="1C29BF69">
      <w:pPr>
        <w:ind w:firstLine="420" w:firstLineChars="200"/>
        <w:rPr>
          <w:rFonts w:ascii="宋体" w:hAnsi="宋体"/>
          <w:szCs w:val="21"/>
        </w:rPr>
      </w:pPr>
      <w:r>
        <w:rPr>
          <w:rFonts w:hint="eastAsia" w:ascii="宋体" w:hAnsi="宋体"/>
          <w:szCs w:val="21"/>
        </w:rPr>
        <w:t>1、</w:t>
      </w:r>
      <w:r>
        <w:rPr>
          <w:rFonts w:ascii="宋体" w:hAnsi="宋体"/>
          <w:szCs w:val="21"/>
        </w:rPr>
        <w:t>由甲方收集的、开发的、整理的、复制的、研究的和准备的与本合同项下工作有关的所有资料在提供给乙方时，均被视为保密的，不得泄漏给除甲方或其指定的代表之外的任何人、企业或公司，不管本合同因何种原因终止，本条款一直约束乙方。</w:t>
      </w:r>
    </w:p>
    <w:p w14:paraId="4679F1E5">
      <w:pPr>
        <w:ind w:firstLine="420" w:firstLineChars="200"/>
        <w:rPr>
          <w:rFonts w:ascii="宋体" w:hAnsi="宋体"/>
          <w:szCs w:val="21"/>
        </w:rPr>
      </w:pPr>
      <w:r>
        <w:rPr>
          <w:rFonts w:hint="eastAsia" w:ascii="宋体" w:hAnsi="宋体"/>
          <w:szCs w:val="21"/>
        </w:rPr>
        <w:t>2、</w:t>
      </w:r>
      <w:r>
        <w:rPr>
          <w:rFonts w:ascii="宋体" w:hAnsi="宋体"/>
          <w:szCs w:val="21"/>
        </w:rPr>
        <w:t>乙方在履行合同过程中所获得或接触到的任何</w:t>
      </w:r>
      <w:r>
        <w:rPr>
          <w:rFonts w:hint="eastAsia" w:ascii="宋体" w:hAnsi="宋体"/>
          <w:szCs w:val="21"/>
        </w:rPr>
        <w:t>内部数据资料，未经甲方同意，不得向第三方透露。</w:t>
      </w:r>
    </w:p>
    <w:p w14:paraId="45853BBD">
      <w:pPr>
        <w:ind w:firstLine="420" w:firstLineChars="200"/>
        <w:rPr>
          <w:rFonts w:ascii="宋体" w:hAnsi="宋体"/>
          <w:szCs w:val="21"/>
        </w:rPr>
      </w:pPr>
      <w:r>
        <w:rPr>
          <w:rFonts w:hint="eastAsia" w:ascii="宋体" w:hAnsi="宋体"/>
          <w:szCs w:val="21"/>
        </w:rPr>
        <w:t>3、</w:t>
      </w:r>
      <w:r>
        <w:rPr>
          <w:rFonts w:ascii="宋体" w:hAnsi="宋体"/>
          <w:szCs w:val="21"/>
        </w:rPr>
        <w:t>乙方</w:t>
      </w:r>
      <w:r>
        <w:rPr>
          <w:rFonts w:hint="eastAsia" w:ascii="宋体" w:hAnsi="宋体"/>
          <w:szCs w:val="21"/>
        </w:rPr>
        <w:t>实施项目的一切程序都应符合国家安全、保密的有关规定和标准。</w:t>
      </w:r>
    </w:p>
    <w:p w14:paraId="79912F0E">
      <w:pPr>
        <w:ind w:firstLine="420" w:firstLineChars="200"/>
        <w:rPr>
          <w:rFonts w:ascii="宋体" w:hAnsi="宋体"/>
          <w:szCs w:val="21"/>
        </w:rPr>
      </w:pPr>
      <w:r>
        <w:rPr>
          <w:rFonts w:hint="eastAsia" w:ascii="宋体" w:hAnsi="宋体"/>
          <w:szCs w:val="21"/>
        </w:rPr>
        <w:t>4、</w:t>
      </w:r>
      <w:r>
        <w:rPr>
          <w:rFonts w:ascii="宋体" w:hAnsi="宋体"/>
          <w:szCs w:val="21"/>
        </w:rPr>
        <w:t>乙方</w:t>
      </w:r>
      <w:r>
        <w:rPr>
          <w:rFonts w:hint="eastAsia" w:ascii="宋体" w:hAnsi="宋体"/>
          <w:szCs w:val="21"/>
        </w:rPr>
        <w:t>参加项目的有关人员均需同甲方签订保密协议。</w:t>
      </w:r>
    </w:p>
    <w:p w14:paraId="55EB676F">
      <w:pPr>
        <w:ind w:firstLine="420" w:firstLineChars="200"/>
        <w:rPr>
          <w:rFonts w:ascii="宋体" w:hAnsi="宋体"/>
          <w:b/>
          <w:bCs/>
          <w:szCs w:val="21"/>
        </w:rPr>
      </w:pPr>
      <w:r>
        <w:rPr>
          <w:rFonts w:hint="eastAsia" w:ascii="宋体" w:hAnsi="宋体"/>
          <w:b/>
          <w:bCs/>
          <w:szCs w:val="21"/>
        </w:rPr>
        <w:t xml:space="preserve">第十四条  验收     </w:t>
      </w:r>
    </w:p>
    <w:p w14:paraId="3F80608C">
      <w:pPr>
        <w:ind w:firstLine="420" w:firstLineChars="200"/>
        <w:rPr>
          <w:rFonts w:ascii="宋体" w:hAnsi="宋体"/>
          <w:szCs w:val="21"/>
        </w:rPr>
      </w:pPr>
      <w:r>
        <w:rPr>
          <w:rFonts w:hint="eastAsia" w:ascii="宋体" w:hAnsi="宋体"/>
          <w:szCs w:val="21"/>
        </w:rPr>
        <w:t>1、下列文件的验收分为</w:t>
      </w:r>
      <w:r>
        <w:rPr>
          <w:rFonts w:hint="eastAsia" w:ascii="宋体" w:hAnsi="宋体"/>
          <w:szCs w:val="21"/>
          <w:u w:val="single"/>
        </w:rPr>
        <w:t xml:space="preserve">          三</w:t>
      </w:r>
      <w:r>
        <w:rPr>
          <w:rFonts w:hint="eastAsia" w:ascii="宋体" w:hAnsi="宋体"/>
          <w:szCs w:val="21"/>
        </w:rPr>
        <w:t>个阶段:</w:t>
      </w:r>
    </w:p>
    <w:p w14:paraId="4259CEDE">
      <w:pPr>
        <w:ind w:firstLine="420" w:firstLineChars="200"/>
        <w:rPr>
          <w:rFonts w:ascii="宋体" w:hAnsi="宋体"/>
          <w:szCs w:val="21"/>
        </w:rPr>
      </w:pPr>
      <w:r>
        <w:rPr>
          <w:rFonts w:hint="eastAsia" w:ascii="宋体" w:hAnsi="宋体"/>
          <w:szCs w:val="21"/>
        </w:rPr>
        <w:t>2、其余文件和工作由用户组织有关技术人员根据国家和行业有关规范、规程、标准和用户需求直接验收。</w:t>
      </w:r>
    </w:p>
    <w:p w14:paraId="77FC2E82">
      <w:pPr>
        <w:ind w:firstLine="420" w:firstLineChars="200"/>
        <w:rPr>
          <w:rFonts w:ascii="宋体" w:hAnsi="宋体"/>
          <w:szCs w:val="21"/>
        </w:rPr>
      </w:pPr>
      <w:r>
        <w:rPr>
          <w:rFonts w:hint="eastAsia" w:ascii="宋体" w:hAnsi="宋体"/>
          <w:szCs w:val="21"/>
        </w:rPr>
        <w:t>3、验收依据为招标文件、投标文件，国家和行业有关规范、规程和标准。</w:t>
      </w:r>
    </w:p>
    <w:p w14:paraId="2EE7FE97">
      <w:pPr>
        <w:ind w:firstLine="420" w:firstLineChars="200"/>
        <w:rPr>
          <w:rFonts w:ascii="宋体" w:hAnsi="宋体"/>
          <w:b/>
          <w:bCs/>
          <w:szCs w:val="21"/>
        </w:rPr>
      </w:pPr>
      <w:r>
        <w:rPr>
          <w:rFonts w:hint="eastAsia" w:ascii="宋体" w:hAnsi="宋体"/>
          <w:b/>
          <w:bCs/>
          <w:szCs w:val="21"/>
        </w:rPr>
        <w:t>第十五条  付款方式</w:t>
      </w:r>
    </w:p>
    <w:p w14:paraId="0A275AD3">
      <w:pPr>
        <w:ind w:firstLine="420" w:firstLineChars="200"/>
        <w:rPr>
          <w:rFonts w:ascii="宋体" w:hAnsi="宋体"/>
          <w:szCs w:val="21"/>
        </w:rPr>
      </w:pPr>
      <w:r>
        <w:rPr>
          <w:rFonts w:hint="eastAsia" w:ascii="宋体" w:hAnsi="宋体"/>
          <w:szCs w:val="21"/>
        </w:rPr>
        <w:t>1、合同签订后   天内乙方向甲方开具合法有效的发票后，甲方于   天内向乙方支付合同总价%的款项。</w:t>
      </w:r>
    </w:p>
    <w:p w14:paraId="4261B938">
      <w:pPr>
        <w:ind w:firstLine="420" w:firstLineChars="200"/>
        <w:rPr>
          <w:rFonts w:ascii="宋体" w:hAnsi="宋体"/>
          <w:szCs w:val="21"/>
        </w:rPr>
      </w:pPr>
      <w:r>
        <w:rPr>
          <w:rFonts w:hint="eastAsia" w:ascii="宋体" w:hAnsi="宋体"/>
          <w:szCs w:val="21"/>
        </w:rPr>
        <w:t>2、检测完成并提交评估报告后  天内，乙方向甲方开具合法有效发票后 天，甲方向乙方支付合同总价%的款项。</w:t>
      </w:r>
    </w:p>
    <w:p w14:paraId="19C18976">
      <w:pPr>
        <w:ind w:firstLine="420" w:firstLineChars="200"/>
        <w:rPr>
          <w:rFonts w:ascii="宋体" w:hAnsi="宋体"/>
          <w:szCs w:val="21"/>
        </w:rPr>
      </w:pPr>
      <w:r>
        <w:rPr>
          <w:rFonts w:hint="eastAsia" w:ascii="宋体" w:hAnsi="宋体"/>
          <w:szCs w:val="21"/>
        </w:rPr>
        <w:t>3、报告通过专家评审后，甲方向乙方支付合同总价%的款项。</w:t>
      </w:r>
    </w:p>
    <w:p w14:paraId="63AD7FCC">
      <w:pPr>
        <w:ind w:firstLine="420" w:firstLineChars="200"/>
        <w:rPr>
          <w:rFonts w:ascii="宋体" w:hAnsi="宋体"/>
          <w:b/>
          <w:bCs/>
          <w:szCs w:val="21"/>
        </w:rPr>
      </w:pPr>
      <w:r>
        <w:rPr>
          <w:rFonts w:hint="eastAsia" w:ascii="宋体" w:hAnsi="宋体"/>
          <w:b/>
          <w:bCs/>
          <w:szCs w:val="21"/>
        </w:rPr>
        <w:t>第十六条  争议解决办法</w:t>
      </w:r>
    </w:p>
    <w:p w14:paraId="128DAD7E">
      <w:pPr>
        <w:ind w:firstLine="420" w:firstLineChars="200"/>
        <w:rPr>
          <w:rFonts w:ascii="宋体" w:hAnsi="宋体"/>
          <w:szCs w:val="21"/>
        </w:rPr>
      </w:pPr>
      <w:r>
        <w:rPr>
          <w:rFonts w:hint="eastAsia" w:ascii="宋体" w:hAnsi="宋体"/>
          <w:szCs w:val="21"/>
        </w:rPr>
        <w:t>执行本合同发生的争议，由甲乙双方协商解决，如协商不成的，应提交甲方所在地人民法院诉讼解决。</w:t>
      </w:r>
    </w:p>
    <w:p w14:paraId="48CAAF8C">
      <w:pPr>
        <w:ind w:firstLine="420" w:firstLineChars="200"/>
        <w:rPr>
          <w:rFonts w:ascii="宋体" w:hAnsi="宋体"/>
          <w:b/>
          <w:bCs/>
          <w:szCs w:val="21"/>
        </w:rPr>
      </w:pPr>
      <w:r>
        <w:rPr>
          <w:rFonts w:hint="eastAsia" w:ascii="宋体" w:hAnsi="宋体"/>
          <w:b/>
          <w:bCs/>
          <w:szCs w:val="21"/>
        </w:rPr>
        <w:t>第十七条  风险责任</w:t>
      </w:r>
    </w:p>
    <w:p w14:paraId="2FE02D65">
      <w:pPr>
        <w:ind w:firstLine="420" w:firstLineChars="200"/>
        <w:rPr>
          <w:rFonts w:ascii="宋体" w:hAnsi="宋体"/>
          <w:szCs w:val="21"/>
        </w:rPr>
      </w:pPr>
      <w:r>
        <w:rPr>
          <w:rFonts w:hint="eastAsia" w:ascii="宋体" w:hAnsi="宋体"/>
          <w:szCs w:val="21"/>
        </w:rPr>
        <w:t>１、乙方应完全地按照招标文件的要求和乙方投标文件的承诺完成本项目，出于自身财务、技术、人力等原因导致项目失败的，应承担全部责任。</w:t>
      </w:r>
    </w:p>
    <w:p w14:paraId="5191F5F0">
      <w:pPr>
        <w:ind w:firstLine="420" w:firstLineChars="200"/>
        <w:rPr>
          <w:rFonts w:ascii="宋体" w:hAnsi="宋体"/>
          <w:szCs w:val="21"/>
        </w:rPr>
      </w:pPr>
      <w:r>
        <w:rPr>
          <w:rFonts w:hint="eastAsia" w:ascii="宋体" w:hAnsi="宋体"/>
          <w:szCs w:val="21"/>
        </w:rPr>
        <w:t>2、乙方在实施荷载试验过程中应对自身的安全生产负责，若非因甲方原因发生的各种事故甲方不承担任何责任。</w:t>
      </w:r>
    </w:p>
    <w:p w14:paraId="607EB188">
      <w:pPr>
        <w:ind w:firstLine="420" w:firstLineChars="200"/>
        <w:rPr>
          <w:rFonts w:ascii="宋体" w:hAnsi="宋体"/>
          <w:b/>
          <w:bCs/>
          <w:szCs w:val="21"/>
        </w:rPr>
      </w:pPr>
      <w:r>
        <w:rPr>
          <w:rFonts w:hint="eastAsia" w:ascii="宋体" w:hAnsi="宋体"/>
          <w:b/>
          <w:bCs/>
          <w:szCs w:val="21"/>
        </w:rPr>
        <w:t>第十八条  违约责任</w:t>
      </w:r>
    </w:p>
    <w:p w14:paraId="442FA6C1">
      <w:pPr>
        <w:pStyle w:val="22"/>
        <w:spacing w:line="240" w:lineRule="auto"/>
        <w:rPr>
          <w:rFonts w:ascii="宋体" w:hAnsi="宋体"/>
          <w:szCs w:val="21"/>
        </w:rPr>
      </w:pPr>
      <w:r>
        <w:rPr>
          <w:rFonts w:hint="eastAsia" w:ascii="宋体" w:hAnsi="宋体"/>
          <w:szCs w:val="21"/>
        </w:rPr>
        <w:t>１、因乙方原因，未能按规定时间完成有关工作的，每延误一天，甲方可在支付合同余款中扣除合同价款千分之一。</w:t>
      </w:r>
    </w:p>
    <w:p w14:paraId="65F32513">
      <w:pPr>
        <w:ind w:firstLine="420" w:firstLineChars="200"/>
        <w:rPr>
          <w:rFonts w:ascii="宋体" w:hAnsi="宋体"/>
          <w:szCs w:val="21"/>
        </w:rPr>
      </w:pPr>
      <w:r>
        <w:rPr>
          <w:rFonts w:hint="eastAsia" w:ascii="宋体" w:hAnsi="宋体"/>
          <w:szCs w:val="21"/>
        </w:rPr>
        <w:t>2、由于乙方原因造成试验成果质量低劣，不能满足大纲要求时，应继续完善试验工作，其费用由乙方承担。</w:t>
      </w:r>
    </w:p>
    <w:p w14:paraId="62CD223F">
      <w:pPr>
        <w:ind w:firstLine="420" w:firstLineChars="200"/>
        <w:rPr>
          <w:rFonts w:ascii="宋体" w:hAnsi="宋体"/>
          <w:szCs w:val="21"/>
        </w:rPr>
      </w:pPr>
      <w:r>
        <w:rPr>
          <w:rFonts w:hint="eastAsia" w:ascii="宋体" w:hAnsi="宋体"/>
          <w:szCs w:val="21"/>
        </w:rPr>
        <w:t>3、乙方交付的成果经验收不合格，应于7日内无条件修改，费用由乙方自行承担，在甲方要求整改后再次验收不合格的，甲方有权解除合同、要求乙方返还甲方已支付的合同款项，并有权要求乙方按合同总额   %支付违约金。。</w:t>
      </w:r>
    </w:p>
    <w:p w14:paraId="231406E6">
      <w:pPr>
        <w:ind w:firstLine="420" w:firstLineChars="200"/>
        <w:rPr>
          <w:rFonts w:ascii="宋体" w:hAnsi="宋体"/>
          <w:szCs w:val="21"/>
        </w:rPr>
      </w:pPr>
      <w:r>
        <w:rPr>
          <w:rFonts w:hint="eastAsia" w:ascii="宋体" w:hAnsi="宋体"/>
          <w:szCs w:val="21"/>
        </w:rPr>
        <w:t>4、若甲方发现乙方派出的试验服务人员或提供的试验仪器设备不符合合同要求，乙方应在3天之内按要求派出人员或提供满足投标文件承诺的仪器设备，否则甲方有权终止合同，并保留追究乙方责任及要求赔偿损失的权利。</w:t>
      </w:r>
    </w:p>
    <w:p w14:paraId="6561C2C6">
      <w:pPr>
        <w:ind w:firstLine="420" w:firstLineChars="200"/>
        <w:rPr>
          <w:rFonts w:ascii="宋体" w:hAnsi="宋体"/>
          <w:szCs w:val="21"/>
        </w:rPr>
      </w:pPr>
      <w:r>
        <w:rPr>
          <w:rFonts w:hint="eastAsia" w:ascii="宋体" w:hAnsi="宋体"/>
          <w:szCs w:val="21"/>
        </w:rPr>
        <w:t>5、乙方或其工作人员违反本合同约定的保密义务，甲方有权要求乙方按合同总额   %支付违约金；造成不良影响或对甲方造成损失的，甲方有权要求乙方消除影响，承担赔偿责任，并有权解除合同。</w:t>
      </w:r>
    </w:p>
    <w:p w14:paraId="1656275A">
      <w:pPr>
        <w:ind w:firstLine="420" w:firstLineChars="200"/>
        <w:rPr>
          <w:rFonts w:ascii="宋体" w:hAnsi="宋体"/>
          <w:szCs w:val="21"/>
        </w:rPr>
      </w:pPr>
      <w:r>
        <w:rPr>
          <w:rFonts w:hint="eastAsia" w:ascii="宋体" w:hAnsi="宋体"/>
          <w:szCs w:val="21"/>
        </w:rPr>
        <w:t>6、因乙方提供的服务成果受到侵权指控或者引发法律纠纷，影响甲方使用服务成果或者导致合同目的不能实现的，甲方有权要求乙方按合同总额   %支付违约金，并有权解除合同。</w:t>
      </w:r>
    </w:p>
    <w:p w14:paraId="3DAF0FC0">
      <w:pPr>
        <w:ind w:firstLine="420" w:firstLineChars="200"/>
        <w:rPr>
          <w:rFonts w:ascii="宋体" w:hAnsi="宋体"/>
          <w:b/>
          <w:bCs/>
          <w:szCs w:val="21"/>
        </w:rPr>
      </w:pPr>
      <w:r>
        <w:rPr>
          <w:rFonts w:hint="eastAsia" w:ascii="宋体" w:hAnsi="宋体"/>
          <w:b/>
          <w:bCs/>
          <w:szCs w:val="21"/>
        </w:rPr>
        <w:t>第十九条  其他</w:t>
      </w:r>
    </w:p>
    <w:p w14:paraId="3175EDD0">
      <w:pPr>
        <w:ind w:firstLine="420" w:firstLineChars="200"/>
        <w:rPr>
          <w:rFonts w:hint="eastAsia" w:ascii="宋体" w:hAnsi="宋体"/>
          <w:szCs w:val="21"/>
        </w:rPr>
      </w:pPr>
      <w:r>
        <w:rPr>
          <w:rFonts w:hint="eastAsia" w:ascii="宋体" w:hAnsi="宋体"/>
          <w:szCs w:val="21"/>
        </w:rPr>
        <w:t>1、本协议书与下列文件一起构成合同文件，如下述文件之间有任何抵触、矛盾或歧义，应按以下顺序解释：</w:t>
      </w:r>
    </w:p>
    <w:p w14:paraId="297B2A12">
      <w:pPr>
        <w:ind w:firstLine="420" w:firstLineChars="200"/>
        <w:rPr>
          <w:rFonts w:hint="eastAsia" w:ascii="宋体" w:hAnsi="宋体"/>
          <w:szCs w:val="21"/>
        </w:rPr>
      </w:pPr>
      <w:r>
        <w:rPr>
          <w:rFonts w:hint="eastAsia" w:ascii="宋体" w:hAnsi="宋体"/>
          <w:szCs w:val="21"/>
        </w:rPr>
        <w:t>（1）政府采购合同协议书及其变更、补充协议</w:t>
      </w:r>
    </w:p>
    <w:p w14:paraId="24AF6775">
      <w:pPr>
        <w:ind w:firstLine="420" w:firstLineChars="200"/>
        <w:rPr>
          <w:rFonts w:hint="eastAsia" w:ascii="宋体" w:hAnsi="宋体"/>
          <w:szCs w:val="21"/>
        </w:rPr>
      </w:pPr>
      <w:r>
        <w:rPr>
          <w:rFonts w:hint="eastAsia" w:ascii="宋体" w:hAnsi="宋体"/>
          <w:szCs w:val="21"/>
        </w:rPr>
        <w:t>（2）政府采购合同专用条款</w:t>
      </w:r>
    </w:p>
    <w:p w14:paraId="3AC86546">
      <w:pPr>
        <w:ind w:firstLine="420" w:firstLineChars="200"/>
        <w:rPr>
          <w:rFonts w:hint="eastAsia" w:ascii="宋体" w:hAnsi="宋体"/>
          <w:szCs w:val="21"/>
        </w:rPr>
      </w:pPr>
      <w:r>
        <w:rPr>
          <w:rFonts w:hint="eastAsia" w:ascii="宋体" w:hAnsi="宋体"/>
          <w:szCs w:val="21"/>
        </w:rPr>
        <w:t>（3）政府采购合同通用条款</w:t>
      </w:r>
    </w:p>
    <w:p w14:paraId="68E83894">
      <w:pPr>
        <w:ind w:firstLine="420" w:firstLineChars="200"/>
        <w:rPr>
          <w:rFonts w:hint="eastAsia" w:ascii="宋体" w:hAnsi="宋体"/>
          <w:szCs w:val="21"/>
        </w:rPr>
      </w:pPr>
      <w:r>
        <w:rPr>
          <w:rFonts w:hint="eastAsia" w:ascii="宋体" w:hAnsi="宋体"/>
          <w:szCs w:val="21"/>
        </w:rPr>
        <w:t>（4）中标（成交）通知书</w:t>
      </w:r>
    </w:p>
    <w:p w14:paraId="0B53C380">
      <w:pPr>
        <w:ind w:firstLine="420" w:firstLineChars="200"/>
        <w:rPr>
          <w:rFonts w:hint="eastAsia" w:ascii="宋体" w:hAnsi="宋体"/>
          <w:szCs w:val="21"/>
        </w:rPr>
      </w:pPr>
      <w:r>
        <w:rPr>
          <w:rFonts w:hint="eastAsia" w:ascii="宋体" w:hAnsi="宋体"/>
          <w:szCs w:val="21"/>
        </w:rPr>
        <w:t>（5）投标（响应）文件</w:t>
      </w:r>
    </w:p>
    <w:p w14:paraId="076918D9">
      <w:pPr>
        <w:ind w:firstLine="420" w:firstLineChars="200"/>
        <w:rPr>
          <w:rFonts w:hint="eastAsia" w:ascii="宋体" w:hAnsi="宋体"/>
          <w:szCs w:val="21"/>
        </w:rPr>
      </w:pPr>
      <w:r>
        <w:rPr>
          <w:rFonts w:hint="eastAsia" w:ascii="宋体" w:hAnsi="宋体"/>
          <w:szCs w:val="21"/>
        </w:rPr>
        <w:t>（6）采购文件</w:t>
      </w:r>
    </w:p>
    <w:p w14:paraId="5D3A05DB">
      <w:pPr>
        <w:ind w:firstLine="420" w:firstLineChars="200"/>
        <w:rPr>
          <w:rFonts w:hint="eastAsia" w:ascii="宋体" w:hAnsi="宋体"/>
          <w:szCs w:val="21"/>
        </w:rPr>
      </w:pPr>
      <w:r>
        <w:rPr>
          <w:rFonts w:hint="eastAsia" w:ascii="宋体" w:hAnsi="宋体"/>
          <w:szCs w:val="21"/>
        </w:rPr>
        <w:t>（7）有关技术文件，图纸</w:t>
      </w:r>
    </w:p>
    <w:p w14:paraId="4C4F450C">
      <w:pPr>
        <w:ind w:firstLine="420" w:firstLineChars="200"/>
        <w:rPr>
          <w:rFonts w:ascii="宋体" w:hAnsi="宋体"/>
          <w:szCs w:val="21"/>
        </w:rPr>
      </w:pPr>
      <w:r>
        <w:rPr>
          <w:rFonts w:hint="eastAsia" w:ascii="宋体" w:hAnsi="宋体"/>
          <w:szCs w:val="21"/>
        </w:rPr>
        <w:t>（8）国家法律、行政法规和规章制度规定或合同约定的作为合同组成部分的其他文件。</w:t>
      </w:r>
    </w:p>
    <w:p w14:paraId="0FEB9283">
      <w:pPr>
        <w:ind w:firstLine="420" w:firstLineChars="200"/>
        <w:rPr>
          <w:rFonts w:ascii="宋体" w:hAnsi="宋体"/>
          <w:szCs w:val="21"/>
        </w:rPr>
      </w:pPr>
      <w:r>
        <w:rPr>
          <w:rFonts w:hint="eastAsia" w:ascii="宋体" w:hAnsi="宋体"/>
          <w:szCs w:val="21"/>
        </w:rPr>
        <w:t>2、下列文件均为本合同的组成部分：</w:t>
      </w:r>
    </w:p>
    <w:p w14:paraId="3E9480AD">
      <w:pPr>
        <w:ind w:firstLine="420" w:firstLineChars="200"/>
        <w:rPr>
          <w:rFonts w:ascii="宋体" w:hAnsi="宋体"/>
          <w:szCs w:val="21"/>
        </w:rPr>
      </w:pPr>
      <w:r>
        <w:rPr>
          <w:rFonts w:hint="eastAsia" w:ascii="宋体" w:hAnsi="宋体"/>
          <w:szCs w:val="21"/>
        </w:rPr>
        <w:t>（1）号招标文件、答疑及补充通知；</w:t>
      </w:r>
    </w:p>
    <w:p w14:paraId="7729F193">
      <w:pPr>
        <w:ind w:firstLine="420" w:firstLineChars="200"/>
        <w:rPr>
          <w:rFonts w:ascii="宋体" w:hAnsi="宋体"/>
          <w:szCs w:val="21"/>
        </w:rPr>
      </w:pPr>
      <w:r>
        <w:rPr>
          <w:rFonts w:hint="eastAsia" w:ascii="宋体" w:hAnsi="宋体"/>
          <w:szCs w:val="21"/>
        </w:rPr>
        <w:t>（2）投标文件；</w:t>
      </w:r>
    </w:p>
    <w:p w14:paraId="10DF6B33">
      <w:pPr>
        <w:ind w:firstLine="420" w:firstLineChars="200"/>
        <w:rPr>
          <w:rFonts w:ascii="宋体" w:hAnsi="宋体"/>
          <w:szCs w:val="21"/>
        </w:rPr>
      </w:pPr>
      <w:r>
        <w:rPr>
          <w:rFonts w:hint="eastAsia" w:ascii="宋体" w:hAnsi="宋体"/>
          <w:szCs w:val="21"/>
        </w:rPr>
        <w:t>（3）本合同执行中共同签署的补充与修正文件。</w:t>
      </w:r>
    </w:p>
    <w:p w14:paraId="39E63EF1">
      <w:pPr>
        <w:ind w:firstLine="420" w:firstLineChars="200"/>
        <w:rPr>
          <w:rFonts w:ascii="宋体" w:hAnsi="宋体"/>
          <w:szCs w:val="21"/>
        </w:rPr>
      </w:pPr>
      <w:r>
        <w:rPr>
          <w:rFonts w:hint="eastAsia" w:ascii="宋体" w:hAnsi="宋体"/>
          <w:szCs w:val="21"/>
        </w:rPr>
        <w:t>本合同一式份，甲、乙方双方各执份，具有同等法律效力。本合同自双方法人代表签字（盖章）认可之日起生效。</w:t>
      </w:r>
    </w:p>
    <w:p w14:paraId="3BD089CB">
      <w:pPr>
        <w:ind w:firstLine="420" w:firstLineChars="200"/>
        <w:rPr>
          <w:rFonts w:ascii="宋体" w:hAnsi="宋体"/>
          <w:szCs w:val="21"/>
        </w:rPr>
      </w:pPr>
      <w:r>
        <w:rPr>
          <w:rFonts w:hint="eastAsia" w:ascii="宋体" w:hAnsi="宋体"/>
          <w:szCs w:val="21"/>
        </w:rPr>
        <w:t>本合同未尽事宜，双方友好协商，达成解决方案，经双方签字后，可作为本合同的有效附件。</w:t>
      </w:r>
    </w:p>
    <w:p w14:paraId="0521580F">
      <w:pPr>
        <w:ind w:firstLine="420" w:firstLineChars="200"/>
        <w:rPr>
          <w:rFonts w:ascii="宋体" w:hAnsi="宋体"/>
          <w:szCs w:val="21"/>
        </w:rPr>
      </w:pPr>
    </w:p>
    <w:p w14:paraId="2C1479CC">
      <w:pPr>
        <w:ind w:firstLine="420" w:firstLineChars="200"/>
        <w:rPr>
          <w:rFonts w:ascii="宋体" w:hAnsi="宋体"/>
          <w:szCs w:val="21"/>
        </w:rPr>
      </w:pPr>
    </w:p>
    <w:p w14:paraId="39566244">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宋体" w:hAnsi="宋体"/>
          <w:szCs w:val="21"/>
        </w:rPr>
      </w:pPr>
      <w:r>
        <w:rPr>
          <w:rFonts w:hint="eastAsia" w:ascii="宋体" w:hAnsi="宋体"/>
          <w:szCs w:val="21"/>
        </w:rPr>
        <w:t>甲方（采购人）：   （盖章）       乙方（供应商）：    （盖章）</w:t>
      </w:r>
    </w:p>
    <w:p w14:paraId="4BFE0855">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宋体" w:hAnsi="宋体"/>
          <w:szCs w:val="21"/>
        </w:rPr>
      </w:pPr>
      <w:r>
        <w:rPr>
          <w:rFonts w:hint="eastAsia" w:ascii="宋体" w:hAnsi="宋体"/>
          <w:szCs w:val="21"/>
        </w:rPr>
        <w:t xml:space="preserve">法定代表人：                     法定代表人： </w:t>
      </w:r>
    </w:p>
    <w:p w14:paraId="240E65D0">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宋体" w:hAnsi="宋体"/>
          <w:szCs w:val="21"/>
        </w:rPr>
      </w:pPr>
      <w:r>
        <w:rPr>
          <w:rFonts w:hint="eastAsia" w:ascii="宋体" w:hAnsi="宋体"/>
          <w:szCs w:val="21"/>
        </w:rPr>
        <w:t>委托代理人：                     委托代理人：</w:t>
      </w:r>
    </w:p>
    <w:p w14:paraId="0C40A4EB">
      <w:pPr>
        <w:keepNext w:val="0"/>
        <w:keepLines w:val="0"/>
        <w:pageBreakBefore w:val="0"/>
        <w:widowControl w:val="0"/>
        <w:kinsoku/>
        <w:wordWrap/>
        <w:overflowPunct/>
        <w:topLinePunct w:val="0"/>
        <w:autoSpaceDE/>
        <w:autoSpaceDN/>
        <w:bidi w:val="0"/>
        <w:adjustRightInd/>
        <w:snapToGrid/>
        <w:textAlignment w:val="auto"/>
        <w:rPr>
          <w:rFonts w:ascii="宋体" w:hAnsi="宋体"/>
          <w:szCs w:val="21"/>
        </w:rPr>
      </w:pPr>
      <w:r>
        <w:rPr>
          <w:rFonts w:hint="eastAsia" w:ascii="宋体" w:hAnsi="宋体"/>
          <w:szCs w:val="21"/>
        </w:rPr>
        <w:t>日期：   年     月    日         日期：   年     月    日</w:t>
      </w:r>
    </w:p>
    <w:p w14:paraId="49F040E4">
      <w:pPr>
        <w:ind w:firstLine="420" w:firstLineChars="200"/>
        <w:rPr>
          <w:rFonts w:ascii="宋体" w:hAnsi="宋体"/>
          <w:szCs w:val="21"/>
        </w:rPr>
      </w:pPr>
    </w:p>
    <w:p w14:paraId="2A07422B">
      <w:pPr>
        <w:ind w:firstLine="420" w:firstLineChars="200"/>
        <w:rPr>
          <w:rFonts w:ascii="宋体" w:hAnsi="宋体"/>
          <w:szCs w:val="21"/>
        </w:rPr>
      </w:pPr>
    </w:p>
    <w:p w14:paraId="21C662BA">
      <w:pPr>
        <w:ind w:firstLine="420" w:firstLineChars="200"/>
        <w:rPr>
          <w:rFonts w:ascii="宋体" w:hAnsi="宋体"/>
          <w:szCs w:val="21"/>
        </w:rPr>
      </w:pPr>
    </w:p>
    <w:p w14:paraId="0C7845D9">
      <w:pPr>
        <w:ind w:firstLine="420" w:firstLineChars="200"/>
        <w:rPr>
          <w:rFonts w:ascii="宋体" w:hAnsi="宋体"/>
          <w:szCs w:val="21"/>
        </w:rPr>
      </w:pPr>
    </w:p>
    <w:p w14:paraId="463D5D63">
      <w:pPr>
        <w:ind w:firstLine="420" w:firstLineChars="200"/>
        <w:rPr>
          <w:rFonts w:ascii="宋体" w:hAnsi="宋体"/>
          <w:szCs w:val="21"/>
        </w:rPr>
      </w:pPr>
    </w:p>
    <w:p w14:paraId="61F6B07A">
      <w:pPr>
        <w:widowControl/>
        <w:jc w:val="left"/>
        <w:rPr>
          <w:rFonts w:ascii="宋体" w:hAnsi="宋体"/>
          <w:szCs w:val="21"/>
        </w:rPr>
      </w:pPr>
      <w:r>
        <w:rPr>
          <w:rFonts w:ascii="宋体" w:hAnsi="宋体"/>
          <w:szCs w:val="21"/>
        </w:rPr>
        <w:br w:type="page"/>
      </w:r>
    </w:p>
    <w:p w14:paraId="720D41C4">
      <w:pPr>
        <w:pStyle w:val="5"/>
        <w:spacing w:before="120" w:beforeLines="50" w:after="120" w:afterLines="50"/>
        <w:ind w:left="562"/>
        <w:rPr>
          <w:sz w:val="28"/>
          <w:szCs w:val="28"/>
        </w:rPr>
      </w:pPr>
      <w:r>
        <w:rPr>
          <w:rFonts w:hint="eastAsia"/>
          <w:sz w:val="28"/>
          <w:szCs w:val="28"/>
        </w:rPr>
        <w:t>第二册  通用条款（公开招标）</w:t>
      </w:r>
    </w:p>
    <w:p w14:paraId="49632D92">
      <w:pPr>
        <w:pStyle w:val="5"/>
        <w:numPr>
          <w:ilvl w:val="0"/>
          <w:numId w:val="14"/>
        </w:numPr>
        <w:spacing w:before="120" w:beforeLines="50" w:after="120" w:afterLines="50"/>
        <w:ind w:left="562" w:hanging="562"/>
        <w:rPr>
          <w:sz w:val="28"/>
          <w:szCs w:val="28"/>
        </w:rPr>
      </w:pPr>
      <w:bookmarkStart w:id="27" w:name="_Hlk72399513"/>
      <w:r>
        <w:rPr>
          <w:rFonts w:hint="eastAsia"/>
          <w:sz w:val="28"/>
          <w:szCs w:val="28"/>
        </w:rPr>
        <w:t>总则</w:t>
      </w:r>
    </w:p>
    <w:bookmarkEnd w:id="27"/>
    <w:p w14:paraId="05288FA1">
      <w:pPr>
        <w:rPr>
          <w:rFonts w:ascii="黑体" w:hAnsi="宋体" w:eastAsia="黑体"/>
          <w:sz w:val="24"/>
        </w:rPr>
      </w:pPr>
      <w:r>
        <w:rPr>
          <w:rFonts w:hint="eastAsia" w:ascii="黑体" w:hAnsi="宋体" w:eastAsia="黑体"/>
          <w:sz w:val="24"/>
        </w:rPr>
        <w:t>1. 通用条款说明</w:t>
      </w:r>
    </w:p>
    <w:p w14:paraId="37758339">
      <w:pPr>
        <w:ind w:firstLine="411" w:firstLineChars="196"/>
        <w:rPr>
          <w:rFonts w:ascii="宋体" w:hAnsi="宋体"/>
          <w:szCs w:val="21"/>
        </w:rPr>
      </w:pPr>
      <w:r>
        <w:rPr>
          <w:rFonts w:hint="eastAsia" w:ascii="宋体" w:hAnsi="宋体"/>
          <w:szCs w:val="21"/>
        </w:rPr>
        <w:t>1.1政府集中采购机构发出招标文件通用条款版本，列出深圳市政府采购项目进行招标采购所适用的通用条款内容。</w:t>
      </w:r>
      <w:bookmarkStart w:id="28" w:name="_Hlk72399729"/>
      <w:r>
        <w:rPr>
          <w:rFonts w:hint="eastAsia" w:ascii="宋体" w:hAnsi="宋体"/>
          <w:szCs w:val="21"/>
        </w:rPr>
        <w:t>如有需要，政府集中采购机构可以对通用条款的内容进行补充。</w:t>
      </w:r>
      <w:bookmarkEnd w:id="28"/>
    </w:p>
    <w:p w14:paraId="74530942">
      <w:pPr>
        <w:ind w:firstLine="411" w:firstLineChars="196"/>
        <w:rPr>
          <w:rFonts w:ascii="宋体" w:hAnsi="宋体"/>
          <w:szCs w:val="21"/>
        </w:rPr>
      </w:pPr>
      <w:r>
        <w:rPr>
          <w:rFonts w:hint="eastAsia" w:ascii="宋体" w:hAnsi="宋体"/>
          <w:szCs w:val="21"/>
        </w:rPr>
        <w:t>1.2招标文件分为第一册“专用条款”和第二册“通用条款”。</w:t>
      </w:r>
    </w:p>
    <w:p w14:paraId="12FA6654">
      <w:pPr>
        <w:ind w:firstLine="411" w:firstLineChars="196"/>
        <w:rPr>
          <w:rFonts w:ascii="宋体" w:hAnsi="宋体"/>
          <w:szCs w:val="21"/>
        </w:rPr>
      </w:pPr>
      <w:r>
        <w:rPr>
          <w:rFonts w:hint="eastAsia" w:ascii="宋体" w:hAnsi="宋体"/>
          <w:szCs w:val="21"/>
        </w:rPr>
        <w:t>1.3“专用条款”是对本次采购项目的具体要求，包含招标公告、对通用条款的补充内容及其他关键信息、用户需求书、投标文件格式及附件、合同条款及格式等内容。</w:t>
      </w:r>
    </w:p>
    <w:p w14:paraId="02CFD387">
      <w:pPr>
        <w:ind w:firstLine="411" w:firstLineChars="196"/>
        <w:rPr>
          <w:rFonts w:ascii="宋体" w:hAnsi="宋体"/>
          <w:szCs w:val="21"/>
        </w:rPr>
      </w:pPr>
      <w:r>
        <w:rPr>
          <w:rFonts w:hint="eastAsia" w:ascii="宋体" w:hAnsi="宋体"/>
          <w:szCs w:val="21"/>
        </w:rPr>
        <w:t>1.4“通用条款”是适用于政府采购公开招标项目的基础性条款，具有普遍性和通用性。</w:t>
      </w:r>
    </w:p>
    <w:p w14:paraId="63DC3DA3">
      <w:pPr>
        <w:ind w:firstLine="411" w:firstLineChars="196"/>
        <w:rPr>
          <w:rFonts w:ascii="宋体" w:hAnsi="宋体"/>
          <w:szCs w:val="21"/>
        </w:rPr>
      </w:pPr>
      <w:r>
        <w:rPr>
          <w:rFonts w:hint="eastAsia" w:ascii="宋体" w:hAnsi="宋体"/>
          <w:szCs w:val="21"/>
        </w:rPr>
        <w:t>1.5 “专用条款”和“通用条款”表述不一致或有冲突时，以“专用条款”为准。</w:t>
      </w:r>
    </w:p>
    <w:p w14:paraId="1574091F">
      <w:pPr>
        <w:rPr>
          <w:rFonts w:ascii="黑体" w:hAnsi="宋体" w:eastAsia="黑体"/>
          <w:sz w:val="24"/>
        </w:rPr>
      </w:pPr>
      <w:r>
        <w:rPr>
          <w:rFonts w:hint="eastAsia" w:ascii="黑体" w:hAnsi="宋体" w:eastAsia="黑体"/>
          <w:sz w:val="24"/>
        </w:rPr>
        <w:t>2</w:t>
      </w:r>
      <w:r>
        <w:rPr>
          <w:rFonts w:ascii="黑体" w:hAnsi="宋体" w:eastAsia="黑体"/>
          <w:sz w:val="24"/>
        </w:rPr>
        <w:t>．</w:t>
      </w:r>
      <w:r>
        <w:rPr>
          <w:rFonts w:hint="eastAsia" w:ascii="黑体" w:hAnsi="宋体" w:eastAsia="黑体"/>
          <w:sz w:val="24"/>
        </w:rPr>
        <w:t>招标说明</w:t>
      </w:r>
    </w:p>
    <w:p w14:paraId="358C05ED">
      <w:pPr>
        <w:ind w:firstLine="411" w:firstLineChars="196"/>
        <w:rPr>
          <w:rFonts w:ascii="宋体" w:hAnsi="宋体"/>
          <w:szCs w:val="21"/>
        </w:rPr>
      </w:pPr>
      <w:r>
        <w:rPr>
          <w:rFonts w:hint="eastAsia" w:ascii="宋体" w:hAnsi="宋体"/>
          <w:szCs w:val="21"/>
        </w:rPr>
        <w:t>本项目按照《深圳经济特区政府采购条例》、《深圳经济特区政府采购条例实施细则》及政府采购其他法律法规，通过公开招标方式确定中标供应商。</w:t>
      </w:r>
    </w:p>
    <w:p w14:paraId="248A2890">
      <w:pPr>
        <w:rPr>
          <w:rFonts w:ascii="黑体" w:hAnsi="宋体" w:eastAsia="黑体"/>
          <w:sz w:val="24"/>
        </w:rPr>
      </w:pPr>
      <w:r>
        <w:rPr>
          <w:rFonts w:hint="eastAsia" w:ascii="黑体" w:hAnsi="宋体" w:eastAsia="黑体"/>
          <w:sz w:val="24"/>
        </w:rPr>
        <w:t>3．定义</w:t>
      </w:r>
    </w:p>
    <w:p w14:paraId="182A22A5">
      <w:pPr>
        <w:ind w:firstLine="420" w:firstLineChars="200"/>
        <w:rPr>
          <w:rFonts w:ascii="宋体" w:hAnsi="宋体"/>
          <w:szCs w:val="21"/>
        </w:rPr>
      </w:pPr>
      <w:r>
        <w:rPr>
          <w:rFonts w:ascii="宋体" w:hAnsi="宋体"/>
          <w:szCs w:val="21"/>
        </w:rPr>
        <w:t>招标文件中下列术语应解释为：</w:t>
      </w:r>
    </w:p>
    <w:p w14:paraId="482A8761">
      <w:pPr>
        <w:ind w:firstLine="411" w:firstLineChars="196"/>
        <w:rPr>
          <w:rFonts w:ascii="宋体" w:hAnsi="宋体"/>
          <w:szCs w:val="21"/>
        </w:rPr>
      </w:pPr>
      <w:r>
        <w:rPr>
          <w:rFonts w:hint="eastAsia" w:ascii="宋体" w:hAnsi="宋体"/>
          <w:szCs w:val="21"/>
        </w:rPr>
        <w:t>3.</w:t>
      </w:r>
      <w:r>
        <w:rPr>
          <w:rFonts w:ascii="宋体" w:hAnsi="宋体"/>
          <w:szCs w:val="21"/>
        </w:rPr>
        <w:t>1</w:t>
      </w:r>
      <w:r>
        <w:rPr>
          <w:rFonts w:hint="eastAsia" w:ascii="宋体" w:hAnsi="宋体"/>
          <w:szCs w:val="21"/>
        </w:rPr>
        <w:t>“采购人”：指利用财政性资金依法进行政府采购的国家机关、事业单位、团体组织；</w:t>
      </w:r>
      <w:r>
        <w:rPr>
          <w:rFonts w:ascii="宋体" w:hAnsi="宋体"/>
          <w:szCs w:val="21"/>
        </w:rPr>
        <w:t xml:space="preserve"> </w:t>
      </w:r>
    </w:p>
    <w:p w14:paraId="1011E483">
      <w:pPr>
        <w:ind w:firstLine="411" w:firstLineChars="196"/>
        <w:rPr>
          <w:rFonts w:ascii="宋体" w:hAnsi="宋体"/>
          <w:szCs w:val="21"/>
        </w:rPr>
      </w:pPr>
      <w:r>
        <w:rPr>
          <w:rFonts w:hint="eastAsia" w:ascii="宋体" w:hAnsi="宋体"/>
          <w:szCs w:val="21"/>
        </w:rPr>
        <w:t>3.2 “政府集中采购机构”</w:t>
      </w:r>
      <w:r>
        <w:rPr>
          <w:rFonts w:hint="eastAsia" w:ascii="Arial" w:hAnsi="Arial" w:cs="Arial"/>
          <w:szCs w:val="21"/>
          <w:shd w:val="clear" w:color="auto" w:fill="FFFFFF"/>
        </w:rPr>
        <w:t>是指市政府设立的，组织实施政府采购项目，并对政府采购活动提供服务的专门机构；</w:t>
      </w:r>
      <w:r>
        <w:rPr>
          <w:rFonts w:hint="eastAsia" w:ascii="宋体" w:hAnsi="宋体"/>
          <w:szCs w:val="21"/>
        </w:rPr>
        <w:t>本文件所述的“政府集中采购机构”</w:t>
      </w:r>
      <w:r>
        <w:rPr>
          <w:rFonts w:ascii="宋体" w:hAnsi="宋体"/>
          <w:szCs w:val="21"/>
        </w:rPr>
        <w:t>指</w:t>
      </w:r>
      <w:r>
        <w:rPr>
          <w:rFonts w:hint="eastAsia" w:ascii="宋体" w:hAnsi="宋体"/>
          <w:b/>
          <w:bCs/>
          <w:szCs w:val="21"/>
        </w:rPr>
        <w:t>深圳公共资源交易中心</w:t>
      </w:r>
      <w:r>
        <w:rPr>
          <w:rFonts w:hint="eastAsia" w:ascii="宋体" w:hAnsi="宋体"/>
          <w:szCs w:val="21"/>
        </w:rPr>
        <w:t>；</w:t>
      </w:r>
    </w:p>
    <w:p w14:paraId="6C7255F7">
      <w:pPr>
        <w:ind w:firstLine="411" w:firstLineChars="196"/>
        <w:rPr>
          <w:rFonts w:ascii="宋体" w:hAnsi="宋体"/>
          <w:szCs w:val="21"/>
        </w:rPr>
      </w:pPr>
      <w:r>
        <w:rPr>
          <w:rFonts w:hint="eastAsia" w:ascii="宋体" w:hAnsi="宋体"/>
          <w:szCs w:val="21"/>
        </w:rPr>
        <w:t>3.3“投标人”，即供应商，指参加投标竞争并愿意按照招标文件要求向采购人提供货物、工程或者服务的依法成立的法人、其他组织或者自然人；</w:t>
      </w:r>
    </w:p>
    <w:p w14:paraId="3E9856CB">
      <w:pPr>
        <w:ind w:firstLine="411" w:firstLineChars="196"/>
        <w:rPr>
          <w:rFonts w:ascii="宋体" w:hAnsi="宋体"/>
          <w:szCs w:val="21"/>
        </w:rPr>
      </w:pPr>
      <w:r>
        <w:rPr>
          <w:rFonts w:hint="eastAsia" w:ascii="宋体" w:hAnsi="宋体"/>
          <w:szCs w:val="21"/>
        </w:rPr>
        <w:t>3.4“评审委员会”是依据《深圳经济特区政府采购条例》、《深圳经济特区政府采购条例实施细则》等有关规定组建的专门负责本次招标其评审工作的临时性机构；</w:t>
      </w:r>
    </w:p>
    <w:p w14:paraId="75DF2BD6">
      <w:pPr>
        <w:ind w:firstLine="411" w:firstLineChars="196"/>
        <w:rPr>
          <w:rFonts w:ascii="宋体" w:hAnsi="宋体"/>
          <w:szCs w:val="21"/>
        </w:rPr>
      </w:pPr>
      <w:r>
        <w:rPr>
          <w:rFonts w:hint="eastAsia" w:ascii="宋体" w:hAnsi="宋体"/>
          <w:szCs w:val="21"/>
        </w:rPr>
        <w:t>3.5“日期”</w:t>
      </w:r>
      <w:r>
        <w:rPr>
          <w:rFonts w:ascii="宋体" w:hAnsi="宋体"/>
          <w:szCs w:val="21"/>
        </w:rPr>
        <w:t>指</w:t>
      </w:r>
      <w:r>
        <w:rPr>
          <w:rFonts w:hint="eastAsia" w:ascii="宋体" w:hAnsi="宋体"/>
          <w:szCs w:val="21"/>
        </w:rPr>
        <w:t>公历日；</w:t>
      </w:r>
    </w:p>
    <w:p w14:paraId="5AAFA35E">
      <w:pPr>
        <w:ind w:firstLine="411" w:firstLineChars="196"/>
        <w:rPr>
          <w:rFonts w:ascii="宋体" w:hAnsi="宋体"/>
          <w:szCs w:val="21"/>
        </w:rPr>
      </w:pPr>
      <w:r>
        <w:rPr>
          <w:rFonts w:hint="eastAsia" w:ascii="宋体" w:hAnsi="宋体"/>
          <w:szCs w:val="21"/>
        </w:rPr>
        <w:t>3.6“合同”指由本次招标所产生的合同或合约文件；</w:t>
      </w:r>
    </w:p>
    <w:p w14:paraId="730ED60A">
      <w:pPr>
        <w:ind w:firstLine="411" w:firstLineChars="196"/>
        <w:rPr>
          <w:rFonts w:ascii="宋体" w:hAnsi="宋体"/>
          <w:szCs w:val="21"/>
        </w:rPr>
      </w:pPr>
      <w:r>
        <w:rPr>
          <w:rFonts w:hint="eastAsia" w:ascii="宋体" w:hAnsi="宋体"/>
          <w:szCs w:val="21"/>
        </w:rPr>
        <w:t>3.7“电子投标文件”指利用</w:t>
      </w:r>
      <w:r>
        <w:rPr>
          <w:rFonts w:hint="eastAsia" w:ascii="宋体" w:hAnsi="宋体"/>
          <w:b/>
          <w:bCs/>
          <w:szCs w:val="21"/>
        </w:rPr>
        <w:t>深圳公共资源交易中心（深圳交易集团有限公司</w:t>
      </w:r>
      <w:r>
        <w:rPr>
          <w:rFonts w:hint="eastAsia" w:ascii="宋体" w:hAnsi="宋体"/>
          <w:b/>
          <w:bCs/>
          <w:szCs w:val="21"/>
          <w:lang w:eastAsia="zh-CN"/>
        </w:rPr>
        <w:t>光明</w:t>
      </w:r>
      <w:r>
        <w:rPr>
          <w:rFonts w:hint="eastAsia" w:ascii="宋体" w:hAnsi="宋体"/>
          <w:b/>
          <w:bCs/>
          <w:szCs w:val="21"/>
        </w:rPr>
        <w:t>分公司）</w:t>
      </w:r>
      <w:r>
        <w:rPr>
          <w:rFonts w:hint="eastAsia" w:ascii="宋体" w:hAnsi="宋体"/>
          <w:szCs w:val="21"/>
        </w:rPr>
        <w:t>网站提供的深圳智慧采购平台投标文件制作专用软件（以下简称：投标文件制作软件）制作并加密的投标文件,适用于网上投标；（投标文件制作软件可从“下载地址：http://zfcg.szggzy.com:8081/cgxy/013002/20210923/173e0b2c-7a4c-4246-a0c7-e0ea75d84dd6.html深圳智慧采购平台投标文件制作专用软件.zip”下载）</w:t>
      </w:r>
      <w:bookmarkStart w:id="29" w:name="_Hlk72398581"/>
      <w:r>
        <w:rPr>
          <w:rFonts w:hint="eastAsia" w:ascii="宋体" w:hAnsi="宋体"/>
          <w:szCs w:val="21"/>
        </w:rPr>
        <w:t>；</w:t>
      </w:r>
      <w:bookmarkEnd w:id="29"/>
    </w:p>
    <w:p w14:paraId="7BCDF078">
      <w:pPr>
        <w:ind w:firstLine="411" w:firstLineChars="196"/>
        <w:rPr>
          <w:rFonts w:ascii="宋体" w:hAnsi="宋体"/>
          <w:szCs w:val="21"/>
        </w:rPr>
      </w:pPr>
      <w:r>
        <w:rPr>
          <w:rFonts w:hint="eastAsia" w:ascii="宋体" w:hAnsi="宋体"/>
          <w:szCs w:val="21"/>
        </w:rPr>
        <w:t>3.8“网上投标”指通过</w:t>
      </w:r>
      <w:r>
        <w:rPr>
          <w:rFonts w:hint="eastAsia" w:ascii="宋体" w:hAnsi="宋体"/>
          <w:b/>
          <w:bCs/>
          <w:szCs w:val="21"/>
        </w:rPr>
        <w:t>深圳公共资源交易中心（深圳交易集团有限公司</w:t>
      </w:r>
      <w:r>
        <w:rPr>
          <w:rFonts w:hint="eastAsia" w:ascii="宋体" w:hAnsi="宋体"/>
          <w:b/>
          <w:bCs/>
          <w:szCs w:val="21"/>
          <w:lang w:eastAsia="zh-CN"/>
        </w:rPr>
        <w:t>光明</w:t>
      </w:r>
      <w:r>
        <w:rPr>
          <w:rFonts w:hint="eastAsia" w:ascii="宋体" w:hAnsi="宋体"/>
          <w:b/>
          <w:bCs/>
          <w:szCs w:val="21"/>
        </w:rPr>
        <w:t>分公司）</w:t>
      </w:r>
      <w:r>
        <w:rPr>
          <w:rFonts w:hint="eastAsia" w:ascii="宋体" w:hAnsi="宋体"/>
          <w:szCs w:val="21"/>
        </w:rPr>
        <w:t>网站上传电子投标文件；</w:t>
      </w:r>
    </w:p>
    <w:p w14:paraId="440D2754">
      <w:pPr>
        <w:ind w:firstLine="411" w:firstLineChars="196"/>
        <w:rPr>
          <w:rFonts w:ascii="宋体" w:hAnsi="宋体"/>
          <w:szCs w:val="21"/>
        </w:rPr>
      </w:pPr>
      <w:r>
        <w:rPr>
          <w:rFonts w:hint="eastAsia" w:ascii="宋体" w:hAnsi="宋体"/>
          <w:szCs w:val="21"/>
        </w:rPr>
        <w:t>3.9招标文件中的标题或题名仅起引导作用，而不应视为对招标文件内容的理解和解释。</w:t>
      </w:r>
    </w:p>
    <w:p w14:paraId="730AADA7">
      <w:pPr>
        <w:rPr>
          <w:rFonts w:ascii="黑体" w:hAnsi="宋体" w:eastAsia="黑体"/>
          <w:sz w:val="24"/>
        </w:rPr>
      </w:pPr>
      <w:r>
        <w:rPr>
          <w:rFonts w:hint="eastAsia" w:ascii="黑体" w:hAnsi="宋体" w:eastAsia="黑体"/>
          <w:sz w:val="24"/>
        </w:rPr>
        <w:t xml:space="preserve">4. </w:t>
      </w:r>
      <w:bookmarkStart w:id="30" w:name="_Hlk72398643"/>
      <w:r>
        <w:rPr>
          <w:rFonts w:hint="eastAsia" w:ascii="黑体" w:hAnsi="宋体" w:eastAsia="黑体"/>
          <w:sz w:val="24"/>
        </w:rPr>
        <w:t>政府采购供应商责任</w:t>
      </w:r>
    </w:p>
    <w:p w14:paraId="069B301D">
      <w:pPr>
        <w:ind w:firstLine="411" w:firstLineChars="196"/>
        <w:rPr>
          <w:rFonts w:ascii="宋体" w:hAnsi="宋体"/>
          <w:szCs w:val="21"/>
        </w:rPr>
      </w:pPr>
      <w:r>
        <w:rPr>
          <w:rFonts w:hint="eastAsia" w:ascii="宋体" w:hAnsi="宋体"/>
          <w:szCs w:val="21"/>
        </w:rPr>
        <w:t>4.1欢迎诚信、有实力和有社会责任心的供应商参与政府采购事业。</w:t>
      </w:r>
    </w:p>
    <w:p w14:paraId="47838D03">
      <w:pPr>
        <w:ind w:firstLine="411" w:firstLineChars="196"/>
        <w:rPr>
          <w:rFonts w:ascii="宋体" w:hAnsi="宋体"/>
          <w:szCs w:val="21"/>
        </w:rPr>
      </w:pPr>
      <w:r>
        <w:rPr>
          <w:rFonts w:hint="eastAsia" w:ascii="宋体" w:hAnsi="宋体"/>
          <w:szCs w:val="21"/>
        </w:rPr>
        <w:t>4.2投标人应当遵循公平竞争的原则，不得恶意串通，不得妨碍其他投标人的竞争行为，不得损害采购人或者其他投标人的合法权益。如违反上述要求，经核实后，供应商的投标无效。</w:t>
      </w:r>
    </w:p>
    <w:p w14:paraId="40FD0578">
      <w:pPr>
        <w:rPr>
          <w:rFonts w:ascii="黑体" w:hAnsi="宋体" w:eastAsia="黑体"/>
          <w:sz w:val="24"/>
        </w:rPr>
      </w:pPr>
      <w:r>
        <w:rPr>
          <w:rFonts w:hint="eastAsia" w:ascii="黑体" w:hAnsi="宋体" w:eastAsia="黑体"/>
          <w:sz w:val="24"/>
        </w:rPr>
        <w:t>5．投标人参加政府采购的条件</w:t>
      </w:r>
    </w:p>
    <w:p w14:paraId="23386518">
      <w:pPr>
        <w:ind w:firstLine="411" w:firstLineChars="196"/>
        <w:rPr>
          <w:rFonts w:ascii="宋体" w:hAnsi="宋体"/>
          <w:szCs w:val="21"/>
        </w:rPr>
      </w:pPr>
      <w:r>
        <w:rPr>
          <w:rFonts w:hint="eastAsia" w:ascii="宋体" w:hAnsi="宋体"/>
          <w:szCs w:val="21"/>
        </w:rPr>
        <w:t>5.1投标人应在投标前到</w:t>
      </w:r>
      <w:r>
        <w:rPr>
          <w:rFonts w:hint="eastAsia" w:ascii="宋体" w:hAnsi="宋体"/>
          <w:b/>
          <w:bCs/>
          <w:szCs w:val="21"/>
        </w:rPr>
        <w:t>深圳公共资源交易中心（具体在深圳交易集团有限公司政府采购业务分公司进行办理）</w:t>
      </w:r>
      <w:r>
        <w:rPr>
          <w:rFonts w:hint="eastAsia" w:ascii="宋体" w:hAnsi="宋体"/>
          <w:szCs w:val="21"/>
        </w:rPr>
        <w:t>进行注册并办理电子密钥。《供应商注册及信息变更指引》详见www.szggzy.com网站“交易服务指南-政府采购”</w:t>
      </w:r>
      <w:r>
        <w:rPr>
          <w:rFonts w:hint="eastAsia" w:ascii="宋体" w:hAnsi="宋体"/>
          <w:szCs w:val="21"/>
          <w:lang w:val="en-US" w:eastAsia="zh-CN"/>
        </w:rPr>
        <w:t>。</w:t>
      </w:r>
      <w:r>
        <w:rPr>
          <w:rFonts w:hint="eastAsia" w:ascii="宋体" w:hAnsi="宋体"/>
          <w:szCs w:val="21"/>
        </w:rPr>
        <w:t>。</w:t>
      </w:r>
    </w:p>
    <w:p w14:paraId="06FE3F26">
      <w:pPr>
        <w:ind w:firstLine="411" w:firstLineChars="196"/>
        <w:rPr>
          <w:rFonts w:ascii="宋体" w:hAnsi="宋体"/>
          <w:szCs w:val="21"/>
        </w:rPr>
      </w:pPr>
      <w:r>
        <w:rPr>
          <w:rFonts w:hint="eastAsia" w:ascii="宋体" w:hAnsi="宋体"/>
          <w:szCs w:val="21"/>
        </w:rPr>
        <w:t>5.2投标人资格要求</w:t>
      </w:r>
    </w:p>
    <w:p w14:paraId="373BDF9D">
      <w:pPr>
        <w:ind w:firstLine="411" w:firstLineChars="196"/>
        <w:rPr>
          <w:rFonts w:ascii="宋体" w:hAnsi="宋体"/>
          <w:szCs w:val="21"/>
        </w:rPr>
      </w:pPr>
      <w:r>
        <w:rPr>
          <w:rFonts w:hint="eastAsia" w:ascii="宋体" w:hAnsi="宋体"/>
          <w:szCs w:val="21"/>
        </w:rPr>
        <w:t>参加本项目的投标人应具备的资格条件详见本项目招标公告中 “投标人资格要求”（即申请人的资格要求）的内容。</w:t>
      </w:r>
    </w:p>
    <w:p w14:paraId="77CA1FF1">
      <w:pPr>
        <w:ind w:firstLine="411" w:firstLineChars="196"/>
        <w:rPr>
          <w:rFonts w:ascii="宋体" w:hAnsi="宋体"/>
          <w:szCs w:val="21"/>
        </w:rPr>
      </w:pPr>
      <w:r>
        <w:rPr>
          <w:rFonts w:hint="eastAsia" w:ascii="宋体" w:hAnsi="宋体"/>
          <w:szCs w:val="21"/>
        </w:rPr>
        <w:t>5.3联合体投标</w:t>
      </w:r>
    </w:p>
    <w:p w14:paraId="5C87B21E">
      <w:pPr>
        <w:ind w:firstLine="411" w:firstLineChars="196"/>
        <w:rPr>
          <w:rFonts w:ascii="宋体" w:hAnsi="宋体"/>
          <w:szCs w:val="21"/>
        </w:rPr>
      </w:pPr>
      <w:r>
        <w:rPr>
          <w:rFonts w:hint="eastAsia" w:ascii="宋体" w:hAnsi="宋体"/>
          <w:szCs w:val="21"/>
        </w:rPr>
        <w:t>5.3.1　以下有关联合体投标的条款仅适用于允许投标人组成联合体投标的项目。</w:t>
      </w:r>
    </w:p>
    <w:p w14:paraId="3BB54862">
      <w:pPr>
        <w:ind w:firstLine="411" w:firstLineChars="196"/>
        <w:rPr>
          <w:rFonts w:ascii="宋体" w:hAnsi="宋体"/>
          <w:szCs w:val="21"/>
        </w:rPr>
      </w:pPr>
      <w:r>
        <w:rPr>
          <w:rFonts w:hint="eastAsia" w:ascii="宋体" w:hAnsi="宋体"/>
          <w:szCs w:val="21"/>
        </w:rPr>
        <w:t>5.3.2  由两个或两个以上的自然人、法人或者其他组织可以组成一个联合体，以一个供应商的身份共同投标时，应符合以下原则：</w:t>
      </w:r>
    </w:p>
    <w:p w14:paraId="2E6A45D1">
      <w:pPr>
        <w:ind w:firstLine="411" w:firstLineChars="196"/>
        <w:rPr>
          <w:rFonts w:ascii="宋体" w:hAnsi="宋体"/>
        </w:rPr>
      </w:pPr>
      <w:r>
        <w:rPr>
          <w:rFonts w:hint="eastAsia" w:ascii="宋体" w:hAnsi="宋体"/>
        </w:rPr>
        <w:t>（1）投标联合体各方参加政府采购活动应当具备下列条件：</w:t>
      </w:r>
      <w:r>
        <w:rPr>
          <w:rFonts w:ascii="宋体" w:hAnsi="宋体"/>
        </w:rPr>
        <w:t xml:space="preserve"> </w:t>
      </w:r>
    </w:p>
    <w:p w14:paraId="74EF0EA5">
      <w:pPr>
        <w:ind w:left="420" w:leftChars="200" w:firstLine="411" w:firstLineChars="196"/>
        <w:rPr>
          <w:rFonts w:ascii="宋体" w:hAnsi="宋体"/>
        </w:rPr>
      </w:pPr>
      <w:r>
        <w:rPr>
          <w:rFonts w:hint="eastAsia" w:ascii="宋体" w:hAnsi="宋体"/>
        </w:rPr>
        <w:t>1、具有独立承担民事责任的能力；</w:t>
      </w:r>
      <w:r>
        <w:rPr>
          <w:rFonts w:ascii="宋体" w:hAnsi="宋体"/>
        </w:rPr>
        <w:t xml:space="preserve"> </w:t>
      </w:r>
    </w:p>
    <w:p w14:paraId="0650AC53">
      <w:pPr>
        <w:ind w:left="420" w:firstLine="411" w:firstLineChars="196"/>
        <w:rPr>
          <w:rFonts w:ascii="宋体" w:hAnsi="宋体"/>
        </w:rPr>
      </w:pPr>
      <w:r>
        <w:rPr>
          <w:rFonts w:hint="eastAsia" w:ascii="宋体" w:hAnsi="宋体"/>
        </w:rPr>
        <w:t>2、有良好的商业信誉和健全的财务会计制度；</w:t>
      </w:r>
      <w:r>
        <w:rPr>
          <w:rFonts w:ascii="宋体" w:hAnsi="宋体"/>
        </w:rPr>
        <w:t xml:space="preserve"> </w:t>
      </w:r>
    </w:p>
    <w:p w14:paraId="46402BEB">
      <w:pPr>
        <w:ind w:left="420" w:leftChars="200" w:firstLine="411" w:firstLineChars="196"/>
        <w:rPr>
          <w:rFonts w:ascii="宋体" w:hAnsi="宋体"/>
        </w:rPr>
      </w:pPr>
      <w:r>
        <w:rPr>
          <w:rFonts w:hint="eastAsia" w:ascii="宋体" w:hAnsi="宋体"/>
        </w:rPr>
        <w:t>3、具有履行合同所必需的设备和专业技术能力；</w:t>
      </w:r>
      <w:r>
        <w:rPr>
          <w:rFonts w:ascii="宋体" w:hAnsi="宋体"/>
        </w:rPr>
        <w:t xml:space="preserve"> </w:t>
      </w:r>
    </w:p>
    <w:p w14:paraId="35B98C2F">
      <w:pPr>
        <w:ind w:left="420" w:leftChars="200" w:firstLine="411" w:firstLineChars="196"/>
        <w:rPr>
          <w:rFonts w:ascii="宋体" w:hAnsi="宋体"/>
        </w:rPr>
      </w:pPr>
      <w:r>
        <w:rPr>
          <w:rFonts w:hint="eastAsia" w:ascii="宋体" w:hAnsi="宋体"/>
        </w:rPr>
        <w:t>4、有依法缴纳税收和社会保障资金的良好记录；</w:t>
      </w:r>
      <w:r>
        <w:rPr>
          <w:rFonts w:ascii="宋体" w:hAnsi="宋体"/>
        </w:rPr>
        <w:t xml:space="preserve"> </w:t>
      </w:r>
    </w:p>
    <w:p w14:paraId="0E4781B2">
      <w:pPr>
        <w:ind w:left="420" w:leftChars="200" w:firstLine="411" w:firstLineChars="196"/>
        <w:rPr>
          <w:rFonts w:ascii="宋体" w:hAnsi="宋体"/>
        </w:rPr>
      </w:pPr>
      <w:r>
        <w:rPr>
          <w:rFonts w:hint="eastAsia" w:ascii="宋体" w:hAnsi="宋体"/>
        </w:rPr>
        <w:t>5、参加政府采购活动前三年内，在经营活动中没有重大违法记录；</w:t>
      </w:r>
      <w:r>
        <w:rPr>
          <w:rFonts w:ascii="宋体" w:hAnsi="宋体"/>
        </w:rPr>
        <w:t xml:space="preserve"> </w:t>
      </w:r>
    </w:p>
    <w:p w14:paraId="62B3E2FD">
      <w:pPr>
        <w:ind w:left="420" w:leftChars="200" w:firstLine="411" w:firstLineChars="196"/>
        <w:rPr>
          <w:rFonts w:ascii="宋体" w:hAnsi="宋体"/>
        </w:rPr>
      </w:pPr>
      <w:r>
        <w:rPr>
          <w:rFonts w:hint="eastAsia" w:ascii="宋体" w:hAnsi="宋体"/>
        </w:rPr>
        <w:t>6、法律、行政法规规定的其他条件。</w:t>
      </w:r>
      <w:r>
        <w:rPr>
          <w:rFonts w:ascii="宋体" w:hAnsi="宋体"/>
        </w:rPr>
        <w:t xml:space="preserve"> </w:t>
      </w:r>
    </w:p>
    <w:p w14:paraId="5B9CD4DC">
      <w:pPr>
        <w:ind w:firstLine="411" w:firstLineChars="196"/>
        <w:rPr>
          <w:rFonts w:ascii="宋体" w:hAnsi="宋体"/>
        </w:rPr>
      </w:pPr>
      <w:r>
        <w:rPr>
          <w:rFonts w:hint="eastAsia" w:ascii="宋体" w:hAnsi="宋体"/>
        </w:rPr>
        <w:t>（2）在投标截止前，投标联合体各方均应注册成政府集中采购机构供应商；</w:t>
      </w:r>
    </w:p>
    <w:p w14:paraId="7D4FB936">
      <w:pPr>
        <w:ind w:firstLine="411" w:firstLineChars="196"/>
        <w:rPr>
          <w:rFonts w:ascii="宋体" w:hAnsi="宋体"/>
        </w:rPr>
      </w:pPr>
      <w:r>
        <w:rPr>
          <w:rFonts w:hint="eastAsia" w:ascii="宋体" w:hAnsi="宋体"/>
        </w:rPr>
        <w:t>（3）联合体中有同类资质的供应商按照联合体分工承担相同工作的，应当按照资质等级较低的供应商确定资质等级；</w:t>
      </w:r>
    </w:p>
    <w:p w14:paraId="576FCC83">
      <w:pPr>
        <w:ind w:firstLine="411" w:firstLineChars="196"/>
      </w:pPr>
      <w:r>
        <w:rPr>
          <w:rFonts w:hint="eastAsia"/>
        </w:rPr>
        <w:t>（4）是否允许联合体参加投标，应当由采购人和采购代理机构根据项目的实际情况和潜在供应商的数量自主决定，如果决定接受联合体投标则应当在招标公告中明示；</w:t>
      </w:r>
    </w:p>
    <w:p w14:paraId="2A9B6598">
      <w:pPr>
        <w:ind w:firstLine="411" w:firstLineChars="196"/>
        <w:rPr>
          <w:rFonts w:ascii="宋体" w:hAnsi="宋体"/>
        </w:rPr>
      </w:pPr>
      <w:r>
        <w:rPr>
          <w:rFonts w:hint="eastAsia" w:ascii="宋体" w:hAnsi="宋体"/>
        </w:rPr>
        <w:t>（5）投标人的投标文件及中标后签署的合同协议对联合体各方均具法律约束力；</w:t>
      </w:r>
    </w:p>
    <w:p w14:paraId="70138150">
      <w:pPr>
        <w:ind w:firstLine="411" w:firstLineChars="196"/>
        <w:rPr>
          <w:rFonts w:ascii="宋体" w:hAnsi="宋体"/>
        </w:rPr>
      </w:pPr>
      <w:r>
        <w:rPr>
          <w:rFonts w:hint="eastAsia" w:ascii="宋体" w:hAnsi="宋体"/>
        </w:rPr>
        <w:t>（6）联合体各方应当签订联合体投标协议，明确约定各方拟承担的工作和责任，并将该协议随投标文件一并递交给政府集中采购机构；</w:t>
      </w:r>
    </w:p>
    <w:p w14:paraId="0B501197">
      <w:pPr>
        <w:ind w:firstLine="411" w:firstLineChars="196"/>
        <w:rPr>
          <w:rFonts w:ascii="宋体" w:hAnsi="宋体"/>
        </w:rPr>
      </w:pPr>
      <w:r>
        <w:rPr>
          <w:rFonts w:hint="eastAsia" w:ascii="宋体" w:hAnsi="宋体"/>
        </w:rPr>
        <w:t>（7）联合体中标后，联合体各方应当共同与采购人签订合同，就中标项目向采购人承担连带责任；</w:t>
      </w:r>
    </w:p>
    <w:p w14:paraId="743B996C">
      <w:pPr>
        <w:ind w:firstLine="411" w:firstLineChars="196"/>
        <w:rPr>
          <w:rFonts w:ascii="宋体" w:hAnsi="宋体"/>
        </w:rPr>
      </w:pPr>
      <w:r>
        <w:rPr>
          <w:rFonts w:hint="eastAsia" w:ascii="宋体" w:hAnsi="宋体"/>
        </w:rPr>
        <w:t>（8）以联合体形式参加政府采购活动的，联合体各方不得再单独参加或者与其他供应商另外组成联合体参加同一合同项下的政府采购活动，出现上述情况者，其投标和与此有关联合体、总包单位的投标将被拒绝；</w:t>
      </w:r>
    </w:p>
    <w:p w14:paraId="49C78346">
      <w:pPr>
        <w:ind w:firstLine="411" w:firstLineChars="196"/>
        <w:rPr>
          <w:rFonts w:ascii="宋体" w:hAnsi="宋体"/>
          <w:szCs w:val="21"/>
        </w:rPr>
      </w:pPr>
      <w:r>
        <w:rPr>
          <w:rFonts w:hint="eastAsia" w:ascii="宋体" w:hAnsi="宋体"/>
        </w:rPr>
        <w:t>（9）本通用条款中“投标人”一词亦指联合体各方，专用条款另有规定或说明的除外。</w:t>
      </w:r>
    </w:p>
    <w:p w14:paraId="06A77D2D">
      <w:pPr>
        <w:rPr>
          <w:rFonts w:ascii="黑体" w:hAnsi="宋体" w:eastAsia="黑体"/>
          <w:sz w:val="24"/>
        </w:rPr>
      </w:pPr>
      <w:r>
        <w:rPr>
          <w:rFonts w:hint="eastAsia" w:ascii="黑体" w:hAnsi="宋体" w:eastAsia="黑体"/>
          <w:sz w:val="24"/>
        </w:rPr>
        <w:t>6．政策导向</w:t>
      </w:r>
    </w:p>
    <w:p w14:paraId="73F23590">
      <w:pPr>
        <w:ind w:firstLine="411" w:firstLineChars="196"/>
        <w:rPr>
          <w:rFonts w:ascii="宋体" w:hAnsi="宋体"/>
        </w:rPr>
      </w:pPr>
      <w:r>
        <w:rPr>
          <w:rFonts w:hint="eastAsia" w:ascii="宋体" w:hAnsi="宋体"/>
        </w:rPr>
        <w:t>6.1</w:t>
      </w:r>
      <w:r>
        <w:rPr>
          <w:rFonts w:ascii="宋体" w:hAnsi="宋体"/>
        </w:rPr>
        <w:t xml:space="preserve">  </w:t>
      </w:r>
      <w:r>
        <w:rPr>
          <w:rFonts w:hint="eastAsia" w:ascii="宋体" w:hAnsi="宋体"/>
        </w:rPr>
        <w:t>政府采购扶持贫困地区、中小企业、监狱企业和残疾人福利性单位发展，支持节能减排、环境保护。</w:t>
      </w:r>
    </w:p>
    <w:p w14:paraId="7997B562">
      <w:pPr>
        <w:ind w:firstLine="405"/>
        <w:rPr>
          <w:rFonts w:hint="eastAsia" w:ascii="宋体" w:hAnsi="宋体"/>
        </w:rPr>
      </w:pPr>
      <w:r>
        <w:rPr>
          <w:rFonts w:hint="eastAsia" w:ascii="宋体" w:hAnsi="宋体"/>
        </w:rPr>
        <w:t>6.2</w:t>
      </w:r>
      <w:r>
        <w:rPr>
          <w:rFonts w:ascii="宋体" w:hAnsi="宋体"/>
        </w:rPr>
        <w:t xml:space="preserve">  </w:t>
      </w:r>
      <w:r>
        <w:rPr>
          <w:rFonts w:hint="eastAsia" w:ascii="宋体" w:hAnsi="宋体"/>
        </w:rPr>
        <w:t>本项目落实深圳市政府采购供应商诚信管理政策要求。</w:t>
      </w:r>
    </w:p>
    <w:p w14:paraId="157105E1">
      <w:pPr>
        <w:ind w:firstLine="405"/>
        <w:rPr>
          <w:rFonts w:hint="default" w:eastAsia="宋体"/>
          <w:lang w:val="en-US" w:eastAsia="zh-CN"/>
        </w:rPr>
      </w:pPr>
      <w:r>
        <w:rPr>
          <w:rFonts w:hint="eastAsia" w:ascii="宋体" w:hAnsi="宋体"/>
          <w:lang w:val="en-US" w:eastAsia="zh-CN"/>
        </w:rPr>
        <w:t>6.3  本项目支持投标人性别平等的相关政策。</w:t>
      </w:r>
    </w:p>
    <w:p w14:paraId="615AA4E8">
      <w:pPr>
        <w:rPr>
          <w:rFonts w:ascii="黑体" w:hAnsi="宋体" w:eastAsia="黑体"/>
          <w:sz w:val="24"/>
        </w:rPr>
      </w:pPr>
      <w:r>
        <w:rPr>
          <w:rFonts w:hint="eastAsia" w:ascii="黑体" w:hAnsi="宋体" w:eastAsia="黑体"/>
          <w:sz w:val="24"/>
        </w:rPr>
        <w:t>7. 本项目若涉及采购货物，则合格的货物及相应服务应满足以下要求：</w:t>
      </w:r>
    </w:p>
    <w:p w14:paraId="679A2AEF">
      <w:pPr>
        <w:ind w:firstLine="411" w:firstLineChars="196"/>
        <w:rPr>
          <w:rFonts w:ascii="宋体" w:hAnsi="宋体"/>
        </w:rPr>
      </w:pPr>
      <w:r>
        <w:rPr>
          <w:rFonts w:hint="eastAsia" w:ascii="宋体" w:hAnsi="宋体"/>
        </w:rPr>
        <w:t>7</w:t>
      </w:r>
      <w:r>
        <w:rPr>
          <w:rFonts w:ascii="宋体" w:hAnsi="宋体"/>
        </w:rPr>
        <w:t xml:space="preserve">.1  </w:t>
      </w:r>
      <w:r>
        <w:rPr>
          <w:rFonts w:hint="eastAsia" w:ascii="宋体" w:hAnsi="宋体"/>
        </w:rPr>
        <w:t>必须是全新、未使用过的原装合格正品（包括零部件），如安装或配置了软件的，须为正版软件。</w:t>
      </w:r>
    </w:p>
    <w:p w14:paraId="48620990">
      <w:pPr>
        <w:ind w:firstLine="411" w:firstLineChars="196"/>
        <w:rPr>
          <w:rFonts w:ascii="宋体" w:hAnsi="宋体"/>
        </w:rPr>
      </w:pPr>
      <w:r>
        <w:rPr>
          <w:rFonts w:hint="eastAsia" w:ascii="宋体" w:hAnsi="宋体"/>
        </w:rPr>
        <w:t>7.2  国产的货物及其有关服务必须符合中华人民共和国的设计、制造生产标准及行业标准。招标公告有其他要求的，亦应符合其要求。</w:t>
      </w:r>
    </w:p>
    <w:p w14:paraId="506B6F4C">
      <w:pPr>
        <w:ind w:firstLine="411" w:firstLineChars="196"/>
        <w:rPr>
          <w:rFonts w:ascii="宋体" w:hAnsi="宋体"/>
        </w:rPr>
      </w:pPr>
      <w:r>
        <w:rPr>
          <w:rFonts w:hint="eastAsia" w:ascii="宋体" w:hAnsi="宋体"/>
        </w:rPr>
        <w:t>7</w:t>
      </w:r>
      <w:r>
        <w:rPr>
          <w:rFonts w:ascii="宋体" w:hAnsi="宋体"/>
        </w:rPr>
        <w:t>.</w:t>
      </w:r>
      <w:r>
        <w:rPr>
          <w:rFonts w:hint="eastAsia" w:ascii="宋体" w:hAnsi="宋体"/>
        </w:rPr>
        <w:t>3</w:t>
      </w:r>
      <w:r>
        <w:rPr>
          <w:rFonts w:ascii="宋体" w:hAnsi="宋体"/>
        </w:rPr>
        <w:t xml:space="preserve">  </w:t>
      </w:r>
      <w:r>
        <w:rPr>
          <w:rFonts w:hint="eastAsia" w:ascii="宋体" w:hAnsi="宋体"/>
        </w:rPr>
        <w:t>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14:paraId="0AEDBD32">
      <w:pPr>
        <w:ind w:firstLine="411" w:firstLineChars="196"/>
        <w:rPr>
          <w:rFonts w:ascii="宋体" w:hAnsi="宋体"/>
        </w:rPr>
      </w:pPr>
      <w:r>
        <w:rPr>
          <w:rFonts w:hint="eastAsia" w:ascii="宋体" w:hAnsi="宋体"/>
        </w:rPr>
        <w:t>7</w:t>
      </w:r>
      <w:r>
        <w:rPr>
          <w:rFonts w:ascii="宋体" w:hAnsi="宋体"/>
        </w:rPr>
        <w:t>.</w:t>
      </w:r>
      <w:r>
        <w:rPr>
          <w:rFonts w:hint="eastAsia" w:ascii="宋体" w:hAnsi="宋体"/>
        </w:rPr>
        <w:t>4</w:t>
      </w:r>
      <w:r>
        <w:rPr>
          <w:rFonts w:ascii="宋体" w:hAnsi="宋体"/>
        </w:rPr>
        <w:t xml:space="preserve">  </w:t>
      </w:r>
      <w:r>
        <w:rPr>
          <w:rFonts w:hint="eastAsia" w:ascii="宋体" w:hAnsi="宋体"/>
        </w:rPr>
        <w:t>投标人</w:t>
      </w:r>
      <w:bookmarkStart w:id="31" w:name="_Hlk72152753"/>
      <w:r>
        <w:rPr>
          <w:rFonts w:hint="eastAsia" w:ascii="宋体" w:hAnsi="宋体"/>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31"/>
    </w:p>
    <w:p w14:paraId="02F0B24F">
      <w:pPr>
        <w:ind w:firstLine="411" w:firstLineChars="196"/>
        <w:rPr>
          <w:rFonts w:ascii="宋体" w:hAnsi="宋体"/>
        </w:rPr>
      </w:pPr>
      <w:r>
        <w:rPr>
          <w:rFonts w:hint="eastAsia" w:ascii="宋体" w:hAnsi="宋体"/>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14:paraId="5C9B34F9">
      <w:pPr>
        <w:ind w:firstLine="411" w:firstLineChars="196"/>
        <w:rPr>
          <w:rFonts w:ascii="宋体" w:hAnsi="宋体"/>
        </w:rPr>
      </w:pPr>
      <w:r>
        <w:rPr>
          <w:rFonts w:hint="eastAsia" w:ascii="宋体" w:hAnsi="宋体"/>
        </w:rPr>
        <w:t>7.6  工期要求：投标人在投标时对其所投项目应提交交货进度、交货计划等，在合同规定的时间内完成项目实施工作。</w:t>
      </w:r>
    </w:p>
    <w:p w14:paraId="469BFC08">
      <w:pPr>
        <w:ind w:firstLine="411" w:firstLineChars="196"/>
        <w:rPr>
          <w:rFonts w:ascii="宋体" w:hAnsi="宋体"/>
        </w:rPr>
      </w:pPr>
      <w:r>
        <w:rPr>
          <w:rFonts w:hint="eastAsia" w:ascii="宋体" w:hAnsi="宋体"/>
        </w:rPr>
        <w:t>7.7  投标人必须承担的设备运输、安装调试、验收检测和提供设备操作说明书、图纸等其他相关及类似的义务。</w:t>
      </w:r>
    </w:p>
    <w:p w14:paraId="38248381">
      <w:pPr>
        <w:rPr>
          <w:rFonts w:ascii="黑体" w:hAnsi="宋体" w:eastAsia="黑体"/>
          <w:sz w:val="24"/>
        </w:rPr>
      </w:pPr>
      <w:r>
        <w:rPr>
          <w:rFonts w:hint="eastAsia" w:ascii="黑体" w:hAnsi="宋体" w:eastAsia="黑体"/>
          <w:sz w:val="24"/>
        </w:rPr>
        <w:t>8．投标费用</w:t>
      </w:r>
    </w:p>
    <w:p w14:paraId="0B9EB8FB">
      <w:pPr>
        <w:ind w:firstLine="411" w:firstLineChars="196"/>
        <w:rPr>
          <w:rFonts w:ascii="宋体" w:hAnsi="宋体"/>
          <w:szCs w:val="21"/>
        </w:rPr>
      </w:pPr>
      <w:r>
        <w:rPr>
          <w:rFonts w:hint="eastAsia" w:ascii="宋体" w:hAnsi="宋体"/>
          <w:szCs w:val="21"/>
        </w:rPr>
        <w:t>不论投标结果如何，投标人应承担其编制投标文件与递交投标文件所涉及的一切费用。</w:t>
      </w:r>
    </w:p>
    <w:p w14:paraId="3C2270CC">
      <w:pPr>
        <w:rPr>
          <w:rFonts w:ascii="黑体" w:hAnsi="宋体" w:eastAsia="黑体"/>
          <w:sz w:val="24"/>
        </w:rPr>
      </w:pPr>
      <w:r>
        <w:rPr>
          <w:rFonts w:hint="eastAsia" w:ascii="黑体" w:hAnsi="宋体" w:eastAsia="黑体"/>
          <w:sz w:val="24"/>
        </w:rPr>
        <w:t>9．踏勘现场</w:t>
      </w:r>
    </w:p>
    <w:p w14:paraId="23BB62E1">
      <w:pPr>
        <w:ind w:firstLine="411" w:firstLineChars="196"/>
        <w:rPr>
          <w:rFonts w:ascii="宋体" w:hAnsi="宋体"/>
          <w:szCs w:val="21"/>
        </w:rPr>
      </w:pPr>
      <w:r>
        <w:rPr>
          <w:rFonts w:hint="eastAsia" w:ascii="宋体" w:hAnsi="宋体"/>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14:paraId="6AC46285">
      <w:pPr>
        <w:ind w:firstLine="411" w:firstLineChars="196"/>
        <w:rPr>
          <w:rFonts w:ascii="宋体" w:hAnsi="宋体"/>
        </w:rPr>
      </w:pPr>
      <w:r>
        <w:rPr>
          <w:rFonts w:hint="eastAsia" w:ascii="宋体" w:hAnsi="宋体"/>
        </w:rPr>
        <w:t>9.2投标人及其人员经过采购人的允许，可以进入采购人的项目现场踏勘。若招标文件要求投标人于统一时间地点踏勘现场的，投标人应当按时前往。</w:t>
      </w:r>
    </w:p>
    <w:p w14:paraId="064369B0">
      <w:pPr>
        <w:ind w:firstLine="411" w:firstLineChars="196"/>
        <w:rPr>
          <w:rFonts w:ascii="宋体" w:hAnsi="宋体"/>
        </w:rPr>
      </w:pPr>
      <w:r>
        <w:rPr>
          <w:rFonts w:hint="eastAsia" w:ascii="宋体" w:hAnsi="宋体"/>
        </w:rPr>
        <w:t>9.3采购人应当通过政府集中采购机构向投标人提供有关现场的书面资料和数据。</w:t>
      </w:r>
    </w:p>
    <w:p w14:paraId="1A6C769C">
      <w:pPr>
        <w:ind w:firstLine="411" w:firstLineChars="196"/>
        <w:rPr>
          <w:rFonts w:ascii="宋体" w:hAnsi="宋体"/>
        </w:rPr>
      </w:pPr>
      <w:r>
        <w:rPr>
          <w:rFonts w:hint="eastAsia" w:ascii="宋体" w:hAnsi="宋体"/>
        </w:rPr>
        <w:t>9.4任何人或任何组织在踏勘现场时向投标人提供的任何书面资料或口头承诺，未经政府集中采购机构在网上发布或书面通知，均作无效处理。</w:t>
      </w:r>
    </w:p>
    <w:p w14:paraId="6C86F999">
      <w:pPr>
        <w:ind w:firstLine="411" w:firstLineChars="196"/>
        <w:rPr>
          <w:rFonts w:ascii="宋体" w:hAnsi="宋体"/>
        </w:rPr>
      </w:pPr>
      <w:r>
        <w:rPr>
          <w:rFonts w:ascii="宋体" w:hAnsi="宋体"/>
          <w:szCs w:val="21"/>
        </w:rPr>
        <w:t>9</w:t>
      </w:r>
      <w:r>
        <w:rPr>
          <w:rFonts w:hint="eastAsia" w:ascii="宋体" w:hAnsi="宋体"/>
          <w:szCs w:val="21"/>
        </w:rPr>
        <w:t>.</w:t>
      </w:r>
      <w:r>
        <w:rPr>
          <w:rFonts w:ascii="宋体" w:hAnsi="宋体"/>
          <w:szCs w:val="21"/>
        </w:rPr>
        <w:t>5</w:t>
      </w:r>
      <w:r>
        <w:rPr>
          <w:rFonts w:hint="eastAsia" w:ascii="宋体" w:hAnsi="宋体"/>
          <w:szCs w:val="21"/>
        </w:rPr>
        <w:t>未参与踏勘现场不作为否定投标人资格的理由。</w:t>
      </w:r>
    </w:p>
    <w:p w14:paraId="3EA59E57">
      <w:pPr>
        <w:rPr>
          <w:rFonts w:ascii="宋体" w:hAnsi="宋体"/>
          <w:szCs w:val="21"/>
        </w:rPr>
      </w:pPr>
      <w:r>
        <w:rPr>
          <w:rFonts w:hint="eastAsia" w:ascii="黑体" w:hAnsi="宋体" w:eastAsia="黑体"/>
          <w:sz w:val="24"/>
        </w:rPr>
        <w:t>1</w:t>
      </w:r>
      <w:r>
        <w:rPr>
          <w:rFonts w:ascii="黑体" w:hAnsi="宋体" w:eastAsia="黑体"/>
          <w:sz w:val="24"/>
        </w:rPr>
        <w:t>0</w:t>
      </w:r>
      <w:r>
        <w:rPr>
          <w:rFonts w:hint="eastAsia" w:ascii="黑体" w:hAnsi="宋体" w:eastAsia="黑体"/>
          <w:sz w:val="24"/>
        </w:rPr>
        <w:t>．标前会议</w:t>
      </w:r>
    </w:p>
    <w:p w14:paraId="3EB329CA">
      <w:pPr>
        <w:ind w:firstLine="411" w:firstLineChars="196"/>
        <w:rPr>
          <w:rFonts w:ascii="宋体" w:hAnsi="宋体"/>
          <w:szCs w:val="21"/>
        </w:rPr>
      </w:pPr>
      <w:r>
        <w:rPr>
          <w:rFonts w:hint="eastAsia" w:ascii="宋体" w:hAnsi="宋体"/>
          <w:szCs w:val="21"/>
        </w:rPr>
        <w:t>1</w:t>
      </w:r>
      <w:r>
        <w:rPr>
          <w:rFonts w:ascii="宋体" w:hAnsi="宋体"/>
          <w:szCs w:val="21"/>
        </w:rPr>
        <w:t>0</w:t>
      </w:r>
      <w:r>
        <w:rPr>
          <w:rFonts w:hint="eastAsia" w:ascii="宋体" w:hAnsi="宋体"/>
          <w:szCs w:val="21"/>
        </w:rPr>
        <w:t>.</w:t>
      </w:r>
      <w:r>
        <w:rPr>
          <w:rFonts w:ascii="宋体" w:hAnsi="宋体"/>
          <w:szCs w:val="21"/>
        </w:rPr>
        <w:t>1</w:t>
      </w:r>
      <w:r>
        <w:rPr>
          <w:rFonts w:hint="eastAsia" w:ascii="宋体" w:hAnsi="宋体"/>
          <w:szCs w:val="21"/>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14:paraId="32DBB78F">
      <w:pPr>
        <w:ind w:firstLine="411" w:firstLineChars="196"/>
        <w:rPr>
          <w:rFonts w:ascii="宋体" w:hAnsi="宋体"/>
          <w:szCs w:val="21"/>
        </w:rPr>
      </w:pPr>
      <w:r>
        <w:rPr>
          <w:rFonts w:ascii="宋体" w:hAnsi="宋体"/>
        </w:rPr>
        <w:t>10</w:t>
      </w:r>
      <w:r>
        <w:rPr>
          <w:rFonts w:hint="eastAsia" w:ascii="宋体" w:hAnsi="宋体"/>
        </w:rPr>
        <w:t>.</w:t>
      </w:r>
      <w:r>
        <w:rPr>
          <w:rFonts w:ascii="宋体" w:hAnsi="宋体"/>
        </w:rPr>
        <w:t>2</w:t>
      </w:r>
      <w:r>
        <w:rPr>
          <w:rFonts w:hint="eastAsia" w:ascii="宋体" w:hAnsi="宋体"/>
        </w:rPr>
        <w:t>任何人或任何组织在标前会议时向投标人提供的任何书面资料或口头承诺，未经政府集中采购机构在网上发布或书面通知，均作无效处理。</w:t>
      </w:r>
    </w:p>
    <w:p w14:paraId="5DA9B345">
      <w:pPr>
        <w:ind w:firstLine="411" w:firstLineChars="196"/>
        <w:rPr>
          <w:rFonts w:ascii="宋体" w:hAnsi="宋体"/>
          <w:szCs w:val="21"/>
        </w:rPr>
      </w:pPr>
      <w:r>
        <w:rPr>
          <w:rFonts w:hint="eastAsia" w:ascii="宋体" w:hAnsi="宋体"/>
          <w:szCs w:val="21"/>
        </w:rPr>
        <w:t>1</w:t>
      </w:r>
      <w:r>
        <w:rPr>
          <w:rFonts w:ascii="宋体" w:hAnsi="宋体"/>
          <w:szCs w:val="21"/>
        </w:rPr>
        <w:t>0</w:t>
      </w:r>
      <w:r>
        <w:rPr>
          <w:rFonts w:hint="eastAsia" w:ascii="宋体" w:hAnsi="宋体"/>
          <w:szCs w:val="21"/>
        </w:rPr>
        <w:t>.</w:t>
      </w:r>
      <w:r>
        <w:rPr>
          <w:rFonts w:ascii="宋体" w:hAnsi="宋体"/>
          <w:szCs w:val="21"/>
        </w:rPr>
        <w:t>3</w:t>
      </w:r>
      <w:r>
        <w:rPr>
          <w:rFonts w:hint="eastAsia" w:ascii="宋体" w:hAnsi="宋体"/>
          <w:szCs w:val="21"/>
        </w:rPr>
        <w:t>未参与标前会议不作为否定投标人资格的理由。</w:t>
      </w:r>
    </w:p>
    <w:bookmarkEnd w:id="30"/>
    <w:p w14:paraId="0B4C5667">
      <w:pPr>
        <w:ind w:firstLine="411" w:firstLineChars="196"/>
        <w:rPr>
          <w:rFonts w:ascii="宋体" w:hAnsi="宋体"/>
        </w:rPr>
      </w:pPr>
    </w:p>
    <w:p w14:paraId="7B590044">
      <w:pPr>
        <w:pStyle w:val="5"/>
        <w:numPr>
          <w:ilvl w:val="0"/>
          <w:numId w:val="14"/>
        </w:numPr>
        <w:spacing w:before="120" w:beforeLines="50" w:after="120" w:afterLines="50"/>
        <w:ind w:left="562" w:hanging="562"/>
        <w:rPr>
          <w:sz w:val="28"/>
          <w:szCs w:val="28"/>
        </w:rPr>
      </w:pPr>
      <w:r>
        <w:rPr>
          <w:rFonts w:hint="eastAsia"/>
          <w:sz w:val="28"/>
          <w:szCs w:val="28"/>
        </w:rPr>
        <w:t>招标文件</w:t>
      </w:r>
    </w:p>
    <w:p w14:paraId="00A022D5">
      <w:pPr>
        <w:rPr>
          <w:rFonts w:ascii="黑体" w:hAnsi="宋体" w:eastAsia="黑体"/>
          <w:sz w:val="24"/>
        </w:rPr>
      </w:pPr>
      <w:r>
        <w:rPr>
          <w:rFonts w:hint="eastAsia" w:ascii="黑体" w:hAnsi="宋体" w:eastAsia="黑体"/>
          <w:sz w:val="24"/>
        </w:rPr>
        <w:t>1</w:t>
      </w:r>
      <w:r>
        <w:rPr>
          <w:rFonts w:ascii="黑体" w:hAnsi="宋体" w:eastAsia="黑体"/>
          <w:sz w:val="24"/>
        </w:rPr>
        <w:t>1</w:t>
      </w:r>
      <w:r>
        <w:rPr>
          <w:rFonts w:hint="eastAsia" w:ascii="黑体" w:hAnsi="宋体" w:eastAsia="黑体"/>
          <w:sz w:val="24"/>
        </w:rPr>
        <w:t>．</w:t>
      </w:r>
      <w:bookmarkStart w:id="32" w:name="_Hlk72399819"/>
      <w:r>
        <w:rPr>
          <w:rFonts w:hint="eastAsia" w:ascii="黑体" w:hAnsi="宋体" w:eastAsia="黑体"/>
          <w:sz w:val="24"/>
        </w:rPr>
        <w:t>招标文件的编制与组成</w:t>
      </w:r>
    </w:p>
    <w:p w14:paraId="7158B86B">
      <w:pPr>
        <w:snapToGrid w:val="0"/>
        <w:ind w:firstLine="420" w:firstLineChars="200"/>
        <w:rPr>
          <w:rFonts w:ascii="宋体" w:hAnsi="宋体"/>
          <w:szCs w:val="21"/>
        </w:rPr>
      </w:pPr>
      <w:r>
        <w:rPr>
          <w:rFonts w:hint="eastAsia" w:ascii="宋体" w:hAnsi="宋体"/>
          <w:szCs w:val="21"/>
        </w:rPr>
        <w:t>1</w:t>
      </w:r>
      <w:r>
        <w:rPr>
          <w:rFonts w:ascii="宋体" w:hAnsi="宋体"/>
          <w:szCs w:val="21"/>
        </w:rPr>
        <w:t>1</w:t>
      </w:r>
      <w:r>
        <w:rPr>
          <w:rFonts w:hint="eastAsia" w:ascii="宋体" w:hAnsi="宋体"/>
          <w:szCs w:val="21"/>
        </w:rPr>
        <w:t>.1招标文件除以下内容外，政府集中采购机构在招标期间发出的澄清或修改等相关公告或通知内容，均是招标文件的组成部分，对投标人起约束作用；</w:t>
      </w:r>
    </w:p>
    <w:p w14:paraId="7A9F1610">
      <w:pPr>
        <w:ind w:firstLine="411" w:firstLineChars="196"/>
        <w:rPr>
          <w:rFonts w:ascii="宋体" w:hAnsi="宋体"/>
          <w:szCs w:val="21"/>
        </w:rPr>
      </w:pPr>
      <w:r>
        <w:rPr>
          <w:rFonts w:hint="eastAsia" w:ascii="宋体" w:hAnsi="宋体"/>
          <w:szCs w:val="21"/>
        </w:rPr>
        <w:t>招标文件包括下列内容：</w:t>
      </w:r>
    </w:p>
    <w:p w14:paraId="7F31808F">
      <w:pPr>
        <w:ind w:left="420" w:leftChars="200" w:firstLine="412" w:firstLineChars="196"/>
        <w:rPr>
          <w:rFonts w:ascii="宋体" w:hAnsi="宋体"/>
          <w:b/>
          <w:szCs w:val="21"/>
        </w:rPr>
      </w:pPr>
      <w:r>
        <w:rPr>
          <w:rFonts w:hint="eastAsia" w:ascii="宋体" w:hAnsi="宋体"/>
          <w:b/>
          <w:szCs w:val="21"/>
        </w:rPr>
        <w:t>第一册  专用条款</w:t>
      </w:r>
    </w:p>
    <w:p w14:paraId="2060DED0">
      <w:pPr>
        <w:ind w:left="1079" w:leftChars="514"/>
        <w:rPr>
          <w:rFonts w:ascii="宋体" w:hAnsi="宋体"/>
          <w:b/>
          <w:szCs w:val="21"/>
        </w:rPr>
      </w:pPr>
      <w:r>
        <w:rPr>
          <w:rFonts w:hint="eastAsia" w:ascii="宋体" w:hAnsi="宋体"/>
          <w:b/>
          <w:szCs w:val="21"/>
        </w:rPr>
        <w:t>关键信息</w:t>
      </w:r>
    </w:p>
    <w:p w14:paraId="0CAB0ED6">
      <w:pPr>
        <w:ind w:left="630" w:leftChars="300" w:firstLine="411" w:firstLineChars="196"/>
        <w:rPr>
          <w:rFonts w:ascii="宋体" w:hAnsi="宋体"/>
          <w:szCs w:val="21"/>
        </w:rPr>
      </w:pPr>
      <w:r>
        <w:rPr>
          <w:rFonts w:hint="eastAsia" w:ascii="宋体" w:hAnsi="宋体"/>
          <w:szCs w:val="21"/>
        </w:rPr>
        <w:t>第一章  招标公告</w:t>
      </w:r>
    </w:p>
    <w:p w14:paraId="01438089">
      <w:pPr>
        <w:ind w:left="630" w:leftChars="300" w:firstLine="411" w:firstLineChars="196"/>
        <w:rPr>
          <w:rFonts w:ascii="宋体" w:hAnsi="宋体"/>
          <w:szCs w:val="21"/>
        </w:rPr>
      </w:pPr>
      <w:r>
        <w:rPr>
          <w:rFonts w:hint="eastAsia" w:ascii="宋体" w:hAnsi="宋体"/>
          <w:szCs w:val="21"/>
        </w:rPr>
        <w:t>第二章  对通用条款的补充内容及其他关键信息</w:t>
      </w:r>
    </w:p>
    <w:p w14:paraId="7C71E14D">
      <w:pPr>
        <w:ind w:left="630" w:leftChars="300" w:firstLine="411" w:firstLineChars="196"/>
        <w:rPr>
          <w:rFonts w:ascii="宋体" w:hAnsi="宋体"/>
          <w:szCs w:val="21"/>
        </w:rPr>
      </w:pPr>
      <w:r>
        <w:rPr>
          <w:rFonts w:hint="eastAsia" w:ascii="宋体" w:hAnsi="宋体"/>
          <w:szCs w:val="21"/>
        </w:rPr>
        <w:t>第三章  用户需求书</w:t>
      </w:r>
    </w:p>
    <w:p w14:paraId="2E7937F4">
      <w:pPr>
        <w:ind w:left="630" w:leftChars="300" w:firstLine="411" w:firstLineChars="196"/>
        <w:rPr>
          <w:rFonts w:ascii="宋体" w:hAnsi="宋体"/>
          <w:szCs w:val="21"/>
        </w:rPr>
      </w:pPr>
      <w:r>
        <w:rPr>
          <w:rFonts w:hint="eastAsia"/>
        </w:rPr>
        <w:t xml:space="preserve">第四章 </w:t>
      </w:r>
      <w:r>
        <w:t xml:space="preserve"> </w:t>
      </w:r>
      <w:r>
        <w:rPr>
          <w:rFonts w:hint="eastAsia"/>
        </w:rPr>
        <w:t>投标文件格式及附件</w:t>
      </w:r>
    </w:p>
    <w:p w14:paraId="53D784F6">
      <w:pPr>
        <w:ind w:left="630" w:leftChars="300" w:firstLine="411" w:firstLineChars="196"/>
        <w:rPr>
          <w:rFonts w:ascii="宋体" w:hAnsi="宋体"/>
          <w:szCs w:val="21"/>
        </w:rPr>
      </w:pPr>
      <w:r>
        <w:rPr>
          <w:rFonts w:hint="eastAsia" w:ascii="宋体" w:hAnsi="宋体"/>
          <w:szCs w:val="21"/>
        </w:rPr>
        <w:t>第五章  合同条款及格式</w:t>
      </w:r>
    </w:p>
    <w:p w14:paraId="16CEDFCB">
      <w:pPr>
        <w:ind w:left="420" w:leftChars="200" w:firstLine="412" w:firstLineChars="196"/>
        <w:rPr>
          <w:rFonts w:ascii="宋体" w:hAnsi="宋体"/>
          <w:b/>
          <w:szCs w:val="21"/>
        </w:rPr>
      </w:pPr>
      <w:r>
        <w:rPr>
          <w:rFonts w:hint="eastAsia" w:ascii="宋体" w:hAnsi="宋体"/>
          <w:b/>
          <w:szCs w:val="21"/>
        </w:rPr>
        <w:t>第二册  通用条款</w:t>
      </w:r>
    </w:p>
    <w:p w14:paraId="32A136E1">
      <w:pPr>
        <w:ind w:left="630" w:leftChars="300" w:firstLine="411" w:firstLineChars="196"/>
        <w:rPr>
          <w:rFonts w:ascii="宋体" w:hAnsi="宋体"/>
          <w:szCs w:val="21"/>
        </w:rPr>
      </w:pPr>
      <w:r>
        <w:rPr>
          <w:rFonts w:hint="eastAsia" w:ascii="宋体" w:hAnsi="宋体"/>
          <w:szCs w:val="21"/>
        </w:rPr>
        <w:t>第一章  总则</w:t>
      </w:r>
    </w:p>
    <w:p w14:paraId="76595A46">
      <w:pPr>
        <w:ind w:left="630" w:leftChars="300" w:firstLine="411" w:firstLineChars="196"/>
        <w:rPr>
          <w:rFonts w:ascii="宋体" w:hAnsi="宋体"/>
          <w:szCs w:val="21"/>
        </w:rPr>
      </w:pPr>
      <w:r>
        <w:rPr>
          <w:rFonts w:hint="eastAsia" w:ascii="宋体" w:hAnsi="宋体"/>
          <w:szCs w:val="21"/>
        </w:rPr>
        <w:t>第二章  招标文件</w:t>
      </w:r>
    </w:p>
    <w:p w14:paraId="6D76B043">
      <w:pPr>
        <w:ind w:left="630" w:leftChars="300" w:firstLine="411" w:firstLineChars="196"/>
        <w:rPr>
          <w:rFonts w:ascii="宋体" w:hAnsi="宋体"/>
          <w:szCs w:val="21"/>
        </w:rPr>
      </w:pPr>
      <w:r>
        <w:rPr>
          <w:rFonts w:hint="eastAsia" w:ascii="宋体" w:hAnsi="宋体"/>
          <w:szCs w:val="21"/>
        </w:rPr>
        <w:t>第三章  投标文件的编制</w:t>
      </w:r>
    </w:p>
    <w:p w14:paraId="091A0486">
      <w:pPr>
        <w:ind w:left="630" w:leftChars="300" w:firstLine="411" w:firstLineChars="196"/>
        <w:rPr>
          <w:rFonts w:ascii="宋体" w:hAnsi="宋体"/>
          <w:szCs w:val="21"/>
        </w:rPr>
      </w:pPr>
      <w:r>
        <w:rPr>
          <w:rFonts w:hint="eastAsia" w:ascii="宋体" w:hAnsi="宋体"/>
          <w:szCs w:val="21"/>
        </w:rPr>
        <w:t>第四章  投标文件的递交</w:t>
      </w:r>
    </w:p>
    <w:p w14:paraId="2EDB9F55">
      <w:pPr>
        <w:ind w:left="630" w:leftChars="300" w:firstLine="411" w:firstLineChars="196"/>
        <w:rPr>
          <w:rFonts w:ascii="宋体" w:hAnsi="宋体"/>
          <w:szCs w:val="21"/>
        </w:rPr>
      </w:pPr>
      <w:r>
        <w:rPr>
          <w:rFonts w:hint="eastAsia" w:ascii="宋体" w:hAnsi="宋体"/>
          <w:szCs w:val="21"/>
        </w:rPr>
        <w:t>第五章  开标</w:t>
      </w:r>
    </w:p>
    <w:p w14:paraId="5B657048">
      <w:pPr>
        <w:ind w:left="630" w:leftChars="300" w:firstLine="411" w:firstLineChars="196"/>
        <w:rPr>
          <w:rFonts w:ascii="宋体" w:hAnsi="宋体"/>
          <w:szCs w:val="21"/>
        </w:rPr>
      </w:pPr>
      <w:r>
        <w:rPr>
          <w:rFonts w:hint="eastAsia" w:ascii="宋体" w:hAnsi="宋体"/>
          <w:szCs w:val="21"/>
        </w:rPr>
        <w:t>第六章  评审要求</w:t>
      </w:r>
    </w:p>
    <w:p w14:paraId="238C06B4">
      <w:pPr>
        <w:ind w:left="630" w:leftChars="300" w:firstLine="411" w:firstLineChars="196"/>
        <w:rPr>
          <w:rFonts w:ascii="宋体" w:hAnsi="宋体"/>
          <w:szCs w:val="21"/>
        </w:rPr>
      </w:pPr>
      <w:r>
        <w:rPr>
          <w:rFonts w:hint="eastAsia" w:ascii="宋体" w:hAnsi="宋体"/>
          <w:szCs w:val="21"/>
        </w:rPr>
        <w:t>第七章  评审程序及评审方法</w:t>
      </w:r>
    </w:p>
    <w:p w14:paraId="47AFE97F">
      <w:pPr>
        <w:ind w:left="630" w:leftChars="300" w:firstLine="411" w:firstLineChars="196"/>
        <w:rPr>
          <w:rFonts w:ascii="宋体" w:hAnsi="宋体"/>
          <w:szCs w:val="21"/>
        </w:rPr>
      </w:pPr>
      <w:r>
        <w:rPr>
          <w:rFonts w:hint="eastAsia" w:ascii="宋体" w:hAnsi="宋体"/>
          <w:szCs w:val="21"/>
        </w:rPr>
        <w:t>第八章  定标及公示</w:t>
      </w:r>
    </w:p>
    <w:p w14:paraId="23E7D6E3">
      <w:pPr>
        <w:ind w:left="630" w:leftChars="300" w:firstLine="411" w:firstLineChars="196"/>
        <w:rPr>
          <w:rFonts w:ascii="宋体" w:hAnsi="宋体"/>
          <w:szCs w:val="21"/>
        </w:rPr>
      </w:pPr>
      <w:r>
        <w:rPr>
          <w:rFonts w:hint="eastAsia" w:ascii="宋体" w:hAnsi="宋体"/>
          <w:szCs w:val="21"/>
        </w:rPr>
        <w:t>第九章  公开招标失败的后续处理</w:t>
      </w:r>
    </w:p>
    <w:p w14:paraId="79A78D61">
      <w:pPr>
        <w:ind w:left="630" w:leftChars="300" w:firstLine="411" w:firstLineChars="196"/>
        <w:rPr>
          <w:rFonts w:ascii="宋体" w:hAnsi="宋体"/>
          <w:szCs w:val="21"/>
        </w:rPr>
      </w:pPr>
      <w:r>
        <w:rPr>
          <w:rFonts w:hint="eastAsia" w:ascii="宋体" w:hAnsi="宋体"/>
          <w:szCs w:val="21"/>
        </w:rPr>
        <w:t>第十章  合同的授予与备案</w:t>
      </w:r>
    </w:p>
    <w:p w14:paraId="3523AA9E">
      <w:pPr>
        <w:ind w:left="630" w:leftChars="300" w:firstLine="411" w:firstLineChars="196"/>
        <w:rPr>
          <w:rFonts w:ascii="宋体" w:hAnsi="宋体"/>
          <w:szCs w:val="21"/>
        </w:rPr>
      </w:pPr>
      <w:r>
        <w:rPr>
          <w:rFonts w:hint="eastAsia" w:ascii="宋体" w:hAnsi="宋体"/>
          <w:szCs w:val="21"/>
        </w:rPr>
        <w:t>第十一章  质疑处理</w:t>
      </w:r>
    </w:p>
    <w:p w14:paraId="2A6CFCFA">
      <w:pPr>
        <w:ind w:firstLine="411" w:firstLineChars="196"/>
        <w:rPr>
          <w:rFonts w:ascii="宋体" w:hAnsi="宋体"/>
          <w:szCs w:val="21"/>
        </w:rPr>
      </w:pPr>
      <w:r>
        <w:rPr>
          <w:rFonts w:hint="eastAsia" w:ascii="宋体" w:hAnsi="宋体"/>
          <w:szCs w:val="21"/>
        </w:rPr>
        <w:t>1</w:t>
      </w:r>
      <w:r>
        <w:rPr>
          <w:rFonts w:ascii="宋体" w:hAnsi="宋体"/>
          <w:szCs w:val="21"/>
        </w:rPr>
        <w:t>1</w:t>
      </w:r>
      <w:r>
        <w:rPr>
          <w:rFonts w:hint="eastAsia" w:ascii="宋体" w:hAnsi="宋体"/>
          <w:szCs w:val="21"/>
        </w:rPr>
        <w:t>.2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14:paraId="4C5667A2">
      <w:pPr>
        <w:ind w:firstLine="411" w:firstLineChars="196"/>
        <w:rPr>
          <w:rFonts w:hint="eastAsia" w:ascii="宋体" w:hAnsi="宋体"/>
        </w:rPr>
      </w:pPr>
      <w:r>
        <w:rPr>
          <w:rFonts w:hint="eastAsia" w:ascii="宋体" w:hAnsi="宋体"/>
          <w:szCs w:val="21"/>
        </w:rPr>
        <w:t>1</w:t>
      </w:r>
      <w:r>
        <w:rPr>
          <w:rFonts w:ascii="宋体" w:hAnsi="宋体"/>
          <w:szCs w:val="21"/>
        </w:rPr>
        <w:t>1</w:t>
      </w:r>
      <w:r>
        <w:rPr>
          <w:rFonts w:hint="eastAsia" w:ascii="宋体" w:hAnsi="宋体"/>
          <w:szCs w:val="21"/>
        </w:rPr>
        <w:t>.3</w:t>
      </w:r>
      <w:r>
        <w:rPr>
          <w:rFonts w:hint="eastAsia" w:ascii="宋体" w:hAnsi="宋体"/>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14:paraId="64BE82D2">
      <w:pPr>
        <w:pStyle w:val="2"/>
        <w:ind w:firstLine="420" w:firstLineChars="200"/>
      </w:pPr>
      <w:bookmarkStart w:id="33" w:name="OLE_LINK27"/>
      <w:r>
        <w:rPr>
          <w:rFonts w:hint="eastAsia" w:ascii="宋体" w:hAnsi="宋体" w:eastAsia="宋体" w:cs="Times New Roman"/>
          <w:b w:val="0"/>
          <w:bCs w:val="0"/>
          <w:kern w:val="2"/>
          <w:sz w:val="21"/>
          <w:szCs w:val="24"/>
          <w:lang w:val="en-US" w:eastAsia="zh-CN" w:bidi="ar-SA"/>
        </w:rPr>
        <w:t>11.4</w:t>
      </w:r>
      <w:r>
        <w:rPr>
          <w:rFonts w:hint="eastAsia" w:ascii="宋体" w:hAnsi="宋体" w:cs="Times New Roman"/>
          <w:b w:val="0"/>
          <w:bCs w:val="0"/>
          <w:kern w:val="2"/>
          <w:sz w:val="21"/>
          <w:szCs w:val="24"/>
          <w:lang w:val="en-US" w:eastAsia="zh-CN" w:bidi="ar-SA"/>
        </w:rPr>
        <w:t>招标文件所称“原件</w:t>
      </w:r>
      <w:r>
        <w:rPr>
          <w:rFonts w:hint="eastAsia" w:ascii="宋体" w:hAnsi="宋体" w:eastAsia="宋体" w:cs="Times New Roman"/>
          <w:b w:val="0"/>
          <w:bCs w:val="0"/>
          <w:kern w:val="2"/>
          <w:sz w:val="21"/>
          <w:szCs w:val="24"/>
          <w:lang w:val="en-US" w:eastAsia="zh-CN" w:bidi="ar-SA"/>
        </w:rPr>
        <w:t>备查</w:t>
      </w:r>
      <w:r>
        <w:rPr>
          <w:rFonts w:hint="eastAsia" w:ascii="宋体" w:hAnsi="宋体" w:cs="Times New Roman"/>
          <w:b w:val="0"/>
          <w:bCs w:val="0"/>
          <w:kern w:val="2"/>
          <w:sz w:val="21"/>
          <w:szCs w:val="24"/>
          <w:lang w:val="en-US" w:eastAsia="zh-CN" w:bidi="ar-SA"/>
        </w:rPr>
        <w:t>”，</w:t>
      </w:r>
      <w:r>
        <w:rPr>
          <w:rFonts w:hint="eastAsia" w:ascii="宋体" w:hAnsi="宋体" w:eastAsia="宋体" w:cs="Times New Roman"/>
          <w:b w:val="0"/>
          <w:bCs w:val="0"/>
          <w:kern w:val="2"/>
          <w:sz w:val="21"/>
          <w:szCs w:val="24"/>
          <w:lang w:val="en-US" w:eastAsia="zh-CN" w:bidi="ar-SA"/>
        </w:rPr>
        <w:t>是指在项目产生质疑、投诉等阶段，主管部门、采购人、代理机构、评审委员会等可以要求供应商提供原件进行核查。</w:t>
      </w:r>
    </w:p>
    <w:bookmarkEnd w:id="33"/>
    <w:p w14:paraId="720666EC">
      <w:pPr>
        <w:rPr>
          <w:rFonts w:ascii="黑体" w:hAnsi="宋体" w:eastAsia="黑体"/>
          <w:sz w:val="24"/>
        </w:rPr>
      </w:pPr>
      <w:r>
        <w:rPr>
          <w:rFonts w:hint="eastAsia" w:ascii="黑体" w:hAnsi="宋体" w:eastAsia="黑体"/>
          <w:sz w:val="24"/>
        </w:rPr>
        <w:t>1</w:t>
      </w:r>
      <w:r>
        <w:rPr>
          <w:rFonts w:ascii="黑体" w:hAnsi="宋体" w:eastAsia="黑体"/>
          <w:sz w:val="24"/>
        </w:rPr>
        <w:t>2</w:t>
      </w:r>
      <w:r>
        <w:rPr>
          <w:rFonts w:hint="eastAsia" w:ascii="黑体" w:hAnsi="宋体" w:eastAsia="黑体"/>
          <w:sz w:val="24"/>
        </w:rPr>
        <w:t>．招标文件的澄清</w:t>
      </w:r>
    </w:p>
    <w:p w14:paraId="2945F476">
      <w:pPr>
        <w:ind w:firstLine="411" w:firstLineChars="196"/>
        <w:rPr>
          <w:rFonts w:ascii="宋体" w:hAnsi="宋体"/>
          <w:szCs w:val="21"/>
        </w:rPr>
      </w:pPr>
      <w:r>
        <w:rPr>
          <w:rFonts w:hint="eastAsia" w:ascii="宋体" w:hAnsi="宋体"/>
          <w:szCs w:val="21"/>
        </w:rPr>
        <w:t>1</w:t>
      </w:r>
      <w:r>
        <w:rPr>
          <w:rFonts w:ascii="宋体" w:hAnsi="宋体"/>
          <w:szCs w:val="21"/>
        </w:rPr>
        <w:t>2</w:t>
      </w:r>
      <w:r>
        <w:rPr>
          <w:rFonts w:hint="eastAsia" w:ascii="宋体" w:hAnsi="宋体"/>
          <w:szCs w:val="21"/>
        </w:rPr>
        <w:t>.1招标文件澄清的目的是澄清、解答投标人在查阅招标文件后或现场踏勘中可能提出的与投标有关的疑问或询问。</w:t>
      </w:r>
    </w:p>
    <w:p w14:paraId="466BA30C">
      <w:pPr>
        <w:ind w:firstLine="411" w:firstLineChars="196"/>
        <w:rPr>
          <w:rFonts w:ascii="宋体" w:hAnsi="宋体"/>
          <w:szCs w:val="21"/>
        </w:rPr>
      </w:pPr>
      <w:r>
        <w:rPr>
          <w:rFonts w:hint="eastAsia" w:ascii="宋体" w:hAnsi="宋体"/>
          <w:szCs w:val="21"/>
        </w:rPr>
        <w:t>1</w:t>
      </w:r>
      <w:r>
        <w:rPr>
          <w:rFonts w:ascii="宋体" w:hAnsi="宋体"/>
          <w:szCs w:val="21"/>
        </w:rPr>
        <w:t>2</w:t>
      </w:r>
      <w:r>
        <w:rPr>
          <w:rFonts w:hint="eastAsia" w:ascii="宋体" w:hAnsi="宋体"/>
          <w:szCs w:val="21"/>
        </w:rPr>
        <w:t>.2投标人如对招标文件内容有疑问，应当在招标公告规定的澄清（提问）截止时间前以网上提问的形式通过网上政府采购系统提交政府集中采购机构。</w:t>
      </w:r>
    </w:p>
    <w:p w14:paraId="569A15C0">
      <w:pPr>
        <w:ind w:firstLine="411" w:firstLineChars="196"/>
        <w:rPr>
          <w:rFonts w:ascii="宋体" w:hAnsi="宋体"/>
          <w:szCs w:val="21"/>
        </w:rPr>
      </w:pPr>
      <w:r>
        <w:rPr>
          <w:rFonts w:hint="eastAsia" w:ascii="宋体" w:hAnsi="宋体"/>
          <w:szCs w:val="21"/>
        </w:rPr>
        <w:t>1</w:t>
      </w:r>
      <w:r>
        <w:rPr>
          <w:rFonts w:ascii="宋体" w:hAnsi="宋体"/>
          <w:szCs w:val="21"/>
        </w:rPr>
        <w:t>2</w:t>
      </w:r>
      <w:r>
        <w:rPr>
          <w:rFonts w:hint="eastAsia" w:ascii="宋体" w:hAnsi="宋体"/>
          <w:szCs w:val="21"/>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Pr>
          <w:rFonts w:ascii="宋体" w:hAnsi="宋体"/>
          <w:szCs w:val="21"/>
        </w:rPr>
        <w:t>3.3</w:t>
      </w:r>
      <w:r>
        <w:rPr>
          <w:rFonts w:hint="eastAsia" w:ascii="宋体" w:hAnsi="宋体"/>
          <w:szCs w:val="21"/>
        </w:rPr>
        <w:t>、1</w:t>
      </w:r>
      <w:r>
        <w:rPr>
          <w:rFonts w:ascii="宋体" w:hAnsi="宋体"/>
          <w:szCs w:val="21"/>
        </w:rPr>
        <w:t>3.4</w:t>
      </w:r>
      <w:r>
        <w:rPr>
          <w:rFonts w:hint="eastAsia" w:ascii="宋体" w:hAnsi="宋体"/>
          <w:szCs w:val="21"/>
        </w:rPr>
        <w:t>款规定执行。</w:t>
      </w:r>
    </w:p>
    <w:p w14:paraId="0F5577C7">
      <w:pPr>
        <w:rPr>
          <w:rFonts w:ascii="黑体" w:hAnsi="宋体" w:eastAsia="黑体"/>
          <w:sz w:val="24"/>
        </w:rPr>
      </w:pPr>
      <w:r>
        <w:rPr>
          <w:rFonts w:ascii="黑体" w:hAnsi="宋体" w:eastAsia="黑体"/>
          <w:sz w:val="24"/>
        </w:rPr>
        <w:t>1</w:t>
      </w:r>
      <w:r>
        <w:rPr>
          <w:rFonts w:hint="eastAsia" w:ascii="黑体" w:hAnsi="宋体" w:eastAsia="黑体"/>
          <w:sz w:val="24"/>
        </w:rPr>
        <w:t>3．招标文件的修改</w:t>
      </w:r>
    </w:p>
    <w:p w14:paraId="6B160635">
      <w:pPr>
        <w:ind w:firstLine="411" w:firstLineChars="196"/>
        <w:rPr>
          <w:rFonts w:ascii="宋体" w:hAnsi="宋体"/>
          <w:szCs w:val="21"/>
        </w:rPr>
      </w:pPr>
      <w:r>
        <w:rPr>
          <w:rFonts w:ascii="宋体" w:hAnsi="宋体"/>
          <w:szCs w:val="21"/>
        </w:rPr>
        <w:t>1</w:t>
      </w:r>
      <w:r>
        <w:rPr>
          <w:rFonts w:hint="eastAsia" w:ascii="宋体" w:hAnsi="宋体"/>
          <w:szCs w:val="21"/>
        </w:rPr>
        <w:t>3.1招标文件发出后，在投标截止日期前任何时候，确需要变更招标文件内容的，政府集中采购机构可主动或在解答投标人提出的澄清问题时对招标文件进行修改。</w:t>
      </w:r>
    </w:p>
    <w:p w14:paraId="3CFDDB65">
      <w:pPr>
        <w:ind w:firstLine="411" w:firstLineChars="196"/>
        <w:rPr>
          <w:rFonts w:ascii="宋体" w:hAnsi="宋体"/>
          <w:szCs w:val="21"/>
        </w:rPr>
      </w:pPr>
      <w:r>
        <w:rPr>
          <w:rFonts w:ascii="宋体" w:hAnsi="宋体"/>
          <w:szCs w:val="21"/>
        </w:rPr>
        <w:t>1</w:t>
      </w:r>
      <w:r>
        <w:rPr>
          <w:rFonts w:hint="eastAsia" w:ascii="宋体" w:hAnsi="宋体"/>
          <w:szCs w:val="21"/>
        </w:rPr>
        <w:t>3.2招标文件的修改以书面形式（包括政府集中采购机构网站发布方式，如更正公告等）发送给所有投标人，招标文件的修改内容作为招标文件的组成部分，并具有约束力。</w:t>
      </w:r>
    </w:p>
    <w:p w14:paraId="295160EF">
      <w:pPr>
        <w:ind w:firstLine="411" w:firstLineChars="196"/>
        <w:rPr>
          <w:rFonts w:ascii="宋体" w:hAnsi="宋体"/>
          <w:szCs w:val="21"/>
        </w:rPr>
      </w:pPr>
      <w:r>
        <w:rPr>
          <w:rFonts w:ascii="宋体" w:hAnsi="宋体"/>
          <w:szCs w:val="21"/>
        </w:rPr>
        <w:t>1</w:t>
      </w:r>
      <w:r>
        <w:rPr>
          <w:rFonts w:hint="eastAsia" w:ascii="宋体" w:hAnsi="宋体"/>
          <w:szCs w:val="21"/>
        </w:rPr>
        <w:t>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14:paraId="5602F17B">
      <w:pPr>
        <w:ind w:firstLine="411" w:firstLineChars="196"/>
        <w:rPr>
          <w:rFonts w:ascii="宋体" w:hAnsi="宋体"/>
          <w:szCs w:val="21"/>
        </w:rPr>
      </w:pPr>
      <w:r>
        <w:rPr>
          <w:rFonts w:ascii="宋体" w:hAnsi="宋体"/>
          <w:szCs w:val="21"/>
        </w:rPr>
        <w:t>1</w:t>
      </w:r>
      <w:r>
        <w:rPr>
          <w:rFonts w:hint="eastAsia" w:ascii="宋体" w:hAnsi="宋体"/>
          <w:szCs w:val="21"/>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32"/>
    </w:p>
    <w:p w14:paraId="580F15CB">
      <w:pPr>
        <w:rPr>
          <w:rFonts w:ascii="宋体" w:hAnsi="宋体"/>
          <w:szCs w:val="21"/>
        </w:rPr>
      </w:pPr>
    </w:p>
    <w:p w14:paraId="2E13EE37">
      <w:pPr>
        <w:pStyle w:val="5"/>
        <w:numPr>
          <w:ilvl w:val="0"/>
          <w:numId w:val="14"/>
        </w:numPr>
        <w:spacing w:before="120" w:beforeLines="50" w:after="120" w:afterLines="50"/>
        <w:ind w:left="562" w:hanging="562"/>
        <w:rPr>
          <w:sz w:val="28"/>
          <w:szCs w:val="28"/>
        </w:rPr>
      </w:pPr>
      <w:r>
        <w:rPr>
          <w:rFonts w:hint="eastAsia"/>
          <w:sz w:val="28"/>
          <w:szCs w:val="28"/>
        </w:rPr>
        <w:t>投标文件的编制</w:t>
      </w:r>
    </w:p>
    <w:p w14:paraId="76679B7A">
      <w:pPr>
        <w:rPr>
          <w:rFonts w:ascii="黑体" w:hAnsi="宋体" w:eastAsia="黑体"/>
          <w:sz w:val="24"/>
        </w:rPr>
      </w:pPr>
      <w:r>
        <w:rPr>
          <w:rFonts w:hint="eastAsia" w:ascii="黑体" w:hAnsi="宋体" w:eastAsia="黑体"/>
          <w:sz w:val="24"/>
        </w:rPr>
        <w:t>14．</w:t>
      </w:r>
      <w:bookmarkStart w:id="34" w:name="_Hlk72400236"/>
      <w:r>
        <w:rPr>
          <w:rFonts w:hint="eastAsia" w:ascii="黑体" w:hAnsi="宋体" w:eastAsia="黑体"/>
          <w:sz w:val="24"/>
        </w:rPr>
        <w:t>投标文件的语言及度量单位</w:t>
      </w:r>
    </w:p>
    <w:p w14:paraId="459AB053">
      <w:pPr>
        <w:ind w:firstLine="411" w:firstLineChars="196"/>
        <w:rPr>
          <w:rFonts w:ascii="宋体" w:hAnsi="宋体"/>
          <w:szCs w:val="21"/>
        </w:rPr>
      </w:pPr>
      <w:r>
        <w:rPr>
          <w:rFonts w:hint="eastAsia" w:ascii="宋体" w:hAnsi="宋体"/>
          <w:szCs w:val="21"/>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w:t>
      </w:r>
    </w:p>
    <w:p w14:paraId="451D40EE">
      <w:pPr>
        <w:ind w:firstLine="411" w:firstLineChars="196"/>
        <w:rPr>
          <w:rFonts w:ascii="宋体" w:hAnsi="宋体"/>
          <w:szCs w:val="21"/>
        </w:rPr>
      </w:pPr>
      <w:r>
        <w:rPr>
          <w:rFonts w:hint="eastAsia" w:ascii="宋体" w:hAnsi="宋体"/>
          <w:szCs w:val="21"/>
        </w:rPr>
        <w:t>14.2 除技术规范另有规定外，投标文件使用的度量单位，均采用中华人民共和国法定计量单位。</w:t>
      </w:r>
    </w:p>
    <w:bookmarkEnd w:id="34"/>
    <w:p w14:paraId="60118939">
      <w:pPr>
        <w:rPr>
          <w:rFonts w:ascii="黑体" w:hAnsi="宋体" w:eastAsia="黑体"/>
          <w:sz w:val="24"/>
        </w:rPr>
      </w:pPr>
      <w:r>
        <w:rPr>
          <w:rFonts w:hint="eastAsia" w:ascii="黑体" w:hAnsi="宋体" w:eastAsia="黑体"/>
          <w:sz w:val="24"/>
        </w:rPr>
        <w:t>15．</w:t>
      </w:r>
      <w:bookmarkStart w:id="35" w:name="_Hlk72401567"/>
      <w:r>
        <w:rPr>
          <w:rFonts w:hint="eastAsia" w:ascii="黑体" w:hAnsi="宋体" w:eastAsia="黑体"/>
          <w:sz w:val="24"/>
        </w:rPr>
        <w:t>投标文件的组成</w:t>
      </w:r>
    </w:p>
    <w:p w14:paraId="53C2E997">
      <w:pPr>
        <w:ind w:firstLine="411" w:firstLineChars="196"/>
        <w:rPr>
          <w:rFonts w:ascii="宋体" w:hAnsi="宋体"/>
          <w:szCs w:val="21"/>
        </w:rPr>
      </w:pPr>
      <w:r>
        <w:rPr>
          <w:rFonts w:hint="eastAsia" w:ascii="宋体" w:hAnsi="宋体"/>
          <w:szCs w:val="21"/>
        </w:rPr>
        <w:t>具体内容在招标文件专用条款中进行规定。</w:t>
      </w:r>
    </w:p>
    <w:p w14:paraId="603E3B01">
      <w:pPr>
        <w:rPr>
          <w:rFonts w:ascii="黑体" w:hAnsi="宋体" w:eastAsia="黑体"/>
          <w:sz w:val="24"/>
        </w:rPr>
      </w:pPr>
      <w:r>
        <w:rPr>
          <w:rFonts w:ascii="黑体" w:hAnsi="宋体" w:eastAsia="黑体"/>
          <w:sz w:val="24"/>
        </w:rPr>
        <w:t>16．投标文件格式</w:t>
      </w:r>
    </w:p>
    <w:p w14:paraId="3132AC48">
      <w:pPr>
        <w:ind w:firstLine="411" w:firstLineChars="196"/>
        <w:rPr>
          <w:rFonts w:ascii="宋体" w:hAnsi="宋体"/>
          <w:szCs w:val="21"/>
        </w:rPr>
      </w:pPr>
      <w:r>
        <w:rPr>
          <w:rFonts w:hint="eastAsia" w:ascii="宋体" w:hAnsi="宋体"/>
          <w:szCs w:val="21"/>
        </w:rPr>
        <w:t>投标文件包括本通用条款第</w:t>
      </w:r>
      <w:r>
        <w:rPr>
          <w:rFonts w:ascii="宋体" w:hAnsi="宋体"/>
          <w:szCs w:val="21"/>
        </w:rPr>
        <w:t>15条中规定的内容。如招标文件提供了投标文件格式，则</w:t>
      </w:r>
      <w:r>
        <w:rPr>
          <w:rFonts w:hint="eastAsia" w:ascii="宋体" w:hAnsi="宋体"/>
          <w:b/>
          <w:bCs/>
          <w:szCs w:val="21"/>
        </w:rPr>
        <w:t>投标人提交的投标文件应毫无例外地使用招标文件所提供的相应格式</w:t>
      </w:r>
      <w:r>
        <w:rPr>
          <w:rFonts w:hint="eastAsia" w:ascii="宋体" w:hAnsi="宋体"/>
          <w:szCs w:val="21"/>
        </w:rPr>
        <w:t>（表格均可按同样格式扩展）。</w:t>
      </w:r>
    </w:p>
    <w:p w14:paraId="531E7495">
      <w:pPr>
        <w:rPr>
          <w:rFonts w:ascii="黑体" w:hAnsi="宋体" w:eastAsia="黑体"/>
          <w:sz w:val="24"/>
        </w:rPr>
      </w:pPr>
      <w:r>
        <w:rPr>
          <w:rFonts w:hint="eastAsia" w:ascii="黑体" w:hAnsi="宋体" w:eastAsia="黑体"/>
          <w:sz w:val="24"/>
        </w:rPr>
        <w:t>17．投标货币</w:t>
      </w:r>
    </w:p>
    <w:p w14:paraId="4DC63F05">
      <w:pPr>
        <w:ind w:firstLine="411" w:firstLineChars="196"/>
        <w:rPr>
          <w:rFonts w:ascii="宋体" w:hAnsi="宋体"/>
          <w:szCs w:val="21"/>
        </w:rPr>
      </w:pPr>
      <w:r>
        <w:rPr>
          <w:rFonts w:hint="eastAsia" w:ascii="宋体" w:hAnsi="宋体"/>
          <w:szCs w:val="21"/>
        </w:rPr>
        <w:t>本项目的投标报价应以人民币计。</w:t>
      </w:r>
    </w:p>
    <w:bookmarkEnd w:id="35"/>
    <w:p w14:paraId="13B58DA5">
      <w:pPr>
        <w:rPr>
          <w:rFonts w:ascii="黑体" w:hAnsi="宋体" w:eastAsia="黑体"/>
          <w:sz w:val="24"/>
        </w:rPr>
      </w:pPr>
      <w:r>
        <w:rPr>
          <w:rFonts w:hint="eastAsia" w:ascii="黑体" w:hAnsi="宋体" w:eastAsia="黑体"/>
          <w:sz w:val="24"/>
        </w:rPr>
        <w:t>18．</w:t>
      </w:r>
      <w:bookmarkStart w:id="36" w:name="_Hlk72401735"/>
      <w:r>
        <w:rPr>
          <w:rFonts w:hint="eastAsia" w:ascii="黑体" w:hAnsi="宋体" w:eastAsia="黑体"/>
          <w:sz w:val="24"/>
        </w:rPr>
        <w:t>证明投标文件投标技术方案的合格性和符合招标文件规定的文件要求</w:t>
      </w:r>
    </w:p>
    <w:p w14:paraId="29161A88">
      <w:pPr>
        <w:ind w:firstLine="411" w:firstLineChars="196"/>
        <w:rPr>
          <w:rFonts w:ascii="宋体" w:hAnsi="宋体"/>
          <w:szCs w:val="21"/>
        </w:rPr>
      </w:pPr>
      <w:r>
        <w:rPr>
          <w:rFonts w:hint="eastAsia" w:ascii="宋体" w:hAnsi="宋体"/>
          <w:szCs w:val="21"/>
        </w:rPr>
        <w:t>18</w:t>
      </w:r>
      <w:r>
        <w:rPr>
          <w:rFonts w:ascii="宋体" w:hAnsi="宋体"/>
          <w:szCs w:val="21"/>
        </w:rPr>
        <w:t xml:space="preserve">.1 </w:t>
      </w:r>
      <w:r>
        <w:rPr>
          <w:rFonts w:hint="eastAsia" w:ascii="宋体" w:hAnsi="宋体"/>
          <w:szCs w:val="21"/>
        </w:rPr>
        <w:t>投标人应提交证明文件，证明其投标技术方案项下的货物和服务的合格性符合招标文件规定。该投标技术方案及其证明文件均作为投标文件组成部分。</w:t>
      </w:r>
    </w:p>
    <w:p w14:paraId="13D20BB8">
      <w:pPr>
        <w:ind w:firstLine="411" w:firstLineChars="196"/>
        <w:rPr>
          <w:rFonts w:ascii="宋体" w:hAnsi="宋体"/>
          <w:szCs w:val="21"/>
        </w:rPr>
      </w:pPr>
      <w:r>
        <w:rPr>
          <w:rFonts w:ascii="宋体" w:hAnsi="宋体"/>
          <w:szCs w:val="21"/>
        </w:rPr>
        <w:t>1</w:t>
      </w:r>
      <w:r>
        <w:rPr>
          <w:rFonts w:hint="eastAsia" w:ascii="宋体" w:hAnsi="宋体"/>
          <w:szCs w:val="21"/>
        </w:rPr>
        <w:t>8</w:t>
      </w:r>
      <w:r>
        <w:rPr>
          <w:rFonts w:ascii="宋体" w:hAnsi="宋体"/>
          <w:szCs w:val="21"/>
        </w:rPr>
        <w:t xml:space="preserve">.2 </w:t>
      </w:r>
      <w:r>
        <w:rPr>
          <w:rFonts w:hint="eastAsia" w:ascii="宋体" w:hAnsi="宋体"/>
          <w:szCs w:val="21"/>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14:paraId="5EE4EE7B">
      <w:pPr>
        <w:ind w:firstLine="411" w:firstLineChars="196"/>
        <w:rPr>
          <w:rFonts w:ascii="宋体" w:hAnsi="宋体"/>
          <w:szCs w:val="21"/>
        </w:rPr>
      </w:pPr>
      <w:r>
        <w:rPr>
          <w:rFonts w:hint="eastAsia" w:ascii="宋体" w:hAnsi="宋体"/>
          <w:szCs w:val="21"/>
        </w:rPr>
        <w:t>18.2.1主要技术指标和性能的详细说明。</w:t>
      </w:r>
    </w:p>
    <w:p w14:paraId="14D223F6">
      <w:pPr>
        <w:ind w:firstLine="411" w:firstLineChars="196"/>
        <w:rPr>
          <w:rFonts w:ascii="宋体" w:hAnsi="宋体"/>
          <w:szCs w:val="21"/>
        </w:rPr>
      </w:pPr>
      <w:r>
        <w:rPr>
          <w:rFonts w:hint="eastAsia" w:ascii="宋体" w:hAnsi="宋体"/>
          <w:szCs w:val="21"/>
        </w:rPr>
        <w:t>18.2.</w:t>
      </w:r>
      <w:r>
        <w:rPr>
          <w:rFonts w:ascii="宋体" w:hAnsi="宋体"/>
          <w:szCs w:val="21"/>
        </w:rPr>
        <w:t>2</w:t>
      </w:r>
      <w:r>
        <w:rPr>
          <w:rFonts w:hint="eastAsia" w:ascii="宋体" w:hAnsi="宋体"/>
          <w:szCs w:val="21"/>
        </w:rPr>
        <w:t>投标产品从采购人开始使用至招标文件中规定的周期内正常、连续地使用所必须的备件和专用工具清单，包括备件和专用工具的货源及现行价格。</w:t>
      </w:r>
    </w:p>
    <w:p w14:paraId="5304735A">
      <w:pPr>
        <w:ind w:firstLine="411" w:firstLineChars="196"/>
        <w:rPr>
          <w:rFonts w:ascii="宋体" w:hAnsi="宋体"/>
          <w:szCs w:val="21"/>
        </w:rPr>
      </w:pPr>
      <w:r>
        <w:rPr>
          <w:rFonts w:hint="eastAsia" w:ascii="宋体" w:hAnsi="宋体"/>
          <w:szCs w:val="21"/>
        </w:rPr>
        <w:t>18.2.</w:t>
      </w:r>
      <w:r>
        <w:rPr>
          <w:rFonts w:ascii="宋体" w:hAnsi="宋体"/>
          <w:szCs w:val="21"/>
        </w:rPr>
        <w:t>3</w:t>
      </w:r>
      <w:r>
        <w:rPr>
          <w:rFonts w:hint="eastAsia" w:ascii="宋体" w:hAnsi="宋体"/>
          <w:szCs w:val="21"/>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14:paraId="3247FEAA">
      <w:pPr>
        <w:ind w:firstLine="411" w:firstLineChars="196"/>
        <w:rPr>
          <w:rFonts w:ascii="宋体" w:hAnsi="宋体"/>
          <w:szCs w:val="21"/>
        </w:rPr>
      </w:pPr>
      <w:r>
        <w:rPr>
          <w:rFonts w:hint="eastAsia" w:ascii="宋体" w:hAnsi="宋体"/>
          <w:szCs w:val="21"/>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rPr>
        <w:t>清晰度要求能够使用电脑阅读、识别和判断</w:t>
      </w:r>
      <w:r>
        <w:rPr>
          <w:rFonts w:hint="eastAsia" w:ascii="宋体" w:hAnsi="宋体"/>
          <w:szCs w:val="21"/>
        </w:rPr>
        <w:t>；</w:t>
      </w:r>
    </w:p>
    <w:p w14:paraId="2DC42FC9">
      <w:pPr>
        <w:ind w:firstLine="411" w:firstLineChars="196"/>
        <w:rPr>
          <w:rFonts w:ascii="宋体" w:hAnsi="宋体"/>
          <w:szCs w:val="21"/>
        </w:rPr>
      </w:pPr>
      <w:r>
        <w:rPr>
          <w:rFonts w:hint="eastAsia" w:ascii="宋体" w:hAnsi="宋体"/>
          <w:szCs w:val="21"/>
        </w:rPr>
        <w:t>18.2.5我国政府机构出具的产品检验和核准证件应为证件正面、背面和附件标注的全部具体内容；产品检验和核准证件的尺寸和清晰度应该能够在电脑上被阅读、识别和判断，提供原件扫描件。</w:t>
      </w:r>
    </w:p>
    <w:p w14:paraId="0FD836E3">
      <w:pPr>
        <w:ind w:firstLine="411" w:firstLineChars="196"/>
        <w:rPr>
          <w:rFonts w:ascii="宋体" w:hAnsi="宋体"/>
          <w:szCs w:val="21"/>
        </w:rPr>
      </w:pPr>
      <w:r>
        <w:rPr>
          <w:rFonts w:hint="eastAsia" w:ascii="宋体" w:hAnsi="宋体"/>
          <w:szCs w:val="21"/>
        </w:rPr>
        <w:t>18.3相关资料不符合18.2款要求的，评审委员会有权认定为投标技术方案不合格响应，其相关分数予以扣减或作投标无效处理。</w:t>
      </w:r>
    </w:p>
    <w:p w14:paraId="2FE7102A">
      <w:pPr>
        <w:ind w:firstLine="411" w:firstLineChars="196"/>
        <w:rPr>
          <w:rFonts w:ascii="宋体" w:hAnsi="宋体"/>
          <w:szCs w:val="21"/>
        </w:rPr>
      </w:pPr>
      <w:r>
        <w:rPr>
          <w:rFonts w:ascii="宋体" w:hAnsi="宋体"/>
          <w:szCs w:val="21"/>
        </w:rPr>
        <w:t>1</w:t>
      </w:r>
      <w:r>
        <w:rPr>
          <w:rFonts w:hint="eastAsia" w:ascii="宋体" w:hAnsi="宋体"/>
          <w:szCs w:val="21"/>
        </w:rPr>
        <w:t>8</w:t>
      </w:r>
      <w:r>
        <w:rPr>
          <w:rFonts w:ascii="宋体" w:hAnsi="宋体"/>
          <w:szCs w:val="21"/>
        </w:rPr>
        <w:t>.</w:t>
      </w:r>
      <w:r>
        <w:rPr>
          <w:rFonts w:hint="eastAsia" w:ascii="宋体" w:hAnsi="宋体"/>
          <w:szCs w:val="21"/>
        </w:rPr>
        <w:t>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w:t>
      </w:r>
      <w:r>
        <w:rPr>
          <w:rFonts w:hint="eastAsia"/>
        </w:rPr>
        <w:t>满足要求</w:t>
      </w:r>
      <w:r>
        <w:rPr>
          <w:rFonts w:hint="eastAsia" w:ascii="宋体" w:hAnsi="宋体"/>
          <w:szCs w:val="21"/>
        </w:rPr>
        <w:t>，由评审委员会来评判。</w:t>
      </w:r>
    </w:p>
    <w:p w14:paraId="14928AFB">
      <w:pPr>
        <w:ind w:firstLine="411" w:firstLineChars="196"/>
        <w:rPr>
          <w:rFonts w:ascii="宋体" w:hAnsi="宋体"/>
          <w:szCs w:val="21"/>
        </w:rPr>
      </w:pPr>
      <w:r>
        <w:rPr>
          <w:rFonts w:hint="eastAsia" w:ascii="宋体" w:hAnsi="宋体"/>
          <w:szCs w:val="21"/>
        </w:rPr>
        <w:t>18.5除非另有规定或说明，投标人对同一项目投标时，不得同时提供两套或两套以上的投标方案。</w:t>
      </w:r>
    </w:p>
    <w:bookmarkEnd w:id="36"/>
    <w:p w14:paraId="213EFD12">
      <w:pPr>
        <w:rPr>
          <w:rFonts w:ascii="黑体" w:hAnsi="宋体" w:eastAsia="黑体"/>
          <w:sz w:val="24"/>
        </w:rPr>
      </w:pPr>
      <w:r>
        <w:rPr>
          <w:rFonts w:hint="eastAsia" w:ascii="黑体" w:hAnsi="宋体" w:eastAsia="黑体"/>
          <w:sz w:val="24"/>
        </w:rPr>
        <w:t>19．</w:t>
      </w:r>
      <w:bookmarkStart w:id="37" w:name="_Hlk72402034"/>
      <w:r>
        <w:rPr>
          <w:rFonts w:hint="eastAsia" w:ascii="黑体" w:hAnsi="宋体" w:eastAsia="黑体"/>
          <w:sz w:val="24"/>
        </w:rPr>
        <w:t>投标文件其他证明文件的要求</w:t>
      </w:r>
    </w:p>
    <w:p w14:paraId="44587D35">
      <w:pPr>
        <w:rPr>
          <w:rFonts w:ascii="宋体" w:hAnsi="宋体"/>
          <w:color w:val="FF0000"/>
          <w:szCs w:val="21"/>
        </w:rPr>
      </w:pPr>
      <w:r>
        <w:rPr>
          <w:rFonts w:hint="eastAsia" w:ascii="黑体" w:hAnsi="宋体" w:eastAsia="黑体"/>
          <w:sz w:val="24"/>
        </w:rPr>
        <w:t xml:space="preserve">    </w:t>
      </w:r>
      <w:r>
        <w:rPr>
          <w:rFonts w:hint="eastAsia" w:ascii="宋体" w:hAnsi="宋体"/>
          <w:szCs w:val="21"/>
        </w:rPr>
        <w:t>19.1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w:t>
      </w:r>
      <w:bookmarkStart w:id="38" w:name="_Hlk71407299"/>
      <w:r>
        <w:rPr>
          <w:rFonts w:hint="eastAsia" w:ascii="宋体" w:hAnsi="宋体"/>
          <w:szCs w:val="21"/>
        </w:rPr>
        <w:t>若投标人未按要求提供证明材料或提供的是部分证明材料或提供不清晰的扫描件（或照片）的，采购人</w:t>
      </w:r>
      <w:r>
        <w:rPr>
          <w:rFonts w:hint="eastAsia" w:ascii="宋体" w:hAnsi="宋体"/>
          <w:szCs w:val="21"/>
          <w:lang w:eastAsia="zh-CN"/>
        </w:rPr>
        <w:t>、</w:t>
      </w:r>
      <w:r>
        <w:rPr>
          <w:rFonts w:hint="eastAsia" w:ascii="宋体" w:hAnsi="宋体"/>
          <w:szCs w:val="21"/>
        </w:rPr>
        <w:t>代理机构</w:t>
      </w:r>
      <w:r>
        <w:rPr>
          <w:rFonts w:hint="eastAsia" w:ascii="宋体" w:hAnsi="宋体"/>
          <w:szCs w:val="21"/>
          <w:lang w:val="en-US" w:eastAsia="zh-CN"/>
        </w:rPr>
        <w:t>以及</w:t>
      </w:r>
      <w:r>
        <w:rPr>
          <w:rFonts w:hint="eastAsia" w:ascii="宋体" w:hAnsi="宋体"/>
          <w:szCs w:val="21"/>
        </w:rPr>
        <w:t>评审委员会依据各自审查范围，有权认定其投标文件未对招标文件有关需求进行响应，涉及资格性审查或符合性审查的予以投标无效处理，涉及《评标信息》打分项的则该项评分予以0分处理。对供应商投标资料是否异常、是否有效问题进行核查和判定，如认为供应商投标资料有异常或无效的，若涉及资格性审查或符合性审查条款的，则应作投标无效处理；若涉及评分的，则作不得分处理。</w:t>
      </w:r>
    </w:p>
    <w:bookmarkEnd w:id="38"/>
    <w:p w14:paraId="5C62F906">
      <w:pPr>
        <w:ind w:firstLine="411" w:firstLineChars="196"/>
        <w:rPr>
          <w:rFonts w:ascii="宋体" w:hAnsi="宋体"/>
          <w:szCs w:val="21"/>
        </w:rPr>
      </w:pPr>
      <w:r>
        <w:rPr>
          <w:rFonts w:hint="eastAsia" w:ascii="宋体" w:hAnsi="宋体"/>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14:paraId="3F432A65">
      <w:pPr>
        <w:rPr>
          <w:rFonts w:ascii="黑体" w:hAnsi="宋体" w:eastAsia="黑体"/>
          <w:sz w:val="24"/>
        </w:rPr>
      </w:pPr>
      <w:r>
        <w:rPr>
          <w:rFonts w:hint="eastAsia" w:ascii="黑体" w:hAnsi="宋体" w:eastAsia="黑体"/>
          <w:sz w:val="24"/>
        </w:rPr>
        <w:t>20．投标有效期</w:t>
      </w:r>
    </w:p>
    <w:bookmarkEnd w:id="37"/>
    <w:p w14:paraId="7AE028C4">
      <w:pPr>
        <w:ind w:firstLine="411" w:firstLineChars="196"/>
        <w:rPr>
          <w:rFonts w:ascii="宋体" w:hAnsi="宋体"/>
          <w:szCs w:val="21"/>
        </w:rPr>
      </w:pPr>
      <w:bookmarkStart w:id="39" w:name="_Hlk72402214"/>
      <w:r>
        <w:rPr>
          <w:rFonts w:hint="eastAsia" w:ascii="宋体" w:hAnsi="宋体"/>
          <w:szCs w:val="21"/>
        </w:rPr>
        <w:t>20.1 投标有效期为</w:t>
      </w:r>
      <w:r>
        <w:rPr>
          <w:rFonts w:hint="eastAsia" w:ascii="Arial" w:hAnsi="Arial" w:cs="Arial"/>
          <w:szCs w:val="21"/>
        </w:rPr>
        <w:t>从投标截止之日算起的日历天数。</w:t>
      </w:r>
      <w:r>
        <w:rPr>
          <w:rFonts w:hint="eastAsia" w:ascii="宋体" w:hAnsi="宋体"/>
          <w:szCs w:val="21"/>
        </w:rPr>
        <w:t>在此期限内，所有投标文件均保持有效。</w:t>
      </w:r>
    </w:p>
    <w:p w14:paraId="365D6D07">
      <w:pPr>
        <w:ind w:firstLine="411" w:firstLineChars="196"/>
        <w:rPr>
          <w:rFonts w:ascii="宋体" w:hAnsi="宋体"/>
          <w:szCs w:val="21"/>
        </w:rPr>
      </w:pPr>
      <w:r>
        <w:rPr>
          <w:rFonts w:hint="eastAsia" w:ascii="宋体" w:hAnsi="宋体"/>
          <w:szCs w:val="21"/>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14:paraId="3916C402">
      <w:pPr>
        <w:ind w:firstLine="411" w:firstLineChars="196"/>
        <w:rPr>
          <w:rFonts w:ascii="宋体" w:hAnsi="宋体"/>
          <w:szCs w:val="21"/>
        </w:rPr>
      </w:pPr>
      <w:r>
        <w:rPr>
          <w:rFonts w:hint="eastAsia" w:ascii="宋体" w:hAnsi="宋体"/>
          <w:szCs w:val="21"/>
        </w:rPr>
        <w:t>20</w:t>
      </w:r>
      <w:r>
        <w:rPr>
          <w:rFonts w:ascii="宋体" w:hAnsi="宋体"/>
          <w:szCs w:val="21"/>
        </w:rPr>
        <w:t>.3</w:t>
      </w:r>
      <w:r>
        <w:rPr>
          <w:rFonts w:hint="eastAsia" w:ascii="宋体" w:hAnsi="宋体"/>
          <w:szCs w:val="21"/>
        </w:rPr>
        <w:t xml:space="preserve"> 中标供应商的投标文件有效期，截止于完成本招标文件规定的全部项目内容，并通过竣工验收及保修期结束。</w:t>
      </w:r>
    </w:p>
    <w:bookmarkEnd w:id="39"/>
    <w:p w14:paraId="2B490795">
      <w:pPr>
        <w:rPr>
          <w:rFonts w:ascii="黑体" w:hAnsi="宋体" w:eastAsia="黑体"/>
          <w:sz w:val="24"/>
        </w:rPr>
      </w:pPr>
      <w:r>
        <w:rPr>
          <w:rFonts w:hint="eastAsia" w:ascii="黑体" w:hAnsi="宋体" w:eastAsia="黑体"/>
          <w:sz w:val="24"/>
        </w:rPr>
        <w:t>21．</w:t>
      </w:r>
      <w:bookmarkStart w:id="40" w:name="_Hlk72402325"/>
      <w:r>
        <w:rPr>
          <w:rFonts w:hint="eastAsia" w:ascii="黑体" w:hAnsi="宋体" w:eastAsia="黑体"/>
          <w:sz w:val="24"/>
        </w:rPr>
        <w:t xml:space="preserve">关于投标保证金 </w:t>
      </w:r>
    </w:p>
    <w:p w14:paraId="51FEAA8A">
      <w:pPr>
        <w:rPr>
          <w:rFonts w:ascii="宋体" w:hAnsi="宋体"/>
          <w:szCs w:val="21"/>
        </w:rPr>
      </w:pPr>
      <w:r>
        <w:rPr>
          <w:rFonts w:hint="eastAsia" w:ascii="宋体" w:hAnsi="宋体"/>
          <w:szCs w:val="21"/>
        </w:rPr>
        <w:t xml:space="preserve">    21.1 </w:t>
      </w:r>
      <w:r>
        <w:rPr>
          <w:rFonts w:hint="eastAsia"/>
        </w:rPr>
        <w:t>根据《深圳市财政局关于调整政府采购投标（响应）保证金管理政策的通知》（深财购〔2021〕51号）文的规定，本项目不收取投标保证金。</w:t>
      </w:r>
    </w:p>
    <w:p w14:paraId="61F7200B">
      <w:pPr>
        <w:rPr>
          <w:rFonts w:ascii="黑体" w:hAnsi="宋体" w:eastAsia="黑体"/>
          <w:sz w:val="24"/>
        </w:rPr>
      </w:pPr>
      <w:r>
        <w:rPr>
          <w:rFonts w:hint="eastAsia" w:ascii="黑体" w:hAnsi="宋体" w:eastAsia="黑体"/>
          <w:sz w:val="24"/>
        </w:rPr>
        <w:t>22．投标人的替代方案</w:t>
      </w:r>
    </w:p>
    <w:p w14:paraId="6E746497">
      <w:pPr>
        <w:ind w:firstLine="411" w:firstLineChars="196"/>
        <w:rPr>
          <w:rFonts w:ascii="宋体" w:hAnsi="宋体"/>
          <w:szCs w:val="21"/>
        </w:rPr>
      </w:pPr>
      <w:r>
        <w:rPr>
          <w:rFonts w:hint="eastAsia" w:ascii="宋体" w:hAnsi="宋体"/>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14:paraId="760471BC">
      <w:pPr>
        <w:ind w:firstLine="411" w:firstLineChars="196"/>
        <w:rPr>
          <w:rFonts w:ascii="宋体" w:hAnsi="宋体"/>
          <w:szCs w:val="21"/>
        </w:rPr>
      </w:pPr>
      <w:r>
        <w:rPr>
          <w:rFonts w:hint="eastAsia" w:ascii="宋体" w:hAnsi="宋体"/>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p>
    <w:bookmarkEnd w:id="40"/>
    <w:p w14:paraId="60E1C656">
      <w:pPr>
        <w:rPr>
          <w:rFonts w:ascii="黑体" w:hAnsi="宋体" w:eastAsia="黑体"/>
          <w:sz w:val="24"/>
        </w:rPr>
      </w:pPr>
      <w:r>
        <w:rPr>
          <w:rFonts w:hint="eastAsia" w:ascii="黑体" w:hAnsi="宋体" w:eastAsia="黑体"/>
          <w:sz w:val="24"/>
        </w:rPr>
        <w:t>23．</w:t>
      </w:r>
      <w:bookmarkStart w:id="41" w:name="_Hlk72402860"/>
      <w:r>
        <w:rPr>
          <w:rFonts w:ascii="黑体" w:hAnsi="宋体" w:eastAsia="黑体"/>
          <w:sz w:val="24"/>
        </w:rPr>
        <w:t>投标文件的</w:t>
      </w:r>
      <w:r>
        <w:rPr>
          <w:rFonts w:hint="eastAsia" w:ascii="黑体" w:hAnsi="宋体" w:eastAsia="黑体"/>
          <w:sz w:val="24"/>
        </w:rPr>
        <w:t>制作</w:t>
      </w:r>
      <w:r>
        <w:rPr>
          <w:rFonts w:ascii="黑体" w:hAnsi="宋体" w:eastAsia="黑体"/>
          <w:sz w:val="24"/>
        </w:rPr>
        <w:t>要求</w:t>
      </w:r>
    </w:p>
    <w:p w14:paraId="199F985D">
      <w:pPr>
        <w:ind w:firstLine="411" w:firstLineChars="196"/>
        <w:rPr>
          <w:rFonts w:ascii="宋体" w:hAnsi="宋体"/>
        </w:rPr>
      </w:pPr>
      <w:r>
        <w:rPr>
          <w:rFonts w:hint="eastAsia" w:ascii="宋体" w:hAnsi="宋体"/>
        </w:rPr>
        <w:t>23.1投标人应准备所投项目的电子投标文件一份。此电子投标文件须由投标人根据政府集中采购机构提供的后缀名为.</w:t>
      </w:r>
      <w:r>
        <w:rPr>
          <w:rFonts w:ascii="宋体" w:hAnsi="宋体"/>
        </w:rPr>
        <w:t>szczf</w:t>
      </w:r>
      <w:r>
        <w:rPr>
          <w:rFonts w:hint="eastAsia" w:ascii="宋体" w:hAnsi="宋体"/>
        </w:rPr>
        <w:t>的电子招标文件，下载并使用相应的深圳智慧采购平台投标文件制作专用软件打开招标文件（.szczf格式）【下载地址：</w:t>
      </w:r>
      <w:r>
        <w:rPr>
          <w:rFonts w:ascii="宋体" w:hAnsi="宋体"/>
        </w:rPr>
        <w:t>http://zfcg.szggzy.com:8081/cgxy/013002/list.html</w:t>
      </w:r>
      <w:r>
        <w:rPr>
          <w:rFonts w:hint="eastAsia" w:ascii="宋体" w:hAnsi="宋体"/>
        </w:rPr>
        <w:t>深圳智慧采购平台投标文件制作专用软件.zip】。</w:t>
      </w:r>
    </w:p>
    <w:p w14:paraId="0E9B6E52">
      <w:pPr>
        <w:ind w:firstLine="411" w:firstLineChars="196"/>
        <w:rPr>
          <w:rFonts w:ascii="宋体" w:hAnsi="宋体"/>
        </w:rPr>
      </w:pPr>
      <w:r>
        <w:rPr>
          <w:rFonts w:hint="eastAsia" w:ascii="宋体" w:hAnsi="宋体"/>
        </w:rPr>
        <w:t>23.2投标人在使用《投标书编制软件》编制投标书时须注意：</w:t>
      </w:r>
    </w:p>
    <w:p w14:paraId="1B6BFEED">
      <w:pPr>
        <w:ind w:firstLine="411" w:firstLineChars="196"/>
        <w:rPr>
          <w:rFonts w:ascii="宋体" w:hAnsi="宋体"/>
        </w:rPr>
      </w:pPr>
      <w:r>
        <w:rPr>
          <w:rFonts w:hint="eastAsia" w:ascii="宋体" w:hAnsi="宋体"/>
        </w:rPr>
        <w:t>23.2.1导入《投标书编制软件》的招标文件项目编号、包号应与以此制作的投标文件项目编号、包号一致。例如，不能将甲项目A包的招标书导入《投标书编制软件》，制作乙项目B包的投标书。</w:t>
      </w:r>
    </w:p>
    <w:p w14:paraId="2B540DDF">
      <w:pPr>
        <w:ind w:firstLine="411" w:firstLineChars="196"/>
        <w:rPr>
          <w:rFonts w:ascii="宋体" w:hAnsi="宋体"/>
        </w:rPr>
      </w:pPr>
      <w:r>
        <w:rPr>
          <w:rFonts w:hint="eastAsia" w:ascii="宋体" w:hAnsi="宋体"/>
        </w:rPr>
        <w:t>23.2.2不能用非本公司的电子密钥加密本公司的投标文件，或者用其它公司的登录用户上传本公司的投标文件。</w:t>
      </w:r>
    </w:p>
    <w:p w14:paraId="369DA8CE">
      <w:pPr>
        <w:ind w:firstLine="411" w:firstLineChars="196"/>
        <w:rPr>
          <w:rFonts w:ascii="宋体" w:hAnsi="宋体"/>
        </w:rPr>
      </w:pPr>
      <w:r>
        <w:rPr>
          <w:rFonts w:hint="eastAsia" w:ascii="宋体" w:hAnsi="宋体"/>
        </w:rPr>
        <w:t>23.2.3要求用《投标书编制软件》编制投标书的包，不能用其它方式编制投标书。编制投标文件时，电脑须连通互联网。</w:t>
      </w:r>
    </w:p>
    <w:p w14:paraId="555193E2">
      <w:pPr>
        <w:ind w:firstLine="411" w:firstLineChars="196"/>
        <w:rPr>
          <w:rFonts w:ascii="宋体" w:hAnsi="宋体"/>
        </w:rPr>
      </w:pPr>
      <w:r>
        <w:rPr>
          <w:rFonts w:hint="eastAsia" w:ascii="宋体" w:hAnsi="宋体"/>
        </w:rPr>
        <w:t>23.2.4投标文件不能带病毒。政府集中采购机构将用专业杀毒软件对投标文件进行病毒检测，如果这两种软件均报告发现病毒，则政府集中采购机构认为该投标文件带病毒。</w:t>
      </w:r>
    </w:p>
    <w:p w14:paraId="6E81B99C">
      <w:pPr>
        <w:ind w:firstLine="411" w:firstLineChars="196"/>
        <w:rPr>
          <w:rFonts w:ascii="宋体" w:hAnsi="宋体"/>
        </w:rPr>
      </w:pPr>
      <w:r>
        <w:rPr>
          <w:rFonts w:hint="eastAsia" w:ascii="宋体" w:hAnsi="宋体"/>
        </w:rPr>
        <w:t>23.2.5完整填写“投标关键信息”，如下图所示：</w:t>
      </w:r>
    </w:p>
    <w:p w14:paraId="17E541D4">
      <w:pPr>
        <w:ind w:firstLine="411" w:firstLineChars="196"/>
        <w:rPr>
          <w:rFonts w:ascii="宋体" w:hAnsi="宋体"/>
        </w:rPr>
      </w:pPr>
      <w:r>
        <w:rPr>
          <w:rFonts w:ascii="宋体" w:hAnsi="宋体"/>
        </w:rPr>
        <w:drawing>
          <wp:inline distT="0" distB="0" distL="0" distR="0">
            <wp:extent cx="5279390" cy="2719070"/>
            <wp:effectExtent l="0" t="0" r="16510" b="5080"/>
            <wp:docPr id="7" name="图片 9"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9" descr="图形用户界面, 应用程序&#10;&#10;描述已自动生成"/>
                    <pic:cNvPicPr>
                      <a:picLocks noChangeAspect="1" noChangeArrowheads="1"/>
                    </pic:cNvPicPr>
                  </pic:nvPicPr>
                  <pic:blipFill>
                    <a:blip r:embed="rId8"/>
                    <a:srcRect/>
                    <a:stretch>
                      <a:fillRect/>
                    </a:stretch>
                  </pic:blipFill>
                  <pic:spPr>
                    <a:xfrm>
                      <a:off x="0" y="0"/>
                      <a:ext cx="5279390" cy="2719070"/>
                    </a:xfrm>
                    <a:prstGeom prst="rect">
                      <a:avLst/>
                    </a:prstGeom>
                    <a:noFill/>
                    <a:ln w="9525">
                      <a:noFill/>
                      <a:miter lim="800000"/>
                      <a:headEnd/>
                      <a:tailEnd/>
                    </a:ln>
                  </pic:spPr>
                </pic:pic>
              </a:graphicData>
            </a:graphic>
          </wp:inline>
        </w:drawing>
      </w:r>
    </w:p>
    <w:p w14:paraId="26815AEF">
      <w:pPr>
        <w:widowControl/>
        <w:jc w:val="left"/>
        <w:rPr>
          <w:rFonts w:ascii="宋体" w:hAnsi="宋体" w:cs="宋体"/>
          <w:kern w:val="0"/>
          <w:sz w:val="24"/>
        </w:rPr>
      </w:pPr>
    </w:p>
    <w:p w14:paraId="2923F38A">
      <w:pPr>
        <w:ind w:firstLine="412" w:firstLineChars="196"/>
        <w:rPr>
          <w:rFonts w:ascii="宋体" w:hAnsi="宋体"/>
          <w:b/>
        </w:rPr>
      </w:pPr>
      <w:r>
        <w:rPr>
          <w:rFonts w:hint="eastAsia" w:ascii="宋体" w:hAnsi="宋体"/>
          <w:b/>
        </w:rPr>
        <w:t>备注：上述“开标一览表”中的“投标</w:t>
      </w:r>
      <w:r>
        <w:rPr>
          <w:rFonts w:hint="eastAsia" w:ascii="宋体" w:hAnsi="宋体"/>
          <w:b/>
          <w:lang w:val="en-US" w:eastAsia="zh-CN"/>
        </w:rPr>
        <w:t>报价</w:t>
      </w:r>
      <w:r>
        <w:rPr>
          <w:rFonts w:hint="eastAsia" w:ascii="宋体" w:hAnsi="宋体"/>
          <w:b/>
        </w:rPr>
        <w:t>”将作为价格分计算依据；其它信息仅是对投标文件相关内容的概括性表述，不作为评审依据。</w:t>
      </w:r>
    </w:p>
    <w:p w14:paraId="08719885">
      <w:pPr>
        <w:ind w:firstLine="411" w:firstLineChars="196"/>
        <w:rPr>
          <w:rFonts w:ascii="宋体" w:hAnsi="宋体"/>
        </w:rPr>
      </w:pPr>
      <w:r>
        <w:rPr>
          <w:rFonts w:hint="eastAsia" w:ascii="宋体" w:hAnsi="宋体"/>
        </w:rPr>
        <w:t>23.2.6投标人在编辑投标文件时，</w:t>
      </w:r>
      <w:r>
        <w:rPr>
          <w:rFonts w:hint="eastAsia" w:ascii="宋体" w:hAnsi="宋体"/>
          <w:b/>
        </w:rPr>
        <w:t>在投标文件目录中属于本节点内容的必须在本节点中填写，填写到其他节点或附件，</w:t>
      </w:r>
      <w:r>
        <w:rPr>
          <w:rFonts w:hint="eastAsia" w:ascii="宋体" w:hAnsi="宋体"/>
        </w:rPr>
        <w:t>一切后果由供应商自行承担。</w:t>
      </w:r>
    </w:p>
    <w:p w14:paraId="25A8B9B4">
      <w:pPr>
        <w:ind w:firstLine="411" w:firstLineChars="196"/>
        <w:rPr>
          <w:rFonts w:ascii="宋体" w:hAnsi="宋体"/>
        </w:rPr>
      </w:pPr>
      <w:r>
        <w:rPr>
          <w:rFonts w:hint="eastAsia" w:ascii="宋体" w:hAnsi="宋体"/>
        </w:rPr>
        <w:t>23.2.7投标文件编写完成后，</w:t>
      </w:r>
      <w:r>
        <w:rPr>
          <w:rFonts w:hint="eastAsia" w:ascii="宋体" w:hAnsi="宋体"/>
          <w:b/>
        </w:rPr>
        <w:t>必须用属于投标人的电子密钥</w:t>
      </w:r>
      <w:r>
        <w:rPr>
          <w:rFonts w:hint="eastAsia" w:ascii="宋体" w:hAnsi="宋体"/>
          <w:b/>
          <w:lang w:val="en-US" w:eastAsia="zh-CN"/>
        </w:rPr>
        <w:t>或电子营业执照</w:t>
      </w:r>
      <w:r>
        <w:rPr>
          <w:rFonts w:hint="eastAsia" w:ascii="宋体" w:hAnsi="宋体"/>
          <w:b/>
        </w:rPr>
        <w:t>进行加密，否则视同未盖公章，将导致投标文件无效。</w:t>
      </w:r>
    </w:p>
    <w:p w14:paraId="4F326682">
      <w:pPr>
        <w:ind w:firstLine="411" w:firstLineChars="196"/>
        <w:rPr>
          <w:rFonts w:ascii="宋体" w:hAnsi="宋体"/>
        </w:rPr>
      </w:pPr>
      <w:r>
        <w:rPr>
          <w:rFonts w:hint="eastAsia" w:ascii="宋体" w:hAnsi="宋体"/>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14:paraId="4C86E4D7">
      <w:pPr>
        <w:ind w:firstLine="411" w:firstLineChars="196"/>
        <w:rPr>
          <w:rFonts w:ascii="宋体" w:hAnsi="宋体"/>
        </w:rPr>
      </w:pPr>
      <w:r>
        <w:rPr>
          <w:rFonts w:hint="eastAsia" w:ascii="宋体" w:hAnsi="宋体"/>
        </w:rPr>
        <w:t>23.2.9如果开标时出现网络故障、技术故障，影响了政府采购活动，政府集中采购机构有权采取措施如延期、接受无法从网上上传的投标书等，以保障政府采购活动的公开、公平和公正。</w:t>
      </w:r>
    </w:p>
    <w:p w14:paraId="1C4B75D0">
      <w:pPr>
        <w:ind w:firstLine="411" w:firstLineChars="196"/>
        <w:rPr>
          <w:rFonts w:ascii="宋体" w:hAnsi="宋体"/>
        </w:rPr>
      </w:pPr>
      <w:r>
        <w:rPr>
          <w:rFonts w:hint="eastAsia" w:ascii="宋体" w:hAnsi="宋体"/>
        </w:rPr>
        <w:t>23.3电报、电话、传真形式的投标概不接受。</w:t>
      </w:r>
    </w:p>
    <w:p w14:paraId="7430EE13">
      <w:pPr>
        <w:ind w:firstLine="412" w:firstLineChars="196"/>
        <w:rPr>
          <w:rFonts w:ascii="宋体" w:hAnsi="宋体"/>
          <w:b/>
        </w:rPr>
      </w:pPr>
      <w:r>
        <w:rPr>
          <w:rFonts w:hint="eastAsia" w:ascii="宋体" w:hAnsi="宋体"/>
          <w:b/>
        </w:rPr>
        <w:t>23.4经投标人电子密钥</w:t>
      </w:r>
      <w:r>
        <w:rPr>
          <w:rFonts w:hint="eastAsia" w:ascii="宋体" w:hAnsi="宋体"/>
          <w:b/>
          <w:lang w:val="en-US" w:eastAsia="zh-CN"/>
        </w:rPr>
        <w:t>或电子营业执照</w:t>
      </w:r>
      <w:r>
        <w:rPr>
          <w:rFonts w:hint="eastAsia" w:ascii="宋体" w:hAnsi="宋体"/>
          <w:b/>
        </w:rPr>
        <w:t>加密的投标文件无须盖章或签字，</w:t>
      </w:r>
      <w:r>
        <w:rPr>
          <w:rFonts w:hint="eastAsia" w:ascii="宋体" w:hAnsi="宋体"/>
        </w:rPr>
        <w:t>专用条款另有要求的除外。</w:t>
      </w:r>
    </w:p>
    <w:p w14:paraId="3CCC3D96">
      <w:pPr>
        <w:ind w:firstLine="412" w:firstLineChars="196"/>
        <w:rPr>
          <w:rFonts w:ascii="宋体" w:hAnsi="宋体"/>
        </w:rPr>
      </w:pPr>
      <w:r>
        <w:rPr>
          <w:rFonts w:hint="eastAsia" w:ascii="宋体" w:hAnsi="宋体"/>
          <w:b/>
        </w:rPr>
        <w:t>23.5</w:t>
      </w:r>
      <w:r>
        <w:rPr>
          <w:rFonts w:hint="eastAsia" w:ascii="宋体" w:hAnsi="宋体"/>
        </w:rPr>
        <w:t xml:space="preserve"> 各类资格（资质）文件提供扫描件，专用条款另有要求的除外。</w:t>
      </w:r>
      <w:bookmarkEnd w:id="41"/>
    </w:p>
    <w:p w14:paraId="6A38DE51">
      <w:pPr>
        <w:ind w:firstLine="411" w:firstLineChars="196"/>
        <w:rPr>
          <w:rFonts w:ascii="宋体" w:hAnsi="宋体"/>
          <w:szCs w:val="21"/>
        </w:rPr>
      </w:pPr>
    </w:p>
    <w:p w14:paraId="73D910AA">
      <w:pPr>
        <w:pStyle w:val="5"/>
        <w:numPr>
          <w:ilvl w:val="0"/>
          <w:numId w:val="14"/>
        </w:numPr>
        <w:spacing w:before="120" w:beforeLines="50" w:after="120" w:afterLines="50"/>
        <w:ind w:left="562" w:hanging="562"/>
        <w:rPr>
          <w:sz w:val="28"/>
          <w:szCs w:val="28"/>
        </w:rPr>
      </w:pPr>
      <w:r>
        <w:rPr>
          <w:rFonts w:hint="eastAsia"/>
          <w:sz w:val="28"/>
          <w:szCs w:val="28"/>
        </w:rPr>
        <w:t>投标文件的递交</w:t>
      </w:r>
    </w:p>
    <w:p w14:paraId="6ECF2CFA">
      <w:pPr>
        <w:rPr>
          <w:rFonts w:ascii="黑体" w:hAnsi="宋体" w:eastAsia="黑体"/>
          <w:sz w:val="24"/>
        </w:rPr>
      </w:pPr>
      <w:bookmarkStart w:id="42" w:name="_Hlk72405459"/>
      <w:r>
        <w:rPr>
          <w:rFonts w:hint="eastAsia" w:ascii="黑体" w:hAnsi="宋体" w:eastAsia="黑体"/>
          <w:sz w:val="24"/>
        </w:rPr>
        <w:t>24．投标文件的保密</w:t>
      </w:r>
    </w:p>
    <w:p w14:paraId="7E708E77">
      <w:pPr>
        <w:ind w:firstLine="411" w:firstLineChars="196"/>
        <w:rPr>
          <w:rFonts w:ascii="宋体" w:hAnsi="宋体"/>
        </w:rPr>
      </w:pPr>
      <w:r>
        <w:rPr>
          <w:rFonts w:hint="eastAsia" w:ascii="宋体" w:hAnsi="宋体"/>
        </w:rPr>
        <w:t>24.1在投标文件制作完成后，在投标书编制软件点击【生成标书】按钮进入【填写开标一览表界面】界面，在该界面填写完开标一览表信息后点击【确定】，进入投标文件生成环节。投标文件制作软件会在投标文件生成过程中，提示用户输入密码，输入密码后对</w:t>
      </w:r>
      <w:r>
        <w:rPr>
          <w:rFonts w:hint="eastAsia" w:ascii="宋体" w:hAnsi="宋体"/>
          <w:lang w:val="en-US" w:eastAsia="zh-CN"/>
        </w:rPr>
        <w:t>投</w:t>
      </w:r>
      <w:r>
        <w:rPr>
          <w:rFonts w:hint="eastAsia" w:ascii="宋体" w:hAnsi="宋体"/>
        </w:rPr>
        <w:t>标文件自动进行加密，此加密程序确保投标文件在到达投标截止时间后才能解密查看。在加密过程中，请按照软件提示进行操作。加密界面如下图所示：</w:t>
      </w:r>
    </w:p>
    <w:p w14:paraId="49D35FC8">
      <w:pPr>
        <w:ind w:firstLine="411" w:firstLineChars="196"/>
        <w:rPr>
          <w:rFonts w:ascii="宋体" w:hAnsi="宋体"/>
        </w:rPr>
      </w:pPr>
    </w:p>
    <w:p w14:paraId="3FCC8B5F">
      <w:pPr>
        <w:ind w:firstLine="411" w:firstLineChars="196"/>
        <w:rPr>
          <w:rFonts w:ascii="宋体" w:hAnsi="宋体"/>
        </w:rPr>
      </w:pPr>
      <w:r>
        <w:rPr>
          <w:rFonts w:ascii="宋体" w:hAnsi="宋体"/>
        </w:rPr>
        <w:drawing>
          <wp:inline distT="0" distB="0" distL="0" distR="0">
            <wp:extent cx="5279390" cy="2719070"/>
            <wp:effectExtent l="0" t="0" r="16510" b="5080"/>
            <wp:docPr id="10" name="图片 7"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descr="图形用户界面, 应用程序&#10;&#10;描述已自动生成"/>
                    <pic:cNvPicPr>
                      <a:picLocks noChangeAspect="1" noChangeArrowheads="1"/>
                    </pic:cNvPicPr>
                  </pic:nvPicPr>
                  <pic:blipFill>
                    <a:blip r:embed="rId8"/>
                    <a:srcRect/>
                    <a:stretch>
                      <a:fillRect/>
                    </a:stretch>
                  </pic:blipFill>
                  <pic:spPr>
                    <a:xfrm>
                      <a:off x="0" y="0"/>
                      <a:ext cx="5279390" cy="2719070"/>
                    </a:xfrm>
                    <a:prstGeom prst="rect">
                      <a:avLst/>
                    </a:prstGeom>
                    <a:noFill/>
                    <a:ln w="9525">
                      <a:noFill/>
                      <a:miter lim="800000"/>
                      <a:headEnd/>
                      <a:tailEnd/>
                    </a:ln>
                  </pic:spPr>
                </pic:pic>
              </a:graphicData>
            </a:graphic>
          </wp:inline>
        </w:drawing>
      </w:r>
    </w:p>
    <w:p w14:paraId="3192ED5D">
      <w:pPr>
        <w:ind w:firstLine="411" w:firstLineChars="196"/>
        <w:rPr>
          <w:rFonts w:ascii="宋体" w:hAnsi="宋体"/>
        </w:rPr>
      </w:pPr>
    </w:p>
    <w:p w14:paraId="223BE785">
      <w:pPr>
        <w:ind w:firstLine="411" w:firstLineChars="196"/>
        <w:rPr>
          <w:rFonts w:ascii="宋体" w:hAnsi="宋体"/>
        </w:rPr>
      </w:pPr>
      <w:r>
        <w:rPr>
          <w:rFonts w:ascii="宋体" w:hAnsi="宋体"/>
        </w:rPr>
        <w:drawing>
          <wp:inline distT="0" distB="0" distL="0" distR="0">
            <wp:extent cx="5279390" cy="2727325"/>
            <wp:effectExtent l="0" t="0" r="16510" b="15875"/>
            <wp:docPr id="13" name="图片 8"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descr="图形用户界面&#10;&#10;描述已自动生成"/>
                    <pic:cNvPicPr>
                      <a:picLocks noChangeAspect="1" noChangeArrowheads="1"/>
                    </pic:cNvPicPr>
                  </pic:nvPicPr>
                  <pic:blipFill>
                    <a:blip r:embed="rId9"/>
                    <a:srcRect/>
                    <a:stretch>
                      <a:fillRect/>
                    </a:stretch>
                  </pic:blipFill>
                  <pic:spPr>
                    <a:xfrm>
                      <a:off x="0" y="0"/>
                      <a:ext cx="5279390" cy="2727325"/>
                    </a:xfrm>
                    <a:prstGeom prst="rect">
                      <a:avLst/>
                    </a:prstGeom>
                    <a:noFill/>
                    <a:ln w="9525">
                      <a:noFill/>
                      <a:miter lim="800000"/>
                      <a:headEnd/>
                      <a:tailEnd/>
                    </a:ln>
                  </pic:spPr>
                </pic:pic>
              </a:graphicData>
            </a:graphic>
          </wp:inline>
        </w:drawing>
      </w:r>
    </w:p>
    <w:p w14:paraId="215FFF6B">
      <w:pPr>
        <w:ind w:firstLine="411" w:firstLineChars="196"/>
        <w:rPr>
          <w:rFonts w:ascii="宋体" w:hAnsi="宋体"/>
        </w:rPr>
      </w:pPr>
    </w:p>
    <w:p w14:paraId="5CD27EF9">
      <w:pPr>
        <w:widowControl/>
        <w:jc w:val="left"/>
        <w:rPr>
          <w:sz w:val="24"/>
        </w:rPr>
      </w:pPr>
    </w:p>
    <w:p w14:paraId="39AC7A31">
      <w:pPr>
        <w:rPr>
          <w:rFonts w:ascii="宋体" w:hAnsi="宋体"/>
          <w:b/>
        </w:rPr>
      </w:pPr>
      <w:r>
        <w:rPr>
          <w:rFonts w:hint="eastAsia" w:ascii="宋体" w:hAnsi="宋体"/>
        </w:rPr>
        <w:t xml:space="preserve">   </w:t>
      </w:r>
      <w:r>
        <w:rPr>
          <w:rFonts w:hint="eastAsia" w:ascii="宋体" w:hAnsi="宋体"/>
          <w:b/>
        </w:rPr>
        <w:t xml:space="preserve"> 24.2若采购项目出现延期情况：</w:t>
      </w:r>
    </w:p>
    <w:p w14:paraId="0D3CC387">
      <w:pPr>
        <w:ind w:firstLine="420" w:firstLineChars="200"/>
        <w:rPr>
          <w:rFonts w:ascii="黑体" w:hAnsi="宋体" w:eastAsia="黑体"/>
          <w:b/>
          <w:sz w:val="24"/>
        </w:rPr>
      </w:pPr>
      <w:r>
        <w:rPr>
          <w:rFonts w:hint="eastAsia" w:ascii="宋体" w:hAnsi="宋体"/>
          <w:b/>
        </w:rPr>
        <w:t>如果供下载的招标文件（后缀名为.szczf）有更新，投标人必须重新下载招标文件、重新制作投标文件、重新加密投标文件、重新上传投标文件；如果供下载的招标文件（后缀名为.szczf）没有更新，投标人必须重新加密投标文件、重新上传投标文件（是否重新制作投标文件根据项目实际情况定）。否则，投标人自行承担投标文件无法解密导致投标无效的后果。</w:t>
      </w:r>
    </w:p>
    <w:p w14:paraId="03AB52CC">
      <w:pPr>
        <w:rPr>
          <w:rFonts w:ascii="黑体" w:hAnsi="宋体" w:eastAsia="黑体"/>
          <w:sz w:val="24"/>
        </w:rPr>
      </w:pPr>
      <w:r>
        <w:rPr>
          <w:rFonts w:hint="eastAsia" w:ascii="黑体" w:hAnsi="宋体" w:eastAsia="黑体"/>
          <w:sz w:val="24"/>
        </w:rPr>
        <w:t>25．上传投标文件及投标截止日期</w:t>
      </w:r>
    </w:p>
    <w:p w14:paraId="2FB0E4B9">
      <w:pPr>
        <w:keepNext w:val="0"/>
        <w:keepLines w:val="0"/>
        <w:pageBreakBefore w:val="0"/>
        <w:widowControl w:val="0"/>
        <w:kinsoku/>
        <w:wordWrap w:val="0"/>
        <w:overflowPunct/>
        <w:topLinePunct w:val="0"/>
        <w:autoSpaceDE/>
        <w:autoSpaceDN/>
        <w:bidi w:val="0"/>
        <w:adjustRightInd/>
        <w:snapToGrid/>
        <w:ind w:firstLine="411" w:firstLineChars="196"/>
        <w:textAlignment w:val="auto"/>
        <w:rPr>
          <w:rFonts w:ascii="宋体" w:hAnsi="宋体"/>
        </w:rPr>
      </w:pPr>
      <w:r>
        <w:rPr>
          <w:rFonts w:hint="eastAsia" w:ascii="宋体" w:hAnsi="宋体"/>
        </w:rPr>
        <w:t>25</w:t>
      </w:r>
      <w:r>
        <w:rPr>
          <w:rFonts w:ascii="宋体" w:hAnsi="宋体"/>
        </w:rPr>
        <w:t>.</w:t>
      </w:r>
      <w:r>
        <w:rPr>
          <w:rFonts w:hint="eastAsia" w:ascii="宋体" w:hAnsi="宋体"/>
        </w:rPr>
        <w:t>1实行网上投标，</w:t>
      </w:r>
      <w:r>
        <w:rPr>
          <w:rFonts w:ascii="宋体" w:hAnsi="宋体"/>
        </w:rPr>
        <w:t>投标人必须</w:t>
      </w:r>
      <w:r>
        <w:rPr>
          <w:rFonts w:hint="eastAsia" w:ascii="宋体" w:hAnsi="宋体"/>
        </w:rPr>
        <w:t>在招标</w:t>
      </w:r>
      <w:r>
        <w:rPr>
          <w:rFonts w:ascii="宋体" w:hAnsi="宋体"/>
        </w:rPr>
        <w:t>文件规定的投标截止时间前</w:t>
      </w:r>
      <w:r>
        <w:rPr>
          <w:rFonts w:hint="eastAsia" w:ascii="宋体" w:hAnsi="宋体"/>
        </w:rPr>
        <w:t>用电子密钥登录“深圳政府采购智慧平台用户网上办事子系统（http://zfcg.szggzy.com/TPBidder/memberLogin）”，用“【我的项目】→【项目流程】→【递交投标(应答)文件】”功能点上传投标文件。如上传过程中遇到问题，可拨打</w:t>
      </w:r>
      <w:r>
        <w:rPr>
          <w:rFonts w:hint="eastAsia" w:ascii="宋体" w:hAnsi="宋体"/>
          <w:lang w:val="en-US" w:eastAsia="zh-CN"/>
        </w:rPr>
        <w:t>采购公告中的技术支持电话</w:t>
      </w:r>
      <w:r>
        <w:rPr>
          <w:rFonts w:hint="eastAsia" w:ascii="宋体" w:hAnsi="宋体"/>
        </w:rPr>
        <w:t>。如多次上传均告失败，请在投标截止时间之前携带加密后的电子投标文件送达至</w:t>
      </w:r>
      <w:r>
        <w:rPr>
          <w:rFonts w:hint="eastAsia" w:ascii="宋体" w:hAnsi="宋体"/>
          <w:b/>
          <w:bCs/>
          <w:szCs w:val="21"/>
        </w:rPr>
        <w:t>深圳公共资源交易中心（深圳交易集团有限公司</w:t>
      </w:r>
      <w:r>
        <w:rPr>
          <w:rFonts w:hint="eastAsia" w:ascii="宋体" w:hAnsi="宋体"/>
          <w:b/>
          <w:bCs/>
          <w:szCs w:val="21"/>
          <w:lang w:eastAsia="zh-CN"/>
        </w:rPr>
        <w:t>光明</w:t>
      </w:r>
      <w:r>
        <w:rPr>
          <w:rFonts w:hint="eastAsia" w:ascii="宋体" w:hAnsi="宋体"/>
          <w:b/>
          <w:bCs/>
          <w:szCs w:val="21"/>
        </w:rPr>
        <w:t>分公司）</w:t>
      </w:r>
      <w:r>
        <w:rPr>
          <w:rFonts w:hint="eastAsia" w:ascii="宋体" w:hAnsi="宋体"/>
          <w:b/>
          <w:bCs/>
        </w:rPr>
        <w:t>（地址：</w:t>
      </w:r>
      <w:r>
        <w:rPr>
          <w:rFonts w:hint="eastAsia" w:ascii="宋体" w:hAnsi="宋体"/>
          <w:b/>
          <w:bCs/>
          <w:szCs w:val="21"/>
        </w:rPr>
        <w:t>深圳市光明区光明招商局科技园A3栋B单元8楼</w:t>
      </w:r>
      <w:r>
        <w:rPr>
          <w:rFonts w:hint="eastAsia" w:ascii="宋体" w:hAnsi="宋体"/>
          <w:b/>
          <w:bCs/>
        </w:rPr>
        <w:t>）</w:t>
      </w:r>
      <w:r>
        <w:rPr>
          <w:rFonts w:ascii="宋体" w:hAnsi="宋体"/>
          <w:b/>
          <w:bCs/>
        </w:rPr>
        <w:t>协助上传</w:t>
      </w:r>
      <w:r>
        <w:rPr>
          <w:rFonts w:hint="eastAsia" w:ascii="宋体" w:hAnsi="宋体"/>
          <w:b/>
          <w:bCs/>
        </w:rPr>
        <w:t>，</w:t>
      </w:r>
      <w:r>
        <w:rPr>
          <w:rFonts w:ascii="宋体" w:hAnsi="宋体"/>
          <w:b/>
          <w:bCs/>
        </w:rPr>
        <w:t>但上传过程</w:t>
      </w:r>
      <w:r>
        <w:rPr>
          <w:rFonts w:hint="eastAsia" w:ascii="宋体" w:hAnsi="宋体"/>
          <w:b/>
          <w:bCs/>
        </w:rPr>
        <w:t>中</w:t>
      </w:r>
      <w:r>
        <w:rPr>
          <w:rFonts w:ascii="宋体" w:hAnsi="宋体"/>
          <w:b/>
          <w:bCs/>
        </w:rPr>
        <w:t>投标截止时间到达仍无法上传成功的，由投标人自行负责</w:t>
      </w:r>
      <w:r>
        <w:rPr>
          <w:rFonts w:hint="eastAsia" w:ascii="宋体" w:hAnsi="宋体"/>
        </w:rPr>
        <w:t>。</w:t>
      </w:r>
    </w:p>
    <w:p w14:paraId="72113244">
      <w:pPr>
        <w:keepNext w:val="0"/>
        <w:keepLines w:val="0"/>
        <w:pageBreakBefore w:val="0"/>
        <w:widowControl w:val="0"/>
        <w:kinsoku/>
        <w:wordWrap w:val="0"/>
        <w:overflowPunct/>
        <w:topLinePunct w:val="0"/>
        <w:autoSpaceDE/>
        <w:autoSpaceDN/>
        <w:bidi w:val="0"/>
        <w:adjustRightInd/>
        <w:snapToGrid/>
        <w:ind w:firstLine="411" w:firstLineChars="196"/>
        <w:textAlignment w:val="auto"/>
        <w:rPr>
          <w:rFonts w:ascii="宋体" w:hAnsi="宋体"/>
        </w:rPr>
      </w:pPr>
      <w:r>
        <w:rPr>
          <w:rFonts w:hint="eastAsia" w:ascii="宋体" w:hAnsi="宋体"/>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14:paraId="75BE4E5F">
      <w:pPr>
        <w:keepNext w:val="0"/>
        <w:keepLines w:val="0"/>
        <w:pageBreakBefore w:val="0"/>
        <w:widowControl w:val="0"/>
        <w:kinsoku/>
        <w:wordWrap w:val="0"/>
        <w:overflowPunct/>
        <w:topLinePunct w:val="0"/>
        <w:autoSpaceDE/>
        <w:autoSpaceDN/>
        <w:bidi w:val="0"/>
        <w:adjustRightInd/>
        <w:snapToGrid/>
        <w:ind w:firstLine="411" w:firstLineChars="196"/>
        <w:textAlignment w:val="auto"/>
        <w:rPr>
          <w:rFonts w:ascii="宋体" w:hAnsi="宋体"/>
        </w:rPr>
      </w:pPr>
      <w:r>
        <w:rPr>
          <w:rFonts w:hint="eastAsia" w:ascii="宋体" w:hAnsi="宋体"/>
        </w:rPr>
        <w:t>25</w:t>
      </w:r>
      <w:r>
        <w:rPr>
          <w:rFonts w:ascii="宋体" w:hAnsi="宋体"/>
        </w:rPr>
        <w:t>.</w:t>
      </w:r>
      <w:r>
        <w:rPr>
          <w:rFonts w:hint="eastAsia" w:ascii="宋体" w:hAnsi="宋体"/>
        </w:rPr>
        <w:t>3投标截止时间以后不得上传投标文件。</w:t>
      </w:r>
    </w:p>
    <w:p w14:paraId="5CEE330A">
      <w:pPr>
        <w:ind w:firstLine="411" w:firstLineChars="196"/>
        <w:rPr>
          <w:rFonts w:ascii="宋体" w:hAnsi="宋体"/>
        </w:rPr>
      </w:pPr>
    </w:p>
    <w:bookmarkEnd w:id="42"/>
    <w:p w14:paraId="72724648">
      <w:pPr>
        <w:rPr>
          <w:rFonts w:ascii="黑体" w:hAnsi="宋体" w:eastAsia="黑体"/>
          <w:sz w:val="24"/>
        </w:rPr>
      </w:pPr>
      <w:r>
        <w:rPr>
          <w:rFonts w:hint="eastAsia" w:ascii="黑体" w:hAnsi="宋体" w:eastAsia="黑体"/>
          <w:sz w:val="24"/>
        </w:rPr>
        <w:t>26. 样品、现场演示、方案讲解</w:t>
      </w:r>
    </w:p>
    <w:p w14:paraId="72FA4F7D">
      <w:pPr>
        <w:ind w:firstLine="411" w:firstLineChars="196"/>
        <w:rPr>
          <w:rFonts w:ascii="宋体" w:hAnsi="宋体"/>
          <w:szCs w:val="21"/>
        </w:rPr>
      </w:pPr>
      <w:r>
        <w:rPr>
          <w:rFonts w:hint="eastAsia" w:ascii="宋体" w:hAnsi="宋体"/>
          <w:szCs w:val="21"/>
        </w:rPr>
        <w:t>26.1 样品、现场演示、方案讲解等事项在招标文件专用条款中进行规定。</w:t>
      </w:r>
    </w:p>
    <w:p w14:paraId="4192F7C2">
      <w:pPr>
        <w:rPr>
          <w:rFonts w:ascii="黑体" w:hAnsi="宋体" w:eastAsia="黑体"/>
          <w:sz w:val="24"/>
        </w:rPr>
      </w:pPr>
      <w:bookmarkStart w:id="43" w:name="_Hlk72428346"/>
      <w:r>
        <w:rPr>
          <w:rFonts w:ascii="黑体" w:hAnsi="宋体" w:eastAsia="黑体"/>
          <w:sz w:val="24"/>
        </w:rPr>
        <w:t>2</w:t>
      </w:r>
      <w:r>
        <w:rPr>
          <w:rFonts w:hint="eastAsia" w:ascii="黑体" w:hAnsi="宋体" w:eastAsia="黑体"/>
          <w:sz w:val="24"/>
        </w:rPr>
        <w:t>7．</w:t>
      </w:r>
      <w:r>
        <w:rPr>
          <w:rFonts w:ascii="黑体" w:hAnsi="宋体" w:eastAsia="黑体"/>
          <w:sz w:val="24"/>
        </w:rPr>
        <w:t>投标文件的修改和撤销</w:t>
      </w:r>
    </w:p>
    <w:p w14:paraId="371F7271">
      <w:pPr>
        <w:ind w:firstLine="411" w:firstLineChars="196"/>
        <w:rPr>
          <w:rFonts w:ascii="宋体" w:hAnsi="宋体"/>
        </w:rPr>
      </w:pPr>
      <w:r>
        <w:rPr>
          <w:rFonts w:ascii="宋体" w:hAnsi="宋体"/>
        </w:rPr>
        <w:t>2</w:t>
      </w:r>
      <w:r>
        <w:rPr>
          <w:rFonts w:hint="eastAsia" w:ascii="宋体" w:hAnsi="宋体"/>
        </w:rPr>
        <w:t>7</w:t>
      </w:r>
      <w:r>
        <w:rPr>
          <w:rFonts w:ascii="宋体" w:hAnsi="宋体"/>
        </w:rPr>
        <w:t>.</w:t>
      </w:r>
      <w:r>
        <w:rPr>
          <w:rFonts w:hint="eastAsia" w:ascii="宋体" w:hAnsi="宋体"/>
        </w:rPr>
        <w:t>1</w:t>
      </w:r>
      <w:r>
        <w:rPr>
          <w:rFonts w:ascii="宋体" w:hAnsi="宋体"/>
        </w:rPr>
        <w:t>投标方在提交投标文件后可对其投标文件进行修改</w:t>
      </w:r>
      <w:r>
        <w:rPr>
          <w:rFonts w:hint="eastAsia" w:ascii="宋体" w:hAnsi="宋体"/>
        </w:rPr>
        <w:t>并重新上传投标文件</w:t>
      </w:r>
      <w:r>
        <w:rPr>
          <w:rFonts w:ascii="宋体" w:hAnsi="宋体"/>
        </w:rPr>
        <w:t>或</w:t>
      </w:r>
      <w:r>
        <w:rPr>
          <w:rFonts w:hint="eastAsia" w:ascii="宋体" w:hAnsi="宋体"/>
        </w:rPr>
        <w:t>在网上进行</w:t>
      </w:r>
      <w:r>
        <w:rPr>
          <w:rFonts w:ascii="宋体" w:hAnsi="宋体"/>
        </w:rPr>
        <w:t>撤销</w:t>
      </w:r>
      <w:r>
        <w:rPr>
          <w:rFonts w:hint="eastAsia" w:ascii="宋体" w:hAnsi="宋体"/>
        </w:rPr>
        <w:t>投标的操作</w:t>
      </w:r>
      <w:r>
        <w:rPr>
          <w:rFonts w:ascii="宋体" w:hAnsi="宋体"/>
        </w:rPr>
        <w:t>。</w:t>
      </w:r>
    </w:p>
    <w:p w14:paraId="098A32B4">
      <w:pPr>
        <w:ind w:firstLine="411" w:firstLineChars="196"/>
        <w:rPr>
          <w:rFonts w:ascii="宋体" w:hAnsi="宋体"/>
        </w:rPr>
      </w:pPr>
      <w:r>
        <w:rPr>
          <w:rFonts w:ascii="宋体" w:hAnsi="宋体"/>
        </w:rPr>
        <w:t>2</w:t>
      </w:r>
      <w:r>
        <w:rPr>
          <w:rFonts w:hint="eastAsia" w:ascii="宋体" w:hAnsi="宋体"/>
        </w:rPr>
        <w:t>7</w:t>
      </w:r>
      <w:r>
        <w:rPr>
          <w:rFonts w:ascii="宋体" w:hAnsi="宋体"/>
        </w:rPr>
        <w:t>.</w:t>
      </w:r>
      <w:r>
        <w:rPr>
          <w:rFonts w:hint="eastAsia" w:ascii="宋体" w:hAnsi="宋体"/>
        </w:rPr>
        <w:t>2</w:t>
      </w:r>
      <w:r>
        <w:rPr>
          <w:rFonts w:ascii="宋体" w:hAnsi="宋体"/>
        </w:rPr>
        <w:t>投标截止时间以后不得修改投标文件。</w:t>
      </w:r>
    </w:p>
    <w:p w14:paraId="6FD9E52A">
      <w:pPr>
        <w:ind w:firstLine="411" w:firstLineChars="196"/>
        <w:rPr>
          <w:rFonts w:ascii="宋体" w:hAnsi="宋体"/>
        </w:rPr>
      </w:pPr>
      <w:r>
        <w:rPr>
          <w:rFonts w:ascii="宋体" w:hAnsi="宋体"/>
        </w:rPr>
        <w:t>2</w:t>
      </w:r>
      <w:r>
        <w:rPr>
          <w:rFonts w:hint="eastAsia" w:ascii="宋体" w:hAnsi="宋体"/>
        </w:rPr>
        <w:t>7</w:t>
      </w:r>
      <w:r>
        <w:rPr>
          <w:rFonts w:ascii="宋体" w:hAnsi="宋体"/>
        </w:rPr>
        <w:t>.</w:t>
      </w:r>
      <w:r>
        <w:rPr>
          <w:rFonts w:hint="eastAsia" w:ascii="宋体" w:hAnsi="宋体"/>
        </w:rPr>
        <w:t>3从投标截止期至投标人在投标文件中确定的投标有效期之间的这段时间内，投标人不得撤回其投标。</w:t>
      </w:r>
    </w:p>
    <w:p w14:paraId="46A69366">
      <w:pPr>
        <w:ind w:firstLine="411" w:firstLineChars="196"/>
        <w:rPr>
          <w:rFonts w:ascii="宋体" w:hAnsi="宋体"/>
          <w:szCs w:val="21"/>
        </w:rPr>
      </w:pPr>
      <w:r>
        <w:rPr>
          <w:rFonts w:hint="eastAsia" w:ascii="宋体" w:hAnsi="宋体"/>
          <w:szCs w:val="21"/>
        </w:rPr>
        <w:t>27.4政府集中采购机构不退还投标文件，专用条款另有规定的除外。</w:t>
      </w:r>
    </w:p>
    <w:bookmarkEnd w:id="43"/>
    <w:p w14:paraId="053D7A55">
      <w:pPr>
        <w:pStyle w:val="5"/>
        <w:numPr>
          <w:ilvl w:val="0"/>
          <w:numId w:val="14"/>
        </w:numPr>
        <w:spacing w:before="120" w:beforeLines="50" w:after="120" w:afterLines="50"/>
        <w:ind w:left="562" w:hanging="562"/>
        <w:rPr>
          <w:sz w:val="28"/>
          <w:szCs w:val="28"/>
        </w:rPr>
      </w:pPr>
      <w:r>
        <w:rPr>
          <w:rFonts w:hint="eastAsia"/>
          <w:sz w:val="28"/>
          <w:szCs w:val="28"/>
        </w:rPr>
        <w:t>开标</w:t>
      </w:r>
    </w:p>
    <w:p w14:paraId="2C05B429">
      <w:pPr>
        <w:rPr>
          <w:rFonts w:ascii="黑体" w:hAnsi="宋体" w:eastAsia="黑体"/>
          <w:sz w:val="24"/>
        </w:rPr>
      </w:pPr>
      <w:r>
        <w:rPr>
          <w:rFonts w:hint="eastAsia" w:ascii="黑体" w:hAnsi="宋体" w:eastAsia="黑体"/>
          <w:sz w:val="24"/>
        </w:rPr>
        <w:t>28．开标</w:t>
      </w:r>
    </w:p>
    <w:p w14:paraId="55008207">
      <w:pPr>
        <w:ind w:firstLine="315" w:firstLineChars="150"/>
        <w:rPr>
          <w:rFonts w:ascii="宋体" w:hAnsi="宋体"/>
          <w:szCs w:val="21"/>
        </w:rPr>
      </w:pPr>
      <w:r>
        <w:rPr>
          <w:rFonts w:hint="eastAsia" w:ascii="宋体" w:hAnsi="宋体"/>
          <w:szCs w:val="21"/>
        </w:rPr>
        <w:t>28.1投标人须在开标当日的开标时间至解密截止时间内进行解密，逾期未解密的作无效处理。解密方法：登录“深圳政府采购智慧平台用户网上办事子系统（http://zfcg.szggzy.com/TPBidder/memberLogin）”，使用本单位制作电子投标文件同一个电子密钥，在“【我的项目】→【项目流程】→【开标及解密】”进行在线解密、查询开标情况。</w:t>
      </w:r>
    </w:p>
    <w:p w14:paraId="4929CCE0">
      <w:pPr>
        <w:ind w:firstLine="315" w:firstLineChars="150"/>
        <w:rPr>
          <w:rFonts w:ascii="宋体" w:hAnsi="宋体"/>
          <w:szCs w:val="21"/>
        </w:rPr>
      </w:pPr>
      <w:r>
        <w:rPr>
          <w:rFonts w:hint="eastAsia" w:ascii="宋体" w:hAnsi="宋体"/>
          <w:szCs w:val="21"/>
        </w:rPr>
        <w:t>28.2 政府集中采购机构将在满足开标条件（①解密时间结束，解密后的投标供应商数量满足开标要求或②解密时间结束前所有投标供应商均完成投标文件解密）后，对投标文件进行开标，并在网上公布开标结果。</w:t>
      </w:r>
    </w:p>
    <w:p w14:paraId="10779CDF">
      <w:pPr>
        <w:ind w:firstLine="315" w:firstLineChars="150"/>
        <w:rPr>
          <w:rFonts w:ascii="宋体" w:hAnsi="宋体"/>
          <w:szCs w:val="21"/>
        </w:rPr>
      </w:pPr>
    </w:p>
    <w:p w14:paraId="1F2372EF">
      <w:pPr>
        <w:pStyle w:val="5"/>
        <w:numPr>
          <w:ilvl w:val="0"/>
          <w:numId w:val="14"/>
        </w:numPr>
        <w:spacing w:before="120" w:beforeLines="50" w:after="120" w:afterLines="50"/>
        <w:ind w:left="562" w:hanging="562"/>
        <w:rPr>
          <w:sz w:val="28"/>
          <w:szCs w:val="28"/>
        </w:rPr>
      </w:pPr>
      <w:r>
        <w:rPr>
          <w:rFonts w:hint="eastAsia"/>
          <w:sz w:val="28"/>
          <w:szCs w:val="28"/>
        </w:rPr>
        <w:t>评审要求</w:t>
      </w:r>
    </w:p>
    <w:p w14:paraId="3678D9AF">
      <w:pPr>
        <w:rPr>
          <w:rFonts w:ascii="黑体" w:hAnsi="宋体" w:eastAsia="黑体"/>
          <w:sz w:val="24"/>
        </w:rPr>
      </w:pPr>
      <w:r>
        <w:rPr>
          <w:rFonts w:hint="eastAsia" w:ascii="黑体" w:hAnsi="宋体" w:eastAsia="黑体"/>
          <w:sz w:val="24"/>
        </w:rPr>
        <w:t>29．评审委员会组成</w:t>
      </w:r>
    </w:p>
    <w:p w14:paraId="6D84E8B1">
      <w:pPr>
        <w:ind w:firstLine="411" w:firstLineChars="196"/>
        <w:rPr>
          <w:rFonts w:ascii="宋体" w:hAnsi="宋体"/>
        </w:rPr>
      </w:pPr>
      <w:r>
        <w:rPr>
          <w:rFonts w:hint="eastAsia" w:ascii="宋体" w:hAnsi="宋体"/>
        </w:rPr>
        <w:t>29.1网上开标结束后召开评审会议，</w:t>
      </w:r>
      <w:r>
        <w:rPr>
          <w:rFonts w:hint="eastAsia" w:ascii="宋体" w:hAnsi="宋体"/>
          <w:szCs w:val="21"/>
        </w:rPr>
        <w:t>评审委员会</w:t>
      </w:r>
      <w:r>
        <w:rPr>
          <w:rFonts w:hint="eastAsia" w:ascii="宋体" w:hAnsi="宋体"/>
        </w:rPr>
        <w:t>由政府集中采购机构依法组建，负责评审活动。</w:t>
      </w:r>
    </w:p>
    <w:p w14:paraId="7992C251">
      <w:pPr>
        <w:ind w:firstLine="411" w:firstLineChars="196"/>
        <w:rPr>
          <w:rFonts w:hint="eastAsia" w:ascii="宋体" w:hAnsi="宋体"/>
        </w:rPr>
      </w:pPr>
      <w:bookmarkStart w:id="44" w:name="_Hlk72436580"/>
      <w:r>
        <w:rPr>
          <w:rFonts w:hint="eastAsia" w:ascii="宋体" w:hAnsi="宋体"/>
        </w:rPr>
        <w:t>评审委员会由采购人代表和评审专家组成，成员人数应当为5人以上单数（部分条件下为7人以上单数），其中评审专家不得少于成员总数的三分之二。</w:t>
      </w:r>
      <w:bookmarkEnd w:id="44"/>
      <w:r>
        <w:rPr>
          <w:rFonts w:hint="eastAsia" w:ascii="宋体" w:hAnsi="宋体"/>
        </w:rPr>
        <w:t>评定</w:t>
      </w:r>
      <w:r>
        <w:rPr>
          <w:rFonts w:hint="eastAsia"/>
        </w:rPr>
        <w:t>分离项目</w:t>
      </w:r>
      <w:r>
        <w:t>评审专家</w:t>
      </w:r>
      <w:r>
        <w:rPr>
          <w:rFonts w:hint="eastAsia"/>
        </w:rPr>
        <w:t>均</w:t>
      </w:r>
      <w:r>
        <w:t>由</w:t>
      </w:r>
      <w:r>
        <w:rPr>
          <w:rFonts w:hint="eastAsia"/>
        </w:rPr>
        <w:t>评审专家组成。</w:t>
      </w:r>
      <w:r>
        <w:rPr>
          <w:rFonts w:hint="eastAsia" w:ascii="宋体" w:hAnsi="宋体"/>
          <w:szCs w:val="21"/>
        </w:rPr>
        <w:t>评审专家一般是</w:t>
      </w:r>
      <w:r>
        <w:rPr>
          <w:rFonts w:hint="eastAsia" w:ascii="宋体" w:hAnsi="宋体"/>
        </w:rPr>
        <w:t>从深圳市政府采购评审专家库中随机抽取。采购人代表须持本单位签发的《评审授权书》参加评审。</w:t>
      </w:r>
    </w:p>
    <w:p w14:paraId="4AD59CAA">
      <w:pPr>
        <w:ind w:firstLine="411" w:firstLineChars="196"/>
        <w:rPr>
          <w:rFonts w:ascii="宋体" w:hAnsi="宋体"/>
        </w:rPr>
      </w:pPr>
      <w:r>
        <w:rPr>
          <w:rFonts w:hint="eastAsia" w:ascii="宋体" w:hAnsi="宋体"/>
        </w:rPr>
        <w:t>29.2评审定标应当遵循公平、公正、科学、择优的原则。</w:t>
      </w:r>
    </w:p>
    <w:p w14:paraId="310908A2">
      <w:pPr>
        <w:ind w:firstLine="411" w:firstLineChars="196"/>
        <w:rPr>
          <w:rFonts w:ascii="宋体" w:hAnsi="宋体"/>
        </w:rPr>
      </w:pPr>
      <w:r>
        <w:rPr>
          <w:rFonts w:hint="eastAsia" w:ascii="宋体" w:hAnsi="宋体"/>
        </w:rPr>
        <w:t>29.3评审活动依法进行，任何单位和个人不得非法干预评标过程和结果。</w:t>
      </w:r>
    </w:p>
    <w:p w14:paraId="311CE644">
      <w:pPr>
        <w:ind w:firstLine="411" w:firstLineChars="196"/>
        <w:rPr>
          <w:rFonts w:ascii="宋体" w:hAnsi="宋体"/>
        </w:rPr>
      </w:pPr>
      <w:r>
        <w:rPr>
          <w:rFonts w:hint="eastAsia" w:ascii="宋体" w:hAnsi="宋体"/>
        </w:rPr>
        <w:t>29.4评审过程中不允许违背评标程序或采用招标文件未载明的评标方法或评标因素进行评标。</w:t>
      </w:r>
    </w:p>
    <w:p w14:paraId="5C4216C6">
      <w:pPr>
        <w:ind w:firstLine="411" w:firstLineChars="196"/>
        <w:rPr>
          <w:rFonts w:ascii="宋体" w:hAnsi="宋体"/>
          <w:bCs/>
        </w:rPr>
      </w:pPr>
      <w:r>
        <w:rPr>
          <w:rFonts w:hint="eastAsia" w:ascii="宋体" w:hAnsi="宋体"/>
          <w:bCs/>
        </w:rPr>
        <w:t>29.5 开标后，直到签订合同为止，凡属于对投标文件的审查、澄清、评价和比较的有关资料以及中标候选人的推荐情况、与评审有关的其他任何情况均严格保密（</w:t>
      </w:r>
      <w:r>
        <w:rPr>
          <w:rFonts w:hint="eastAsia"/>
        </w:rPr>
        <w:t>信息公开的内容除外</w:t>
      </w:r>
      <w:r>
        <w:rPr>
          <w:rFonts w:hint="eastAsia" w:ascii="宋体" w:hAnsi="宋体"/>
          <w:bCs/>
        </w:rPr>
        <w:t>）。</w:t>
      </w:r>
    </w:p>
    <w:p w14:paraId="629E7F34">
      <w:pPr>
        <w:rPr>
          <w:rFonts w:ascii="黑体" w:hAnsi="宋体" w:eastAsia="黑体"/>
          <w:sz w:val="24"/>
        </w:rPr>
      </w:pPr>
      <w:r>
        <w:rPr>
          <w:rFonts w:hint="eastAsia" w:ascii="黑体" w:hAnsi="宋体" w:eastAsia="黑体"/>
          <w:sz w:val="24"/>
        </w:rPr>
        <w:t>30．向评审委员会提供的资料</w:t>
      </w:r>
    </w:p>
    <w:p w14:paraId="33B298AE">
      <w:pPr>
        <w:ind w:firstLine="411" w:firstLineChars="196"/>
        <w:rPr>
          <w:rFonts w:ascii="宋体" w:hAnsi="宋体"/>
        </w:rPr>
      </w:pPr>
      <w:r>
        <w:rPr>
          <w:rFonts w:hint="eastAsia" w:ascii="宋体" w:hAnsi="宋体"/>
        </w:rPr>
        <w:t>30.1公开发布的招标文件，包括图纸、服务清单、答疑文件等；</w:t>
      </w:r>
    </w:p>
    <w:p w14:paraId="005BB881">
      <w:pPr>
        <w:ind w:firstLine="411" w:firstLineChars="196"/>
        <w:rPr>
          <w:rFonts w:ascii="宋体" w:hAnsi="宋体"/>
        </w:rPr>
      </w:pPr>
      <w:r>
        <w:rPr>
          <w:rFonts w:hint="eastAsia" w:ascii="宋体" w:hAnsi="宋体"/>
        </w:rPr>
        <w:t>30.2其他评标必须的资料。</w:t>
      </w:r>
    </w:p>
    <w:p w14:paraId="767BE0A5">
      <w:pPr>
        <w:ind w:firstLine="411" w:firstLineChars="196"/>
        <w:rPr>
          <w:rFonts w:ascii="宋体" w:hAnsi="宋体"/>
        </w:rPr>
      </w:pPr>
      <w:r>
        <w:rPr>
          <w:rFonts w:hint="eastAsia" w:ascii="宋体" w:hAnsi="宋体"/>
        </w:rPr>
        <w:t>30.3</w:t>
      </w:r>
      <w:r>
        <w:rPr>
          <w:rFonts w:hint="eastAsia" w:ascii="宋体" w:hAnsi="宋体"/>
          <w:szCs w:val="21"/>
        </w:rPr>
        <w:t>评审委员会</w:t>
      </w:r>
      <w:r>
        <w:rPr>
          <w:rFonts w:hint="eastAsia" w:ascii="宋体" w:hAnsi="宋体"/>
        </w:rPr>
        <w:t>应当认真研究招标文件，至少应了解熟悉以下内容：</w:t>
      </w:r>
    </w:p>
    <w:p w14:paraId="04D5240B">
      <w:pPr>
        <w:ind w:firstLine="411" w:firstLineChars="196"/>
        <w:rPr>
          <w:rFonts w:ascii="宋体" w:hAnsi="宋体"/>
        </w:rPr>
      </w:pPr>
      <w:r>
        <w:rPr>
          <w:rFonts w:hint="eastAsia" w:ascii="宋体" w:hAnsi="宋体"/>
        </w:rPr>
        <w:t>（1）招标的目的；</w:t>
      </w:r>
    </w:p>
    <w:p w14:paraId="6147E4C7">
      <w:pPr>
        <w:ind w:firstLine="411" w:firstLineChars="196"/>
        <w:rPr>
          <w:rFonts w:ascii="宋体" w:hAnsi="宋体"/>
        </w:rPr>
      </w:pPr>
      <w:r>
        <w:rPr>
          <w:rFonts w:hint="eastAsia" w:ascii="宋体" w:hAnsi="宋体"/>
        </w:rPr>
        <w:t>（2）招标项目需求的范围和性质；</w:t>
      </w:r>
    </w:p>
    <w:p w14:paraId="4D1A43D4">
      <w:pPr>
        <w:ind w:firstLine="411" w:firstLineChars="196"/>
        <w:rPr>
          <w:rFonts w:ascii="宋体" w:hAnsi="宋体"/>
        </w:rPr>
      </w:pPr>
      <w:r>
        <w:rPr>
          <w:rFonts w:hint="eastAsia" w:ascii="宋体" w:hAnsi="宋体"/>
        </w:rPr>
        <w:t>（3）招标文件规定的投标人的资格、财政预算限额、商务条款；</w:t>
      </w:r>
    </w:p>
    <w:p w14:paraId="5AC19579">
      <w:pPr>
        <w:ind w:firstLine="411" w:firstLineChars="196"/>
        <w:rPr>
          <w:rFonts w:ascii="宋体" w:hAnsi="宋体"/>
        </w:rPr>
      </w:pPr>
      <w:r>
        <w:rPr>
          <w:rFonts w:hint="eastAsia" w:ascii="宋体" w:hAnsi="宋体"/>
        </w:rPr>
        <w:t>（4）招标文件规定的评标程序、评标方法和评标因素；</w:t>
      </w:r>
    </w:p>
    <w:p w14:paraId="73BAB681">
      <w:pPr>
        <w:ind w:firstLine="411" w:firstLineChars="196"/>
        <w:rPr>
          <w:rFonts w:ascii="宋体" w:hAnsi="宋体"/>
        </w:rPr>
      </w:pPr>
      <w:r>
        <w:rPr>
          <w:rFonts w:hint="eastAsia" w:ascii="宋体" w:hAnsi="宋体"/>
        </w:rPr>
        <w:t>（5）招标文件所列示的资格性审查表及符合性审查表。</w:t>
      </w:r>
    </w:p>
    <w:p w14:paraId="09A9FFE2">
      <w:pPr>
        <w:rPr>
          <w:rFonts w:ascii="黑体" w:hAnsi="宋体" w:eastAsia="黑体"/>
          <w:sz w:val="24"/>
        </w:rPr>
      </w:pPr>
      <w:r>
        <w:rPr>
          <w:rFonts w:hint="eastAsia" w:ascii="黑体" w:hAnsi="宋体" w:eastAsia="黑体"/>
          <w:sz w:val="24"/>
        </w:rPr>
        <w:t>31．独立评审</w:t>
      </w:r>
    </w:p>
    <w:p w14:paraId="2AD64BE6">
      <w:pPr>
        <w:ind w:firstLine="411" w:firstLineChars="196"/>
        <w:rPr>
          <w:rFonts w:ascii="宋体" w:hAnsi="宋体"/>
          <w:bCs/>
        </w:rPr>
      </w:pPr>
      <w:r>
        <w:rPr>
          <w:rFonts w:hint="eastAsia" w:ascii="宋体" w:hAnsi="宋体"/>
          <w:bCs/>
        </w:rPr>
        <w:t>3</w:t>
      </w:r>
      <w:r>
        <w:rPr>
          <w:rFonts w:ascii="宋体" w:hAnsi="宋体"/>
          <w:bCs/>
        </w:rPr>
        <w:t>1</w:t>
      </w:r>
      <w:r>
        <w:rPr>
          <w:rFonts w:hint="eastAsia" w:ascii="宋体" w:hAnsi="宋体"/>
          <w:bCs/>
        </w:rPr>
        <w:t>.1</w:t>
      </w:r>
      <w:r>
        <w:rPr>
          <w:rFonts w:hint="eastAsia" w:ascii="宋体" w:hAnsi="宋体"/>
          <w:szCs w:val="21"/>
        </w:rPr>
        <w:t>评审委员会</w:t>
      </w:r>
      <w:r>
        <w:rPr>
          <w:rFonts w:hint="eastAsia" w:ascii="宋体" w:hAnsi="宋体"/>
          <w:bCs/>
        </w:rPr>
        <w:t>成员的评标活动应当独立进行，并应遵循投标文件初审、澄清有关问题、比较与评价、确定中标供应商、编写评审报告的工作程序。</w:t>
      </w:r>
    </w:p>
    <w:p w14:paraId="35387710">
      <w:pPr>
        <w:ind w:firstLine="411" w:firstLineChars="196"/>
        <w:rPr>
          <w:rFonts w:ascii="宋体" w:hAnsi="宋体"/>
          <w:bCs/>
          <w:szCs w:val="21"/>
        </w:rPr>
      </w:pPr>
    </w:p>
    <w:p w14:paraId="0BB1ECDA">
      <w:pPr>
        <w:pStyle w:val="5"/>
        <w:numPr>
          <w:ilvl w:val="0"/>
          <w:numId w:val="14"/>
        </w:numPr>
        <w:spacing w:before="120" w:beforeLines="50" w:after="120" w:afterLines="50"/>
        <w:ind w:left="562" w:hanging="562"/>
        <w:rPr>
          <w:sz w:val="28"/>
          <w:szCs w:val="28"/>
        </w:rPr>
      </w:pPr>
      <w:r>
        <w:rPr>
          <w:rFonts w:hint="eastAsia"/>
          <w:sz w:val="28"/>
          <w:szCs w:val="28"/>
        </w:rPr>
        <w:t>评审程序及评审方法</w:t>
      </w:r>
    </w:p>
    <w:p w14:paraId="5F91A68D">
      <w:pPr>
        <w:rPr>
          <w:rFonts w:ascii="黑体" w:hAnsi="宋体" w:eastAsia="黑体"/>
          <w:sz w:val="24"/>
        </w:rPr>
      </w:pPr>
      <w:r>
        <w:rPr>
          <w:rFonts w:hint="eastAsia" w:ascii="黑体" w:hAnsi="宋体" w:eastAsia="黑体"/>
          <w:sz w:val="24"/>
        </w:rPr>
        <w:t>32．投标文件初审</w:t>
      </w:r>
    </w:p>
    <w:p w14:paraId="4BF58601">
      <w:pPr>
        <w:ind w:firstLine="411" w:firstLineChars="196"/>
        <w:rPr>
          <w:rFonts w:ascii="宋体" w:hAnsi="宋体"/>
        </w:rPr>
      </w:pPr>
      <w:r>
        <w:rPr>
          <w:rFonts w:hint="eastAsia" w:ascii="宋体" w:hAnsi="宋体"/>
        </w:rPr>
        <w:t>32.1投标文件初审包括资格性审查和符合性审查。</w:t>
      </w:r>
    </w:p>
    <w:p w14:paraId="476308C2">
      <w:pPr>
        <w:ind w:firstLine="411" w:firstLineChars="196"/>
        <w:rPr>
          <w:rFonts w:ascii="宋体" w:hAnsi="宋体"/>
        </w:rPr>
      </w:pPr>
      <w:r>
        <w:rPr>
          <w:rFonts w:hint="eastAsia" w:ascii="宋体" w:hAnsi="宋体"/>
        </w:rPr>
        <w:t>资格性审查：依据法律法规和招标文件的规定，对投标文件中的资格证明等进行审查，以确定投标供应商是否具备投标资格。</w:t>
      </w:r>
    </w:p>
    <w:p w14:paraId="3BC50012">
      <w:pPr>
        <w:ind w:firstLine="411" w:firstLineChars="196"/>
        <w:rPr>
          <w:rFonts w:ascii="宋体" w:hAnsi="宋体"/>
        </w:rPr>
      </w:pPr>
      <w:r>
        <w:rPr>
          <w:rFonts w:hint="eastAsia" w:ascii="宋体" w:hAnsi="宋体"/>
        </w:rPr>
        <w:t>符合性审查：依据招标文件的规定，对投标文件的有效性、完整性和对招标文件的响应程度进行审查，以确定是否满足符合性审查的要求。</w:t>
      </w:r>
    </w:p>
    <w:p w14:paraId="715105EE">
      <w:pPr>
        <w:ind w:firstLine="411" w:firstLineChars="196"/>
        <w:rPr>
          <w:rFonts w:ascii="宋体" w:hAnsi="宋体"/>
        </w:rPr>
      </w:pPr>
      <w:r>
        <w:rPr>
          <w:rFonts w:hint="eastAsia" w:ascii="宋体" w:hAnsi="宋体"/>
        </w:rPr>
        <w:t>32.2 投标文件初审内容请详见《资格性审查表》和《符合性审查表》部分。投标人若有一条审查不通过则按投标无效处理。</w:t>
      </w:r>
    </w:p>
    <w:p w14:paraId="257CDABE">
      <w:pPr>
        <w:ind w:firstLine="411" w:firstLineChars="196"/>
        <w:rPr>
          <w:rFonts w:ascii="宋体" w:hAnsi="宋体"/>
          <w:bCs/>
        </w:rPr>
      </w:pPr>
      <w:r>
        <w:rPr>
          <w:rFonts w:hint="eastAsia" w:ascii="宋体" w:hAnsi="宋体"/>
          <w:bCs/>
        </w:rPr>
        <w:t>32.3 投标文件初审中关于供应商家数的计算:</w:t>
      </w:r>
    </w:p>
    <w:p w14:paraId="645996AB">
      <w:pPr>
        <w:ind w:firstLine="411" w:firstLineChars="196"/>
        <w:rPr>
          <w:rFonts w:ascii="宋体" w:hAnsi="宋体"/>
          <w:bCs/>
        </w:rPr>
      </w:pPr>
      <w:r>
        <w:rPr>
          <w:rFonts w:hint="eastAsia" w:ascii="宋体" w:hAnsi="宋体"/>
          <w:bCs/>
        </w:rPr>
        <w:t>32.3.1采用最低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14:paraId="45515D69">
      <w:pPr>
        <w:ind w:firstLine="411" w:firstLineChars="196"/>
        <w:rPr>
          <w:rFonts w:ascii="宋体" w:hAnsi="宋体"/>
          <w:bCs/>
        </w:rPr>
      </w:pPr>
      <w:r>
        <w:rPr>
          <w:rFonts w:hint="eastAsia" w:ascii="宋体" w:hAnsi="宋体"/>
          <w:bCs/>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hint="eastAsia" w:ascii="宋体" w:hAnsi="宋体"/>
          <w:bCs/>
          <w:szCs w:val="21"/>
        </w:rPr>
        <w:t>评审委员会</w:t>
      </w:r>
      <w:r>
        <w:rPr>
          <w:rFonts w:hint="eastAsia" w:ascii="宋体" w:hAnsi="宋体"/>
          <w:bCs/>
        </w:rPr>
        <w:t>按照招标文件规定的方式确定一个投标人获得中标人推荐资格，招标文件未规定的采取随机抽取方式确定，其他同品牌投标人不作为中标候选人。</w:t>
      </w:r>
    </w:p>
    <w:p w14:paraId="6F37B76C">
      <w:pPr>
        <w:ind w:firstLine="411" w:firstLineChars="196"/>
        <w:rPr>
          <w:rFonts w:ascii="宋体" w:hAnsi="宋体"/>
          <w:bCs/>
        </w:rPr>
      </w:pPr>
      <w:r>
        <w:rPr>
          <w:rFonts w:hint="eastAsia" w:ascii="宋体" w:hAnsi="宋体"/>
          <w:bCs/>
        </w:rPr>
        <w:t>32.3.3非单一产品采购项目，采购人应当根据采购项目技术构成、产品价格比重等合理确定核心产品，并在招标文件中载明。多家投标人提供的核心产品品牌相同的，按前两款规定处理。</w:t>
      </w:r>
    </w:p>
    <w:p w14:paraId="49F34AE0">
      <w:pPr>
        <w:ind w:firstLine="411" w:firstLineChars="196"/>
        <w:rPr>
          <w:rFonts w:ascii="宋体" w:hAnsi="宋体"/>
        </w:rPr>
      </w:pPr>
      <w:r>
        <w:rPr>
          <w:rFonts w:hint="eastAsia" w:ascii="宋体" w:hAnsi="宋体"/>
        </w:rPr>
        <w:t>32.4投标人投标文件作无效处理的情形，具体包括但不限于以下：</w:t>
      </w:r>
    </w:p>
    <w:p w14:paraId="59DD2F32">
      <w:pPr>
        <w:ind w:firstLine="411" w:firstLineChars="196"/>
      </w:pPr>
      <w:r>
        <w:rPr>
          <w:rFonts w:hint="eastAsia" w:ascii="宋体" w:hAnsi="宋体"/>
        </w:rPr>
        <w:t>32.4.1</w:t>
      </w:r>
      <w:r>
        <w:rPr>
          <w:rFonts w:hint="eastAsia"/>
        </w:rPr>
        <w:t>不同投标人的投标文件由同一单位或者同一个人编制，或者由同一个人分阶段参与编制；</w:t>
      </w:r>
    </w:p>
    <w:p w14:paraId="6FFA8A01">
      <w:pPr>
        <w:ind w:firstLine="411" w:firstLineChars="196"/>
      </w:pPr>
      <w:r>
        <w:rPr>
          <w:rFonts w:ascii="宋体" w:hAnsi="宋体"/>
        </w:rPr>
        <w:t>32.4.</w:t>
      </w:r>
      <w:r>
        <w:rPr>
          <w:rFonts w:hint="eastAsia" w:ascii="宋体" w:hAnsi="宋体"/>
        </w:rPr>
        <w:t>2</w:t>
      </w:r>
      <w:r>
        <w:rPr>
          <w:rFonts w:hint="eastAsia"/>
        </w:rPr>
        <w:t>不同投标人委托同一单位或者个人办理投标事宜；</w:t>
      </w:r>
    </w:p>
    <w:p w14:paraId="08F71C53">
      <w:pPr>
        <w:ind w:firstLine="411" w:firstLineChars="196"/>
        <w:rPr>
          <w:rFonts w:ascii="宋体" w:hAnsi="宋体"/>
        </w:rPr>
      </w:pPr>
      <w:r>
        <w:rPr>
          <w:rFonts w:hint="eastAsia" w:ascii="宋体" w:hAnsi="宋体"/>
        </w:rPr>
        <w:t>32.4.3不同投标人的投标文件载明的项目管理成员或者联系人员为同一人；</w:t>
      </w:r>
    </w:p>
    <w:p w14:paraId="2ADBCE41">
      <w:pPr>
        <w:ind w:firstLine="411" w:firstLineChars="196"/>
        <w:rPr>
          <w:rFonts w:ascii="宋体" w:hAnsi="宋体"/>
        </w:rPr>
      </w:pPr>
      <w:r>
        <w:rPr>
          <w:rFonts w:hint="eastAsia" w:ascii="宋体" w:hAnsi="宋体"/>
        </w:rPr>
        <w:t>32.4.4不同投标人的投标文件异常一致或者投标报价呈规律性差异；</w:t>
      </w:r>
    </w:p>
    <w:p w14:paraId="2A3AE8D3">
      <w:pPr>
        <w:ind w:firstLine="411" w:firstLineChars="196"/>
        <w:rPr>
          <w:rFonts w:ascii="宋体" w:hAnsi="宋体"/>
        </w:rPr>
      </w:pPr>
      <w:r>
        <w:rPr>
          <w:rFonts w:hint="eastAsia" w:ascii="宋体" w:hAnsi="宋体"/>
        </w:rPr>
        <w:t>32.4.5</w:t>
      </w:r>
      <w:r>
        <w:rPr>
          <w:rFonts w:ascii="宋体" w:hAnsi="宋体"/>
        </w:rPr>
        <w:t>不同投标供应商的投标文件或部分投标文件相互混装</w:t>
      </w:r>
      <w:r>
        <w:rPr>
          <w:rFonts w:hint="eastAsia" w:ascii="宋体" w:hAnsi="宋体"/>
        </w:rPr>
        <w:t>；</w:t>
      </w:r>
    </w:p>
    <w:p w14:paraId="5E329683">
      <w:pPr>
        <w:ind w:firstLine="411" w:firstLineChars="196"/>
        <w:rPr>
          <w:rFonts w:ascii="宋体" w:hAnsi="宋体"/>
        </w:rPr>
      </w:pPr>
      <w:r>
        <w:rPr>
          <w:rFonts w:hint="eastAsia" w:ascii="宋体" w:hAnsi="宋体"/>
        </w:rPr>
        <w:t>32.4.6投标供应商之间相互约定给予未中标的供应商利益补偿；</w:t>
      </w:r>
    </w:p>
    <w:p w14:paraId="1981F276">
      <w:pPr>
        <w:ind w:firstLine="411" w:firstLineChars="196"/>
        <w:rPr>
          <w:rFonts w:ascii="宋体" w:hAnsi="宋体"/>
        </w:rPr>
      </w:pPr>
      <w:r>
        <w:rPr>
          <w:rFonts w:hint="eastAsia" w:ascii="宋体" w:hAnsi="宋体"/>
        </w:rPr>
        <w:t>32.4.7不同投标供应商的法定代表人、主要经营负责人、项目投标授权代表人、项目负责人、主要技术人员为同一人、属同一单位或者同一单位缴纳社会保险；</w:t>
      </w:r>
    </w:p>
    <w:p w14:paraId="03A8E649">
      <w:pPr>
        <w:ind w:firstLine="411" w:firstLineChars="196"/>
        <w:rPr>
          <w:rFonts w:ascii="宋体" w:hAnsi="宋体"/>
        </w:rPr>
      </w:pPr>
      <w:r>
        <w:rPr>
          <w:rFonts w:hint="eastAsia" w:ascii="宋体" w:hAnsi="宋体"/>
        </w:rPr>
        <w:t>32.4.8不同投标供应商的投标文件内容存在非正常一致；</w:t>
      </w:r>
    </w:p>
    <w:p w14:paraId="08B8E44C">
      <w:pPr>
        <w:ind w:firstLine="411" w:firstLineChars="196"/>
        <w:rPr>
          <w:rFonts w:ascii="宋体" w:hAnsi="宋体"/>
        </w:rPr>
      </w:pPr>
      <w:r>
        <w:rPr>
          <w:rFonts w:hint="eastAsia" w:ascii="宋体" w:hAnsi="宋体"/>
        </w:rPr>
        <w:t>32.4.9在同一单位工作人员为两家以上（含两家）供应商进行同一项投标活动；</w:t>
      </w:r>
    </w:p>
    <w:p w14:paraId="082010EA">
      <w:pPr>
        <w:ind w:firstLine="411" w:firstLineChars="196"/>
        <w:rPr>
          <w:rFonts w:ascii="宋体" w:hAnsi="宋体"/>
        </w:rPr>
      </w:pPr>
      <w:r>
        <w:rPr>
          <w:rFonts w:hint="eastAsia" w:ascii="宋体" w:hAnsi="宋体"/>
        </w:rPr>
        <w:t>32.4.10主管部门依照法律、法规认定的其他情形。</w:t>
      </w:r>
    </w:p>
    <w:p w14:paraId="7580E882">
      <w:pPr>
        <w:ind w:firstLine="411" w:firstLineChars="196"/>
        <w:rPr>
          <w:rFonts w:ascii="宋体" w:hAnsi="宋体"/>
        </w:rPr>
      </w:pPr>
      <w:r>
        <w:rPr>
          <w:rFonts w:hint="eastAsia" w:ascii="宋体" w:hAnsi="宋体"/>
        </w:rPr>
        <w:t>32.5对不属于《资格性审查表》和《符合性审查表》所列的其他情形，除专用条款另有规定和32.4条款所列情形外，不得作为投标无效的理由。</w:t>
      </w:r>
    </w:p>
    <w:p w14:paraId="78191018">
      <w:pPr>
        <w:rPr>
          <w:rFonts w:ascii="黑体" w:hAnsi="宋体" w:eastAsia="黑体"/>
          <w:sz w:val="24"/>
        </w:rPr>
      </w:pPr>
      <w:r>
        <w:rPr>
          <w:rFonts w:hint="eastAsia" w:ascii="黑体" w:hAnsi="宋体" w:eastAsia="黑体"/>
          <w:sz w:val="24"/>
        </w:rPr>
        <w:t>33．澄清有关问题</w:t>
      </w:r>
    </w:p>
    <w:p w14:paraId="327AF2BD">
      <w:pPr>
        <w:ind w:firstLine="411" w:firstLineChars="196"/>
        <w:rPr>
          <w:rFonts w:ascii="宋体" w:hAnsi="宋体"/>
        </w:rPr>
      </w:pPr>
      <w:bookmarkStart w:id="45" w:name="_Hlk71407321"/>
      <w:r>
        <w:rPr>
          <w:rFonts w:hint="eastAsia" w:ascii="宋体" w:hAnsi="宋体"/>
        </w:rPr>
        <w:t>3</w:t>
      </w:r>
      <w:r>
        <w:rPr>
          <w:rFonts w:ascii="宋体" w:hAnsi="宋体"/>
        </w:rPr>
        <w:t>3.1</w:t>
      </w:r>
      <w:r>
        <w:rPr>
          <w:rFonts w:hint="eastAsia" w:ascii="宋体" w:hAnsi="宋体"/>
        </w:rPr>
        <w:t>对招标文件中描述有歧义或前后不一致的地方（不含</w:t>
      </w:r>
      <w:r>
        <w:rPr>
          <w:szCs w:val="21"/>
        </w:rPr>
        <w:t>招标文件存在歧义、重大缺陷导致评</w:t>
      </w:r>
      <w:r>
        <w:rPr>
          <w:rFonts w:hint="eastAsia"/>
          <w:szCs w:val="21"/>
        </w:rPr>
        <w:t>审</w:t>
      </w:r>
      <w:r>
        <w:rPr>
          <w:szCs w:val="21"/>
        </w:rPr>
        <w:t>工作无法进行</w:t>
      </w:r>
      <w:r>
        <w:rPr>
          <w:rFonts w:hint="eastAsia"/>
          <w:szCs w:val="21"/>
        </w:rPr>
        <w:t>的情况）</w:t>
      </w:r>
      <w:r>
        <w:rPr>
          <w:rFonts w:hint="eastAsia" w:ascii="宋体" w:hAnsi="宋体"/>
        </w:rPr>
        <w:t>，评审委员会有权进行评判，但对同一条款的评判应适用于每个投标人。</w:t>
      </w:r>
      <w:bookmarkEnd w:id="45"/>
    </w:p>
    <w:p w14:paraId="01C80D39">
      <w:pPr>
        <w:ind w:firstLine="411" w:firstLineChars="196"/>
        <w:rPr>
          <w:rFonts w:ascii="宋体" w:hAnsi="宋体"/>
        </w:rPr>
      </w:pPr>
      <w:r>
        <w:rPr>
          <w:rFonts w:hint="eastAsia" w:ascii="宋体" w:hAnsi="宋体"/>
        </w:rPr>
        <w:t>3</w:t>
      </w:r>
      <w:r>
        <w:rPr>
          <w:rFonts w:ascii="宋体" w:hAnsi="宋体"/>
        </w:rPr>
        <w:t>3.2</w:t>
      </w:r>
      <w:r>
        <w:rPr>
          <w:szCs w:val="21"/>
        </w:rPr>
        <w:t>评</w:t>
      </w:r>
      <w:r>
        <w:rPr>
          <w:rFonts w:hint="eastAsia"/>
          <w:szCs w:val="21"/>
        </w:rPr>
        <w:t>审</w:t>
      </w:r>
      <w:r>
        <w:rPr>
          <w:szCs w:val="21"/>
        </w:rPr>
        <w:t>委员会发现招标文件存在歧义、重大缺陷导致评</w:t>
      </w:r>
      <w:r>
        <w:rPr>
          <w:rFonts w:hint="eastAsia"/>
          <w:szCs w:val="21"/>
        </w:rPr>
        <w:t>审</w:t>
      </w:r>
      <w:r>
        <w:rPr>
          <w:szCs w:val="21"/>
        </w:rPr>
        <w:t>工作无法进行，或者招标文件内容违反国家有关强制性规定的，应当停止评</w:t>
      </w:r>
      <w:r>
        <w:rPr>
          <w:rFonts w:hint="eastAsia"/>
          <w:szCs w:val="21"/>
        </w:rPr>
        <w:t>审</w:t>
      </w:r>
      <w:r>
        <w:rPr>
          <w:szCs w:val="21"/>
        </w:rPr>
        <w:t>工作，与</w:t>
      </w:r>
      <w:r>
        <w:rPr>
          <w:rFonts w:hint="eastAsia"/>
          <w:szCs w:val="21"/>
        </w:rPr>
        <w:t>政府集中采购机构</w:t>
      </w:r>
      <w:r>
        <w:rPr>
          <w:szCs w:val="21"/>
        </w:rPr>
        <w:t>沟通并作书面记录。</w:t>
      </w:r>
      <w:r>
        <w:rPr>
          <w:rFonts w:hint="eastAsia"/>
          <w:szCs w:val="21"/>
        </w:rPr>
        <w:t>经</w:t>
      </w:r>
      <w:r>
        <w:rPr>
          <w:szCs w:val="21"/>
        </w:rPr>
        <w:t>确认后，</w:t>
      </w:r>
      <w:r>
        <w:rPr>
          <w:rFonts w:hint="eastAsia"/>
          <w:szCs w:val="21"/>
        </w:rPr>
        <w:t>项目</w:t>
      </w:r>
      <w:r>
        <w:rPr>
          <w:szCs w:val="21"/>
        </w:rPr>
        <w:t>应当修改招标文件，重新组织采购活动。</w:t>
      </w:r>
    </w:p>
    <w:p w14:paraId="189E3DC7">
      <w:pPr>
        <w:ind w:firstLine="411" w:firstLineChars="196"/>
        <w:rPr>
          <w:rFonts w:ascii="宋体" w:hAnsi="宋体"/>
        </w:rPr>
      </w:pPr>
      <w:r>
        <w:rPr>
          <w:rFonts w:ascii="宋体" w:hAnsi="宋体"/>
        </w:rPr>
        <w:t>33.3</w:t>
      </w:r>
      <w:r>
        <w:rPr>
          <w:rFonts w:hint="eastAsia" w:ascii="宋体" w:hAnsi="宋体"/>
        </w:rPr>
        <w:t>对于投标文件中含义不明确、同类问题表述不一致或者有明显文字和计算错误的内容，评审委员会应当以书面形式要求投标人作出必要的澄清、说明或者补正。</w:t>
      </w:r>
    </w:p>
    <w:p w14:paraId="1C673CF2">
      <w:pPr>
        <w:ind w:firstLine="411" w:firstLineChars="196"/>
        <w:rPr>
          <w:rFonts w:ascii="宋体" w:hAnsi="宋体"/>
        </w:rPr>
      </w:pPr>
      <w:r>
        <w:rPr>
          <w:rFonts w:hint="eastAsia" w:ascii="宋体" w:hAnsi="宋体"/>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14:paraId="53910EA2">
      <w:pPr>
        <w:ind w:firstLine="411" w:firstLineChars="196"/>
        <w:rPr>
          <w:rFonts w:ascii="宋体" w:hAnsi="宋体"/>
          <w:szCs w:val="21"/>
        </w:rPr>
      </w:pPr>
      <w:r>
        <w:rPr>
          <w:rFonts w:hint="eastAsia" w:ascii="宋体" w:hAnsi="宋体"/>
          <w:szCs w:val="21"/>
        </w:rPr>
        <w:t>根据本通用条款第34条，凡属于评审委员会在评审中发现的算术错误进行核实的修改不在此列。</w:t>
      </w:r>
    </w:p>
    <w:p w14:paraId="16EA9411">
      <w:pPr>
        <w:rPr>
          <w:rFonts w:ascii="黑体" w:hAnsi="宋体" w:eastAsia="黑体"/>
          <w:sz w:val="24"/>
        </w:rPr>
      </w:pPr>
      <w:bookmarkStart w:id="46" w:name="_Toc73521669"/>
      <w:bookmarkStart w:id="47" w:name="_Toc73518151"/>
      <w:bookmarkStart w:id="48" w:name="_Toc73521581"/>
      <w:bookmarkStart w:id="49" w:name="_Toc100052400"/>
      <w:bookmarkStart w:id="50" w:name="_Toc73517673"/>
      <w:r>
        <w:rPr>
          <w:rFonts w:hint="eastAsia" w:ascii="黑体" w:hAnsi="宋体" w:eastAsia="黑体"/>
          <w:sz w:val="24"/>
        </w:rPr>
        <w:t>34．错误的修正</w:t>
      </w:r>
      <w:bookmarkEnd w:id="46"/>
      <w:bookmarkEnd w:id="47"/>
      <w:bookmarkEnd w:id="48"/>
      <w:bookmarkEnd w:id="49"/>
      <w:bookmarkEnd w:id="50"/>
    </w:p>
    <w:p w14:paraId="28C2E3C8">
      <w:pPr>
        <w:ind w:firstLine="411" w:firstLineChars="196"/>
        <w:rPr>
          <w:rFonts w:ascii="宋体" w:hAnsi="宋体"/>
          <w:szCs w:val="21"/>
        </w:rPr>
      </w:pPr>
      <w:r>
        <w:rPr>
          <w:rFonts w:hint="eastAsia" w:ascii="宋体" w:hAnsi="宋体"/>
          <w:szCs w:val="21"/>
        </w:rPr>
        <w:t>投标文件报价出现前后不一致的，除专用条款另有规定外，按照下列规定修正：</w:t>
      </w:r>
    </w:p>
    <w:p w14:paraId="70CDDCFC">
      <w:pPr>
        <w:ind w:firstLine="411" w:firstLineChars="196"/>
        <w:rPr>
          <w:rFonts w:ascii="宋体" w:hAnsi="宋体"/>
          <w:szCs w:val="21"/>
        </w:rPr>
      </w:pPr>
      <w:r>
        <w:rPr>
          <w:rFonts w:hint="eastAsia" w:ascii="宋体" w:hAnsi="宋体"/>
          <w:szCs w:val="21"/>
        </w:rPr>
        <w:t>34.1投标文件中开标一览表投标报价内容与投标文件中投标报价相应内容不一致的，以开标一览表为准；</w:t>
      </w:r>
    </w:p>
    <w:p w14:paraId="379D425F">
      <w:pPr>
        <w:ind w:firstLine="411" w:firstLineChars="196"/>
        <w:rPr>
          <w:rFonts w:ascii="宋体" w:hAnsi="宋体"/>
          <w:szCs w:val="21"/>
        </w:rPr>
      </w:pPr>
      <w:r>
        <w:rPr>
          <w:rFonts w:hint="eastAsia" w:ascii="宋体" w:hAnsi="宋体"/>
          <w:szCs w:val="21"/>
        </w:rPr>
        <w:t>34.2大写金额和小写金额不一致的，以大写金额为准；</w:t>
      </w:r>
    </w:p>
    <w:p w14:paraId="353F9138">
      <w:pPr>
        <w:ind w:firstLine="411" w:firstLineChars="196"/>
        <w:rPr>
          <w:rFonts w:ascii="宋体" w:hAnsi="宋体"/>
          <w:szCs w:val="21"/>
        </w:rPr>
      </w:pPr>
      <w:r>
        <w:rPr>
          <w:rFonts w:hint="eastAsia" w:ascii="宋体" w:hAnsi="宋体"/>
          <w:szCs w:val="21"/>
        </w:rPr>
        <w:t>34.3单价金额小数点或者百分比有明显错位，以开标一览表的总价为准，并修改单价；</w:t>
      </w:r>
    </w:p>
    <w:p w14:paraId="562776DD">
      <w:pPr>
        <w:ind w:firstLine="411" w:firstLineChars="196"/>
        <w:rPr>
          <w:rFonts w:ascii="宋体" w:hAnsi="宋体"/>
          <w:szCs w:val="21"/>
        </w:rPr>
      </w:pPr>
      <w:r>
        <w:rPr>
          <w:rFonts w:hint="eastAsia" w:ascii="宋体" w:hAnsi="宋体"/>
          <w:szCs w:val="21"/>
        </w:rPr>
        <w:t>34.4总价金额与按单价汇总金额不一致的，以单价金额计算结果为准。</w:t>
      </w:r>
    </w:p>
    <w:p w14:paraId="47A48F63">
      <w:pPr>
        <w:ind w:firstLine="411" w:firstLineChars="196"/>
        <w:rPr>
          <w:rFonts w:ascii="宋体" w:hAnsi="宋体"/>
          <w:szCs w:val="21"/>
        </w:rPr>
      </w:pPr>
      <w:r>
        <w:rPr>
          <w:rFonts w:hint="eastAsia" w:ascii="宋体" w:hAnsi="宋体"/>
          <w:szCs w:val="21"/>
        </w:rPr>
        <w:t>34.5同时出现两种以上不一致的，按照前款规定的顺序修正。修正后的报价按照本通用条款33条的规定，经投标人确认后产生约束力，投标人不确认的，其投标无效。</w:t>
      </w:r>
    </w:p>
    <w:p w14:paraId="1D595BCA">
      <w:pPr>
        <w:rPr>
          <w:rFonts w:ascii="黑体" w:hAnsi="宋体" w:eastAsia="黑体"/>
          <w:sz w:val="24"/>
        </w:rPr>
      </w:pPr>
      <w:r>
        <w:rPr>
          <w:rFonts w:hint="eastAsia" w:ascii="黑体" w:hAnsi="宋体" w:eastAsia="黑体"/>
          <w:sz w:val="24"/>
        </w:rPr>
        <w:t>35．投标文件的比较与评价</w:t>
      </w:r>
    </w:p>
    <w:p w14:paraId="2217BA68">
      <w:pPr>
        <w:ind w:firstLine="411" w:firstLineChars="196"/>
        <w:rPr>
          <w:rFonts w:ascii="宋体" w:hAnsi="宋体"/>
          <w:szCs w:val="21"/>
        </w:rPr>
      </w:pPr>
      <w:r>
        <w:rPr>
          <w:rFonts w:hint="eastAsia" w:ascii="宋体" w:hAnsi="宋体"/>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14:paraId="41DC25C2">
      <w:pPr>
        <w:ind w:firstLine="411" w:firstLineChars="196"/>
        <w:rPr>
          <w:rFonts w:ascii="宋体" w:hAnsi="宋体"/>
          <w:szCs w:val="21"/>
        </w:rPr>
      </w:pPr>
      <w:r>
        <w:rPr>
          <w:rFonts w:hint="eastAsia" w:ascii="宋体" w:hAnsi="宋体"/>
          <w:szCs w:val="21"/>
        </w:rPr>
        <w:t>评审委员会成员对需要共同认定的事项存在争议的，应当按照少数服从多数的原则作出结论。持不同意见的评审委员会成员应当书面作出说明，否则视为无异议。</w:t>
      </w:r>
    </w:p>
    <w:p w14:paraId="2EDC9E17">
      <w:pPr>
        <w:rPr>
          <w:rFonts w:ascii="黑体" w:hAnsi="宋体" w:eastAsia="黑体"/>
          <w:sz w:val="24"/>
        </w:rPr>
      </w:pPr>
      <w:r>
        <w:rPr>
          <w:rFonts w:hint="eastAsia" w:ascii="黑体" w:hAnsi="宋体" w:eastAsia="黑体"/>
          <w:sz w:val="24"/>
        </w:rPr>
        <w:t>36. 实地考察</w:t>
      </w:r>
    </w:p>
    <w:p w14:paraId="5A66CA04">
      <w:pPr>
        <w:ind w:firstLine="411" w:firstLineChars="196"/>
        <w:rPr>
          <w:rFonts w:ascii="宋体" w:hAnsi="宋体"/>
          <w:szCs w:val="21"/>
        </w:rPr>
      </w:pPr>
      <w:r>
        <w:rPr>
          <w:rFonts w:hint="eastAsia" w:ascii="宋体" w:hAnsi="宋体"/>
          <w:szCs w:val="21"/>
        </w:rPr>
        <w:t>36.1</w:t>
      </w:r>
      <w:r>
        <w:rPr>
          <w:rFonts w:hint="eastAsia" w:ascii="宋体" w:hAnsi="宋体"/>
          <w:szCs w:val="21"/>
          <w:lang w:val="en-US" w:eastAsia="zh-CN"/>
        </w:rPr>
        <w:t>在评审期间，评审委员会根据招标文件规定（详见“一、对通用条款的补充内容”），有权对本项目的投标人开展实地考察，投标人需时刻做好接收实地考察的准备。</w:t>
      </w:r>
    </w:p>
    <w:p w14:paraId="529C95D8">
      <w:pPr>
        <w:rPr>
          <w:rFonts w:ascii="黑体" w:hAnsi="宋体" w:eastAsia="黑体"/>
          <w:sz w:val="24"/>
        </w:rPr>
      </w:pPr>
      <w:r>
        <w:rPr>
          <w:rFonts w:hint="eastAsia" w:ascii="黑体" w:hAnsi="宋体" w:eastAsia="黑体"/>
          <w:sz w:val="24"/>
        </w:rPr>
        <w:t>37．评审方法</w:t>
      </w:r>
    </w:p>
    <w:p w14:paraId="1686D3AA">
      <w:pPr>
        <w:ind w:firstLine="412" w:firstLineChars="196"/>
        <w:rPr>
          <w:rFonts w:ascii="宋体" w:hAnsi="宋体"/>
          <w:b/>
          <w:bCs/>
          <w:szCs w:val="21"/>
        </w:rPr>
      </w:pPr>
      <w:r>
        <w:rPr>
          <w:rFonts w:hint="eastAsia" w:ascii="宋体" w:hAnsi="宋体"/>
          <w:b/>
          <w:bCs/>
          <w:szCs w:val="21"/>
        </w:rPr>
        <w:t>37.1.1最低价法</w:t>
      </w:r>
    </w:p>
    <w:p w14:paraId="34D51A77">
      <w:pPr>
        <w:ind w:firstLine="411" w:firstLineChars="196"/>
        <w:rPr>
          <w:rFonts w:ascii="ˎ̥" w:hAnsi="ˎ̥"/>
        </w:rPr>
      </w:pPr>
      <w:bookmarkStart w:id="51" w:name="_Hlk72438142"/>
      <w:r>
        <w:rPr>
          <w:rFonts w:ascii="ˎ̥" w:hAnsi="ˎ̥"/>
        </w:rPr>
        <w:t>最低价法，是指</w:t>
      </w:r>
      <w:r>
        <w:rPr>
          <w:rFonts w:hint="eastAsia" w:ascii="ˎ̥" w:hAnsi="ˎ̥"/>
        </w:rPr>
        <w:t>完全</w:t>
      </w:r>
      <w:r>
        <w:rPr>
          <w:rFonts w:ascii="ˎ̥" w:hAnsi="ˎ̥"/>
        </w:rPr>
        <w:t>满足招标文件实质性要求，</w:t>
      </w:r>
      <w:r>
        <w:rPr>
          <w:rFonts w:hint="eastAsia" w:ascii="ˎ̥" w:hAnsi="ˎ̥"/>
        </w:rPr>
        <w:t>按照报价由低到高的顺序，依据招标文件中规定的数量或者比例推荐候选中标供应商。</w:t>
      </w:r>
    </w:p>
    <w:p w14:paraId="6B1CE827">
      <w:pPr>
        <w:ind w:firstLine="412" w:firstLineChars="196"/>
        <w:rPr>
          <w:rFonts w:ascii="宋体" w:hAnsi="宋体"/>
          <w:b/>
          <w:bCs/>
          <w:szCs w:val="21"/>
        </w:rPr>
      </w:pPr>
      <w:r>
        <w:rPr>
          <w:rFonts w:hint="eastAsia" w:ascii="宋体" w:hAnsi="宋体"/>
          <w:b/>
          <w:bCs/>
          <w:szCs w:val="21"/>
        </w:rPr>
        <w:t>37.1.2综合评分法</w:t>
      </w:r>
    </w:p>
    <w:p w14:paraId="0F1B9B84">
      <w:pPr>
        <w:ind w:firstLine="411" w:firstLineChars="196"/>
        <w:rPr>
          <w:rFonts w:hint="eastAsia" w:ascii="ˎ̥" w:hAnsi="ˎ̥"/>
        </w:rPr>
      </w:pPr>
      <w:r>
        <w:rPr>
          <w:rFonts w:ascii="ˎ̥" w:hAnsi="ˎ̥"/>
        </w:rPr>
        <w:t>综合评分法，是指</w:t>
      </w:r>
      <w:r>
        <w:rPr>
          <w:rFonts w:hint="eastAsia" w:ascii="ˎ̥" w:hAnsi="ˎ̥"/>
        </w:rPr>
        <w:t>在</w:t>
      </w:r>
      <w:r>
        <w:rPr>
          <w:rFonts w:ascii="ˎ̥" w:hAnsi="ˎ̥"/>
        </w:rPr>
        <w:t>满足招标文件全部实质性要求</w:t>
      </w:r>
      <w:r>
        <w:rPr>
          <w:rFonts w:hint="eastAsia" w:ascii="ˎ̥" w:hAnsi="ˎ̥"/>
        </w:rPr>
        <w:t>的前提下</w:t>
      </w:r>
      <w:r>
        <w:rPr>
          <w:rFonts w:ascii="ˎ̥" w:hAnsi="ˎ̥"/>
        </w:rPr>
        <w:t>，</w:t>
      </w:r>
      <w:r>
        <w:rPr>
          <w:rFonts w:hint="eastAsia" w:ascii="ˎ̥" w:hAnsi="ˎ̥"/>
        </w:rPr>
        <w:t>按照招标文件中规定的各项因素进行综合评审，评审总得分排名前列的投标人，作为推荐的候选中标供应商。</w:t>
      </w:r>
      <w:bookmarkEnd w:id="51"/>
    </w:p>
    <w:p w14:paraId="657E6C50">
      <w:pPr>
        <w:ind w:firstLine="411" w:firstLineChars="196"/>
        <w:rPr>
          <w:rFonts w:ascii="宋体" w:hAnsi="宋体"/>
          <w:b/>
          <w:bCs/>
          <w:szCs w:val="21"/>
        </w:rPr>
      </w:pPr>
      <w:r>
        <w:rPr>
          <w:rFonts w:hint="eastAsia" w:ascii="ˎ̥" w:hAnsi="ˎ̥"/>
          <w:lang w:val="en-US" w:eastAsia="zh-CN"/>
        </w:rPr>
        <w:t>3</w:t>
      </w:r>
      <w:r>
        <w:rPr>
          <w:rFonts w:hint="eastAsia" w:ascii="宋体" w:hAnsi="宋体"/>
          <w:b/>
          <w:bCs/>
          <w:szCs w:val="21"/>
        </w:rPr>
        <w:t>7.2 本项目采用的评审方法见本项目招标文件第一册“专用条款”的相关内容。</w:t>
      </w:r>
    </w:p>
    <w:p w14:paraId="4D61B883">
      <w:pPr>
        <w:ind w:firstLine="412" w:firstLineChars="196"/>
        <w:rPr>
          <w:rFonts w:ascii="宋体" w:hAnsi="宋体"/>
          <w:b/>
          <w:bCs/>
          <w:szCs w:val="21"/>
        </w:rPr>
      </w:pPr>
      <w:r>
        <w:rPr>
          <w:rFonts w:hint="eastAsia" w:ascii="宋体" w:hAnsi="宋体"/>
          <w:b/>
          <w:bCs/>
          <w:szCs w:val="21"/>
        </w:rPr>
        <w:t>37.3重新评审的情形</w:t>
      </w:r>
    </w:p>
    <w:p w14:paraId="6C1364E8">
      <w:pPr>
        <w:ind w:firstLine="411" w:firstLineChars="196"/>
        <w:rPr>
          <w:rFonts w:ascii="宋体" w:hAnsi="宋体"/>
          <w:b/>
          <w:bCs/>
          <w:szCs w:val="21"/>
        </w:rPr>
      </w:pPr>
      <w:r>
        <w:rPr>
          <w:rFonts w:hint="eastAsia" w:ascii="宋体" w:hAnsi="宋体" w:cs="宋体"/>
          <w:kern w:val="0"/>
          <w:szCs w:val="21"/>
        </w:rPr>
        <w:t>评审结果汇总完成后，除下列情形外，任何人不得修改评审结果：</w:t>
      </w:r>
    </w:p>
    <w:p w14:paraId="35C23CCE">
      <w:pPr>
        <w:ind w:firstLine="411" w:firstLineChars="196"/>
        <w:rPr>
          <w:rFonts w:ascii="宋体" w:hAnsi="宋体" w:cs="宋体"/>
          <w:kern w:val="0"/>
          <w:szCs w:val="21"/>
        </w:rPr>
      </w:pPr>
      <w:r>
        <w:rPr>
          <w:rFonts w:hint="eastAsia" w:ascii="宋体" w:hAnsi="宋体" w:cs="宋体"/>
          <w:kern w:val="0"/>
          <w:szCs w:val="21"/>
        </w:rPr>
        <w:t>37.3.1分值汇总计算错误的；</w:t>
      </w:r>
    </w:p>
    <w:p w14:paraId="3AC36F86">
      <w:pPr>
        <w:ind w:firstLine="411" w:firstLineChars="196"/>
        <w:rPr>
          <w:rFonts w:ascii="宋体" w:hAnsi="宋体" w:cs="宋体"/>
          <w:kern w:val="0"/>
          <w:szCs w:val="21"/>
        </w:rPr>
      </w:pPr>
      <w:r>
        <w:rPr>
          <w:rFonts w:hint="eastAsia" w:ascii="宋体" w:hAnsi="宋体" w:cs="宋体"/>
          <w:kern w:val="0"/>
          <w:szCs w:val="21"/>
        </w:rPr>
        <w:t>37.3.2分项评分超出评分标准范围的；</w:t>
      </w:r>
    </w:p>
    <w:p w14:paraId="691BDB4D">
      <w:pPr>
        <w:ind w:firstLine="411" w:firstLineChars="196"/>
        <w:rPr>
          <w:rFonts w:ascii="宋体" w:hAnsi="宋体" w:cs="宋体"/>
          <w:kern w:val="0"/>
          <w:szCs w:val="21"/>
        </w:rPr>
      </w:pPr>
      <w:r>
        <w:rPr>
          <w:rFonts w:hint="eastAsia" w:ascii="宋体" w:hAnsi="宋体" w:cs="宋体"/>
          <w:kern w:val="0"/>
          <w:szCs w:val="21"/>
        </w:rPr>
        <w:t>37.3.3评审委员会成员对客观评审因素评分不一致的；</w:t>
      </w:r>
    </w:p>
    <w:p w14:paraId="3454CACB">
      <w:pPr>
        <w:ind w:firstLine="411" w:firstLineChars="196"/>
        <w:rPr>
          <w:rFonts w:ascii="宋体" w:hAnsi="宋体" w:cs="宋体"/>
          <w:kern w:val="0"/>
          <w:szCs w:val="21"/>
        </w:rPr>
      </w:pPr>
      <w:r>
        <w:rPr>
          <w:rFonts w:hint="eastAsia" w:ascii="宋体" w:hAnsi="宋体" w:cs="宋体"/>
          <w:kern w:val="0"/>
          <w:szCs w:val="21"/>
        </w:rPr>
        <w:t>37.3.4经评审委员会认定评分畸高、畸低的。</w:t>
      </w:r>
    </w:p>
    <w:p w14:paraId="4F99FB3F">
      <w:pPr>
        <w:ind w:firstLine="411" w:firstLineChars="196"/>
        <w:rPr>
          <w:rFonts w:ascii="宋体" w:hAnsi="宋体" w:cs="宋体"/>
          <w:kern w:val="0"/>
          <w:szCs w:val="21"/>
        </w:rPr>
      </w:pPr>
      <w:r>
        <w:rPr>
          <w:rFonts w:hint="eastAsia" w:ascii="宋体" w:hAnsi="宋体" w:cs="宋体"/>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14:paraId="5387D9B3">
      <w:pPr>
        <w:ind w:firstLine="411" w:firstLineChars="196"/>
        <w:rPr>
          <w:rFonts w:ascii="宋体" w:hAnsi="宋体" w:cs="宋体"/>
          <w:kern w:val="0"/>
          <w:szCs w:val="21"/>
        </w:rPr>
      </w:pPr>
      <w:r>
        <w:rPr>
          <w:rFonts w:hint="eastAsia" w:ascii="宋体" w:hAnsi="宋体" w:cs="宋体"/>
          <w:kern w:val="0"/>
          <w:szCs w:val="21"/>
        </w:rPr>
        <w:t>投标人对本条第一款情形提出质疑的，采购人或者采购代理机构可以组织原评审委员会进行重新评审，重新评审改变评审结果的，应当书面报告本级财政部门。</w:t>
      </w:r>
    </w:p>
    <w:p w14:paraId="6CB54682">
      <w:pPr>
        <w:ind w:firstLine="412" w:firstLineChars="196"/>
        <w:rPr>
          <w:rFonts w:ascii="宋体" w:hAnsi="宋体"/>
          <w:b/>
          <w:bCs/>
          <w:szCs w:val="21"/>
        </w:rPr>
      </w:pPr>
      <w:r>
        <w:rPr>
          <w:rFonts w:hint="eastAsia" w:ascii="宋体" w:hAnsi="宋体"/>
          <w:b/>
          <w:bCs/>
          <w:szCs w:val="21"/>
        </w:rPr>
        <w:t>37.4重新组建评审委员会的情形</w:t>
      </w:r>
    </w:p>
    <w:p w14:paraId="63C9382A">
      <w:pPr>
        <w:ind w:firstLine="411" w:firstLineChars="196"/>
        <w:rPr>
          <w:rFonts w:ascii="宋体" w:hAnsi="宋体" w:cs="宋体"/>
          <w:kern w:val="0"/>
          <w:szCs w:val="21"/>
        </w:rPr>
      </w:pPr>
      <w:r>
        <w:rPr>
          <w:rFonts w:hint="eastAsia" w:ascii="宋体" w:hAnsi="宋体" w:cs="宋体"/>
          <w:kern w:val="0"/>
          <w:szCs w:val="21"/>
        </w:rPr>
        <w:t>评审委员会或者其成员存在下列情形导致评审结果无效的，重新组建评审委员会进行评标，并书面报告本级财政部门：</w:t>
      </w:r>
    </w:p>
    <w:p w14:paraId="6E6E0273">
      <w:pPr>
        <w:ind w:firstLine="411" w:firstLineChars="196"/>
        <w:rPr>
          <w:rFonts w:ascii="宋体" w:hAnsi="宋体" w:cs="宋体"/>
          <w:kern w:val="0"/>
          <w:szCs w:val="21"/>
        </w:rPr>
      </w:pPr>
      <w:r>
        <w:rPr>
          <w:rFonts w:hint="eastAsia" w:ascii="宋体" w:hAnsi="宋体" w:cs="宋体"/>
          <w:kern w:val="0"/>
          <w:szCs w:val="21"/>
        </w:rPr>
        <w:t>37.4.1评审委员会组成不符合《政府采购货物和服务招标投标管理办法》规定的；</w:t>
      </w:r>
    </w:p>
    <w:p w14:paraId="0B114497">
      <w:pPr>
        <w:ind w:firstLine="411" w:firstLineChars="196"/>
        <w:rPr>
          <w:rFonts w:ascii="宋体" w:hAnsi="宋体" w:cs="宋体"/>
          <w:kern w:val="0"/>
          <w:szCs w:val="21"/>
        </w:rPr>
      </w:pPr>
      <w:r>
        <w:rPr>
          <w:rFonts w:hint="eastAsia" w:ascii="宋体" w:hAnsi="宋体" w:cs="宋体"/>
          <w:kern w:val="0"/>
          <w:szCs w:val="21"/>
        </w:rPr>
        <w:t>37.4.2有《政府采购货物和服务招标投标管理办法》第六十二条第一至五项情形的；</w:t>
      </w:r>
    </w:p>
    <w:p w14:paraId="380CA8C8">
      <w:pPr>
        <w:ind w:firstLine="411" w:firstLineChars="196"/>
        <w:rPr>
          <w:rFonts w:ascii="宋体" w:hAnsi="宋体" w:cs="宋体"/>
          <w:kern w:val="0"/>
          <w:szCs w:val="21"/>
        </w:rPr>
      </w:pPr>
      <w:r>
        <w:rPr>
          <w:rFonts w:hint="eastAsia" w:ascii="宋体" w:hAnsi="宋体" w:cs="宋体"/>
          <w:kern w:val="0"/>
          <w:szCs w:val="21"/>
        </w:rPr>
        <w:t>37.4.3评审委员会及其成员独立评标受到非法干预的；</w:t>
      </w:r>
    </w:p>
    <w:p w14:paraId="3A8F1ED3">
      <w:pPr>
        <w:ind w:firstLine="411" w:firstLineChars="196"/>
        <w:rPr>
          <w:rFonts w:ascii="宋体" w:hAnsi="宋体" w:cs="宋体"/>
          <w:kern w:val="0"/>
          <w:szCs w:val="21"/>
        </w:rPr>
      </w:pPr>
      <w:r>
        <w:rPr>
          <w:rFonts w:hint="eastAsia" w:ascii="宋体" w:hAnsi="宋体" w:cs="宋体"/>
          <w:kern w:val="0"/>
          <w:szCs w:val="21"/>
        </w:rPr>
        <w:t>37.4.4有政府采购法实施条例第七十五条规定的违法行为的。</w:t>
      </w:r>
    </w:p>
    <w:p w14:paraId="75BEBE5A">
      <w:pPr>
        <w:ind w:firstLine="411" w:firstLineChars="196"/>
        <w:rPr>
          <w:rFonts w:ascii="宋体" w:hAnsi="宋体" w:cs="宋体"/>
          <w:kern w:val="0"/>
          <w:szCs w:val="21"/>
        </w:rPr>
      </w:pPr>
      <w:r>
        <w:rPr>
          <w:rFonts w:hint="eastAsia" w:ascii="宋体" w:hAnsi="宋体" w:cs="宋体"/>
          <w:kern w:val="0"/>
          <w:szCs w:val="21"/>
        </w:rPr>
        <w:t>有违法违规行为的原评审委员会成员不得参加重新组建的评审委员会。</w:t>
      </w:r>
    </w:p>
    <w:p w14:paraId="1B1B33F8">
      <w:pPr>
        <w:ind w:firstLine="411" w:firstLineChars="196"/>
        <w:rPr>
          <w:rFonts w:ascii="宋体" w:hAnsi="宋体"/>
          <w:szCs w:val="21"/>
        </w:rPr>
      </w:pPr>
    </w:p>
    <w:p w14:paraId="65D25EA3">
      <w:pPr>
        <w:pStyle w:val="5"/>
        <w:numPr>
          <w:ilvl w:val="0"/>
          <w:numId w:val="14"/>
        </w:numPr>
        <w:spacing w:before="120" w:beforeLines="50" w:after="120" w:afterLines="50"/>
        <w:ind w:left="562" w:hanging="562"/>
        <w:rPr>
          <w:sz w:val="28"/>
          <w:szCs w:val="28"/>
        </w:rPr>
      </w:pPr>
      <w:r>
        <w:rPr>
          <w:rFonts w:hint="eastAsia"/>
          <w:sz w:val="28"/>
          <w:szCs w:val="28"/>
        </w:rPr>
        <w:t>定标及公示</w:t>
      </w:r>
    </w:p>
    <w:p w14:paraId="34D558EA">
      <w:pPr>
        <w:rPr>
          <w:rFonts w:ascii="黑体" w:hAnsi="宋体" w:eastAsia="黑体"/>
          <w:sz w:val="24"/>
        </w:rPr>
      </w:pPr>
      <w:r>
        <w:rPr>
          <w:rFonts w:hint="eastAsia" w:ascii="黑体" w:hAnsi="宋体" w:eastAsia="黑体"/>
          <w:sz w:val="24"/>
        </w:rPr>
        <w:t>38．定标方法</w:t>
      </w:r>
    </w:p>
    <w:p w14:paraId="341F30B9">
      <w:pPr>
        <w:ind w:firstLine="411" w:firstLineChars="196"/>
        <w:rPr>
          <w:rFonts w:ascii="宋体" w:hAnsi="宋体"/>
          <w:szCs w:val="21"/>
        </w:rPr>
      </w:pPr>
      <w:r>
        <w:rPr>
          <w:rFonts w:hint="eastAsia" w:ascii="宋体" w:hAnsi="宋体"/>
          <w:szCs w:val="21"/>
        </w:rPr>
        <w:t>38.1非评定分离项目定标方法</w:t>
      </w:r>
    </w:p>
    <w:p w14:paraId="734D7456">
      <w:pPr>
        <w:ind w:firstLine="411" w:firstLineChars="196"/>
        <w:rPr>
          <w:rFonts w:ascii="宋体" w:hAnsi="宋体"/>
          <w:szCs w:val="21"/>
        </w:rPr>
      </w:pPr>
      <w:r>
        <w:rPr>
          <w:rFonts w:hint="eastAsia" w:ascii="宋体" w:hAnsi="宋体"/>
          <w:szCs w:val="21"/>
        </w:rPr>
        <w:t>38</w:t>
      </w:r>
      <w:r>
        <w:rPr>
          <w:rFonts w:ascii="宋体" w:hAnsi="宋体"/>
          <w:szCs w:val="21"/>
        </w:rPr>
        <w:t>.</w:t>
      </w:r>
      <w:r>
        <w:rPr>
          <w:rFonts w:hint="eastAsia" w:ascii="宋体" w:hAnsi="宋体"/>
          <w:szCs w:val="21"/>
        </w:rPr>
        <w:t>1.1评审委员会依据本项目招标文件所约定的评审方法进行评审和比较，向政府集中采购机构提交书面评审报告，并根据评审方法比较评价结果从优到劣进行排序，确定候选中标供应商。</w:t>
      </w:r>
    </w:p>
    <w:p w14:paraId="0FC4EAF6">
      <w:pPr>
        <w:ind w:firstLine="411" w:firstLineChars="196"/>
        <w:rPr>
          <w:rFonts w:ascii="ˎ̥" w:hAnsi="ˎ̥"/>
        </w:rPr>
      </w:pPr>
      <w:r>
        <w:rPr>
          <w:rFonts w:hint="eastAsia" w:ascii="宋体" w:hAnsi="宋体"/>
          <w:szCs w:val="21"/>
        </w:rPr>
        <w:t>38</w:t>
      </w:r>
      <w:r>
        <w:rPr>
          <w:rFonts w:ascii="宋体" w:hAnsi="宋体"/>
          <w:szCs w:val="21"/>
        </w:rPr>
        <w:t>.</w:t>
      </w:r>
      <w:r>
        <w:rPr>
          <w:rFonts w:hint="eastAsia" w:ascii="宋体" w:hAnsi="宋体"/>
          <w:szCs w:val="21"/>
        </w:rPr>
        <w:t>1.2</w:t>
      </w:r>
      <w:r>
        <w:rPr>
          <w:rFonts w:ascii="ˎ̥" w:hAnsi="ˎ̥"/>
        </w:rPr>
        <w:t>采用最低价法的，评</w:t>
      </w:r>
      <w:r>
        <w:rPr>
          <w:rFonts w:hint="eastAsia" w:ascii="ˎ̥" w:hAnsi="ˎ̥"/>
        </w:rPr>
        <w:t>审</w:t>
      </w:r>
      <w:r>
        <w:rPr>
          <w:rFonts w:ascii="ˎ̥" w:hAnsi="ˎ̥"/>
        </w:rPr>
        <w:t>结果按投标报价由低到高顺序排列。投标报价相同的并列。投标文件满足招标文件全部实质性要求且投标报价最低的</w:t>
      </w:r>
      <w:r>
        <w:rPr>
          <w:rFonts w:hint="eastAsia" w:ascii="ˎ̥" w:hAnsi="ˎ̥"/>
        </w:rPr>
        <w:t>投标人为中标供应商</w:t>
      </w:r>
      <w:r>
        <w:rPr>
          <w:rFonts w:ascii="ˎ̥" w:hAnsi="ˎ̥"/>
        </w:rPr>
        <w:t>（</w:t>
      </w:r>
      <w:r>
        <w:rPr>
          <w:rFonts w:hint="eastAsia" w:ascii="ˎ̥" w:hAnsi="ˎ̥"/>
        </w:rPr>
        <w:t>排名</w:t>
      </w:r>
      <w:r>
        <w:rPr>
          <w:rFonts w:ascii="ˎ̥" w:hAnsi="ˎ̥"/>
        </w:rPr>
        <w:t>第二</w:t>
      </w:r>
      <w:r>
        <w:rPr>
          <w:rFonts w:hint="eastAsia" w:ascii="ˎ̥" w:hAnsi="ˎ̥"/>
        </w:rPr>
        <w:t>的投标人为第一替补中标候选人、排名</w:t>
      </w:r>
      <w:r>
        <w:rPr>
          <w:rFonts w:ascii="ˎ̥" w:hAnsi="ˎ̥"/>
        </w:rPr>
        <w:t>第</w:t>
      </w:r>
      <w:r>
        <w:rPr>
          <w:rFonts w:hint="eastAsia" w:ascii="ˎ̥" w:hAnsi="ˎ̥"/>
        </w:rPr>
        <w:t>三的投标人为第二替补中标候选人</w:t>
      </w:r>
      <w:r>
        <w:rPr>
          <w:rFonts w:ascii="ˎ̥" w:hAnsi="ˎ̥"/>
        </w:rPr>
        <w:t>）。</w:t>
      </w:r>
      <w:r>
        <w:rPr>
          <w:rFonts w:hint="eastAsia" w:ascii="ˎ̥" w:hAnsi="ˎ̥"/>
        </w:rPr>
        <w:t>出现投标报价相同的并列情况时，采取随机抽取的方式确定。（抽签原则：在深圳公共资源交易中心（深圳交易集团有限公司</w:t>
      </w:r>
      <w:r>
        <w:rPr>
          <w:rFonts w:hint="eastAsia" w:ascii="ˎ̥" w:hAnsi="ˎ̥"/>
          <w:lang w:eastAsia="zh-CN"/>
        </w:rPr>
        <w:t>光明</w:t>
      </w:r>
      <w:r>
        <w:rPr>
          <w:rFonts w:hint="eastAsia" w:ascii="ˎ̥" w:hAnsi="ˎ̥"/>
        </w:rPr>
        <w:t>分公司）的组织下，由评标委员会作为抽签小组进行随机抽签确定排序。（1）编号。抽签小组按上传投标文件的时间先后确定抽签编号，如A 公司上传投标文件的时间最早，则抽签编号为1，以此类推。（2）抽签。按抽签编号的数量在摇号机放入相应数量及对应编号的号码球，抽签小组成员随机抽取号码球，按抽出号码球的顺序，确定号码球对应的供应商排序。（3）确认结果。全体抽签小组成员签字确认抽签结果。）</w:t>
      </w:r>
    </w:p>
    <w:p w14:paraId="2905EBB2">
      <w:pPr>
        <w:ind w:firstLine="411" w:firstLineChars="196"/>
        <w:rPr>
          <w:rFonts w:ascii="ˎ̥" w:hAnsi="ˎ̥"/>
        </w:rPr>
      </w:pPr>
      <w:r>
        <w:rPr>
          <w:rFonts w:hint="eastAsia" w:ascii="宋体" w:hAnsi="宋体"/>
          <w:szCs w:val="21"/>
        </w:rPr>
        <w:t>38</w:t>
      </w:r>
      <w:r>
        <w:rPr>
          <w:rFonts w:ascii="宋体" w:hAnsi="宋体"/>
          <w:szCs w:val="21"/>
        </w:rPr>
        <w:t>.</w:t>
      </w:r>
      <w:r>
        <w:rPr>
          <w:rFonts w:hint="eastAsia" w:ascii="宋体" w:hAnsi="宋体"/>
          <w:szCs w:val="21"/>
        </w:rPr>
        <w:t>1.3</w:t>
      </w:r>
      <w:r>
        <w:rPr>
          <w:rFonts w:ascii="宋体" w:hAnsi="宋体"/>
          <w:szCs w:val="21"/>
        </w:rPr>
        <w:t>采</w:t>
      </w:r>
      <w:r>
        <w:rPr>
          <w:rFonts w:ascii="ˎ̥" w:hAnsi="ˎ̥"/>
        </w:rPr>
        <w:t>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w:t>
      </w:r>
      <w:r>
        <w:rPr>
          <w:rFonts w:hint="eastAsia" w:ascii="ˎ̥" w:hAnsi="ˎ̥"/>
        </w:rPr>
        <w:t>为中标供应商</w:t>
      </w:r>
      <w:r>
        <w:rPr>
          <w:rFonts w:ascii="ˎ̥" w:hAnsi="ˎ̥"/>
        </w:rPr>
        <w:t>（</w:t>
      </w:r>
      <w:r>
        <w:rPr>
          <w:rFonts w:hint="eastAsia" w:ascii="ˎ̥" w:hAnsi="ˎ̥"/>
        </w:rPr>
        <w:t>排名</w:t>
      </w:r>
      <w:r>
        <w:rPr>
          <w:rFonts w:ascii="ˎ̥" w:hAnsi="ˎ̥"/>
        </w:rPr>
        <w:t>第二</w:t>
      </w:r>
      <w:r>
        <w:rPr>
          <w:rFonts w:hint="eastAsia" w:ascii="ˎ̥" w:hAnsi="ˎ̥"/>
        </w:rPr>
        <w:t>的投标人为第一替补中标候选人、排名</w:t>
      </w:r>
      <w:r>
        <w:rPr>
          <w:rFonts w:ascii="ˎ̥" w:hAnsi="ˎ̥"/>
        </w:rPr>
        <w:t>第</w:t>
      </w:r>
      <w:r>
        <w:rPr>
          <w:rFonts w:hint="eastAsia" w:ascii="ˎ̥" w:hAnsi="ˎ̥"/>
        </w:rPr>
        <w:t>三的投标人为第二替补中标候选人</w:t>
      </w:r>
      <w:r>
        <w:rPr>
          <w:rFonts w:ascii="ˎ̥" w:hAnsi="ˎ̥"/>
        </w:rPr>
        <w:t>）。</w:t>
      </w:r>
      <w:r>
        <w:rPr>
          <w:rFonts w:hint="eastAsia" w:ascii="宋体" w:hAnsi="宋体" w:eastAsia="宋体" w:cs="宋体"/>
          <w:b w:val="0"/>
          <w:bCs w:val="0"/>
          <w:kern w:val="2"/>
          <w:sz w:val="21"/>
          <w:szCs w:val="21"/>
          <w:highlight w:val="none"/>
          <w:lang w:val="en-US" w:eastAsia="zh-CN" w:bidi="ar-SA"/>
        </w:rPr>
        <w:t>出现得分且投标报价相同的并列情况时，采取随机抽取的方式确定。（抽签原则：在深圳公共资源交易中心（深圳交易集团有限公司</w:t>
      </w:r>
      <w:r>
        <w:rPr>
          <w:rFonts w:hint="eastAsia" w:ascii="宋体" w:hAnsi="宋体" w:cs="宋体"/>
          <w:b w:val="0"/>
          <w:bCs w:val="0"/>
          <w:kern w:val="2"/>
          <w:sz w:val="21"/>
          <w:szCs w:val="21"/>
          <w:highlight w:val="none"/>
          <w:lang w:val="en-US" w:eastAsia="zh-CN" w:bidi="ar-SA"/>
        </w:rPr>
        <w:t>光明</w:t>
      </w:r>
      <w:r>
        <w:rPr>
          <w:rFonts w:hint="eastAsia" w:ascii="宋体" w:hAnsi="宋体" w:eastAsia="宋体" w:cs="宋体"/>
          <w:b w:val="0"/>
          <w:bCs w:val="0"/>
          <w:kern w:val="2"/>
          <w:sz w:val="21"/>
          <w:szCs w:val="21"/>
          <w:highlight w:val="none"/>
          <w:lang w:val="en-US" w:eastAsia="zh-CN" w:bidi="ar-SA"/>
        </w:rPr>
        <w:t>分公司）的组织下，由评标委员会作为抽签小组进行随机抽签确定排序。（1）编号。抽签小组按上传投标文件的时间先后确定抽签编号，如A 公司上传投标文件的时间最早，则抽签编号为1，以此类推。（2）抽签。按抽签编号的数量在摇号机放入相应数量及对应编号的号码球，抽签小组成员随机抽取号码球，按抽出号码球的顺序，确定号码球对应的供应商排序。（3）确认结果。全体抽签小组成员签字确认抽签结果。）</w:t>
      </w:r>
    </w:p>
    <w:p w14:paraId="0E83A3D9">
      <w:pPr>
        <w:ind w:firstLine="411" w:firstLineChars="196"/>
        <w:rPr>
          <w:rFonts w:ascii="宋体" w:hAnsi="宋体"/>
          <w:szCs w:val="21"/>
        </w:rPr>
      </w:pPr>
      <w:r>
        <w:rPr>
          <w:rFonts w:hint="eastAsia" w:ascii="宋体" w:hAnsi="宋体"/>
          <w:szCs w:val="21"/>
        </w:rPr>
        <w:t>38.2评定分离项目定标方法</w:t>
      </w:r>
    </w:p>
    <w:p w14:paraId="0675D14F">
      <w:pPr>
        <w:ind w:firstLine="411" w:firstLineChars="196"/>
        <w:rPr>
          <w:rFonts w:ascii="宋体" w:hAnsi="宋体"/>
          <w:szCs w:val="21"/>
        </w:rPr>
      </w:pPr>
      <w:r>
        <w:rPr>
          <w:rFonts w:hint="eastAsia" w:ascii="宋体" w:hAnsi="宋体"/>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14:paraId="4C63C28E">
      <w:pPr>
        <w:ind w:firstLine="411" w:firstLineChars="196"/>
      </w:pPr>
      <w:r>
        <w:rPr>
          <w:rFonts w:ascii="宋体" w:hAnsi="宋体"/>
          <w:szCs w:val="21"/>
        </w:rPr>
        <w:t xml:space="preserve">38.2.2 </w:t>
      </w:r>
      <w:bookmarkStart w:id="52" w:name="_Hlk71469733"/>
      <w:r>
        <w:t>适用评定分离的政府采购项目，采用综合评分法评</w:t>
      </w:r>
      <w:r>
        <w:rPr>
          <w:rFonts w:hint="eastAsia"/>
        </w:rPr>
        <w:t>审。</w:t>
      </w:r>
      <w:r>
        <w:rPr>
          <w:rFonts w:hint="eastAsia" w:ascii="宋体" w:hAnsi="宋体"/>
          <w:szCs w:val="21"/>
        </w:rPr>
        <w:t>评审委员会按照评审结果，推荐</w:t>
      </w:r>
      <w:r>
        <w:t>三个合格的候选中标供应商。</w:t>
      </w:r>
    </w:p>
    <w:p w14:paraId="7B302E7D">
      <w:pPr>
        <w:ind w:firstLine="411" w:firstLineChars="196"/>
        <w:rPr>
          <w:rFonts w:ascii="宋体" w:hAnsi="宋体"/>
          <w:szCs w:val="21"/>
        </w:rPr>
      </w:pPr>
      <w:r>
        <w:rPr>
          <w:rFonts w:hint="eastAsia" w:ascii="宋体" w:hAnsi="宋体"/>
          <w:szCs w:val="21"/>
        </w:rPr>
        <w:t>38.2.3</w:t>
      </w:r>
      <w:bookmarkStart w:id="53" w:name="_Hlk71469688"/>
      <w:r>
        <w:t>适用评定分离的政府采购项目，</w:t>
      </w:r>
      <w:r>
        <w:rPr>
          <w:rFonts w:hint="eastAsia" w:ascii="宋体" w:hAnsi="宋体"/>
          <w:szCs w:val="21"/>
        </w:rPr>
        <w:t>按照自定法确定中标供应商：自定法是指采购人组织定标委员会，由定标委员会在三家候选中标供应商中确定中标供应商。</w:t>
      </w:r>
      <w:bookmarkEnd w:id="52"/>
      <w:bookmarkEnd w:id="53"/>
    </w:p>
    <w:p w14:paraId="4CB243E9">
      <w:pPr>
        <w:ind w:firstLine="411" w:firstLineChars="196"/>
        <w:rPr>
          <w:rFonts w:ascii="宋体" w:hAnsi="宋体"/>
          <w:szCs w:val="21"/>
        </w:rPr>
      </w:pPr>
      <w:r>
        <w:rPr>
          <w:rFonts w:ascii="宋体" w:hAnsi="宋体"/>
          <w:szCs w:val="21"/>
        </w:rPr>
        <w:t>38.2.4</w:t>
      </w:r>
      <w:r>
        <w:rPr>
          <w:rFonts w:hint="eastAsia" w:ascii="宋体" w:hAnsi="宋体"/>
          <w:szCs w:val="21"/>
        </w:rPr>
        <w:t>政府集中采购机构</w:t>
      </w:r>
      <w:r>
        <w:t>应当自评审结束之日起两个工作日内将候选中标供应商名单及其投标文件、评审报告送交采购人</w:t>
      </w:r>
      <w:r>
        <w:rPr>
          <w:rFonts w:hint="eastAsia" w:ascii="宋体" w:hAnsi="宋体"/>
          <w:szCs w:val="21"/>
        </w:rPr>
        <w:t>。</w:t>
      </w:r>
      <w:r>
        <w:t>采购人应当安排专人对定标过程进行书面记录，形成定标报告，作为采购文件的组成部分存档，并及时将定标结果反馈</w:t>
      </w:r>
      <w:r>
        <w:rPr>
          <w:rFonts w:hint="eastAsia"/>
        </w:rPr>
        <w:t>政府集中采购机构。具体定标程序及相关要求以按照《深圳市财政局关于</w:t>
      </w:r>
      <w:r>
        <w:rPr>
          <w:rFonts w:hint="eastAsia" w:ascii="Times New Roman" w:eastAsia="宋体"/>
          <w:lang w:val="en-US" w:eastAsia="zh-CN"/>
        </w:rPr>
        <w:t>&lt;</w:t>
      </w:r>
      <w:r>
        <w:rPr>
          <w:rFonts w:hint="eastAsia"/>
        </w:rPr>
        <w:t>深圳市政府采购评标定标分离管理办法</w:t>
      </w:r>
      <w:r>
        <w:rPr>
          <w:rFonts w:hint="eastAsia" w:ascii="Times New Roman" w:eastAsia="宋体"/>
          <w:lang w:val="en-US" w:eastAsia="zh-CN"/>
        </w:rPr>
        <w:t>&gt;</w:t>
      </w:r>
      <w:r>
        <w:rPr>
          <w:rFonts w:hint="eastAsia"/>
        </w:rPr>
        <w:t>续期的通知》（深财规〔2023〕1号）执行。</w:t>
      </w:r>
    </w:p>
    <w:p w14:paraId="74B77CB0">
      <w:pPr>
        <w:ind w:firstLine="411" w:firstLineChars="196"/>
        <w:rPr>
          <w:rFonts w:ascii="宋体" w:hAnsi="宋体"/>
          <w:szCs w:val="21"/>
        </w:rPr>
      </w:pPr>
      <w:r>
        <w:rPr>
          <w:rFonts w:hint="eastAsia" w:ascii="宋体" w:hAnsi="宋体"/>
          <w:szCs w:val="21"/>
        </w:rPr>
        <w:t>说明：采购人及投标供应商应按照上述方法提前做好相关准备。</w:t>
      </w:r>
    </w:p>
    <w:p w14:paraId="08D3A287">
      <w:pPr>
        <w:ind w:firstLine="411" w:firstLineChars="196"/>
        <w:rPr>
          <w:rFonts w:ascii="宋体" w:hAnsi="宋体"/>
          <w:szCs w:val="21"/>
        </w:rPr>
      </w:pPr>
      <w:r>
        <w:rPr>
          <w:rFonts w:hint="eastAsia" w:ascii="宋体" w:hAnsi="宋体"/>
          <w:szCs w:val="21"/>
        </w:rPr>
        <w:t>38.3专用条款另有规定的，按专用条款相关要求定标。</w:t>
      </w:r>
    </w:p>
    <w:p w14:paraId="7F94A0A3">
      <w:pPr>
        <w:rPr>
          <w:rFonts w:ascii="黑体" w:hAnsi="宋体" w:eastAsia="黑体"/>
          <w:sz w:val="24"/>
        </w:rPr>
      </w:pPr>
      <w:r>
        <w:rPr>
          <w:rFonts w:hint="eastAsia" w:ascii="黑体" w:hAnsi="宋体" w:eastAsia="黑体"/>
          <w:sz w:val="24"/>
        </w:rPr>
        <w:t>39．编写评审报告</w:t>
      </w:r>
    </w:p>
    <w:p w14:paraId="2C7BC42A">
      <w:pPr>
        <w:ind w:firstLine="411" w:firstLineChars="196"/>
        <w:rPr>
          <w:rFonts w:ascii="宋体" w:hAnsi="宋体"/>
          <w:szCs w:val="21"/>
        </w:rPr>
      </w:pPr>
      <w:r>
        <w:rPr>
          <w:rFonts w:hint="eastAsia" w:ascii="宋体" w:hAnsi="宋体"/>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14:paraId="4269887A">
      <w:pPr>
        <w:rPr>
          <w:rFonts w:ascii="黑体" w:hAnsi="宋体" w:eastAsia="黑体"/>
          <w:sz w:val="24"/>
        </w:rPr>
      </w:pPr>
      <w:r>
        <w:rPr>
          <w:rFonts w:hint="eastAsia" w:ascii="黑体" w:hAnsi="宋体" w:eastAsia="黑体"/>
          <w:sz w:val="24"/>
        </w:rPr>
        <w:t>40．中标公告</w:t>
      </w:r>
    </w:p>
    <w:p w14:paraId="702CFFC8">
      <w:pPr>
        <w:ind w:firstLine="411" w:firstLineChars="196"/>
        <w:rPr>
          <w:rFonts w:ascii="宋体" w:hAnsi="宋体"/>
          <w:szCs w:val="21"/>
        </w:rPr>
      </w:pPr>
      <w:r>
        <w:rPr>
          <w:rFonts w:hint="eastAsia" w:ascii="宋体" w:hAnsi="宋体"/>
          <w:szCs w:val="21"/>
        </w:rPr>
        <w:t>40.1</w:t>
      </w:r>
      <w:bookmarkStart w:id="54" w:name="_Hlk72438709"/>
      <w:r>
        <w:rPr>
          <w:rFonts w:hint="eastAsia" w:ascii="宋体" w:hAnsi="宋体"/>
          <w:szCs w:val="21"/>
        </w:rPr>
        <w:t>为体现“公开、公平、公正”的原则，评审结束后经采购人确认（确定）评审结果，政府集中采购机构将在</w:t>
      </w:r>
      <w:r>
        <w:rPr>
          <w:rFonts w:hint="eastAsia" w:ascii="宋体" w:hAnsi="宋体"/>
          <w:b/>
          <w:bCs/>
          <w:szCs w:val="21"/>
        </w:rPr>
        <w:t>“深圳公共资源交易网（https://szggzy.com/）”</w:t>
      </w:r>
      <w:r>
        <w:rPr>
          <w:rFonts w:hint="eastAsia" w:ascii="宋体" w:hAnsi="宋体"/>
          <w:szCs w:val="21"/>
        </w:rPr>
        <w:t>上发布中标结果公告。</w:t>
      </w:r>
      <w:bookmarkEnd w:id="54"/>
      <w:bookmarkStart w:id="55" w:name="_Hlk72438751"/>
      <w:r>
        <w:rPr>
          <w:rFonts w:hint="eastAsia" w:ascii="宋体" w:hAnsi="宋体"/>
          <w:szCs w:val="21"/>
        </w:rPr>
        <w:t>供应商如对评审结果有异议，</w:t>
      </w:r>
      <w:r>
        <w:rPr>
          <w:rFonts w:ascii="宋体" w:hAnsi="宋体"/>
          <w:szCs w:val="21"/>
        </w:rPr>
        <w:t>可在发布公示日期起</w:t>
      </w:r>
      <w:r>
        <w:rPr>
          <w:rFonts w:hint="eastAsia" w:ascii="宋体" w:hAnsi="宋体"/>
          <w:szCs w:val="21"/>
        </w:rPr>
        <w:t>七</w:t>
      </w:r>
      <w:r>
        <w:rPr>
          <w:rFonts w:ascii="宋体" w:hAnsi="宋体"/>
          <w:szCs w:val="21"/>
        </w:rPr>
        <w:t>个工作日内向</w:t>
      </w:r>
      <w:r>
        <w:rPr>
          <w:rFonts w:hint="eastAsia" w:ascii="宋体" w:hAnsi="宋体"/>
          <w:szCs w:val="21"/>
        </w:rPr>
        <w:t>政府集中采购机构</w:t>
      </w:r>
      <w:r>
        <w:rPr>
          <w:rFonts w:ascii="宋体" w:hAnsi="宋体"/>
          <w:szCs w:val="21"/>
        </w:rPr>
        <w:t>提出。 监督电话：0755-83948143。</w:t>
      </w:r>
      <w:r>
        <w:rPr>
          <w:rFonts w:hint="eastAsia" w:ascii="宋体" w:hAnsi="宋体"/>
          <w:szCs w:val="21"/>
        </w:rPr>
        <w:t>若在公示期内未提出质疑，则视为认同该评审结果。</w:t>
      </w:r>
    </w:p>
    <w:bookmarkEnd w:id="55"/>
    <w:p w14:paraId="6FEB9320">
      <w:pPr>
        <w:ind w:firstLine="411" w:firstLineChars="196"/>
        <w:rPr>
          <w:rFonts w:ascii="宋体" w:hAnsi="宋体"/>
          <w:szCs w:val="21"/>
        </w:rPr>
      </w:pPr>
      <w:r>
        <w:rPr>
          <w:rFonts w:hint="eastAsia" w:ascii="宋体" w:hAnsi="宋体"/>
          <w:szCs w:val="21"/>
        </w:rPr>
        <w:t>40.2质疑、投诉供应商应保证质疑、投诉内容的真实性和可靠性，并承担相应的法律责任。</w:t>
      </w:r>
    </w:p>
    <w:p w14:paraId="51A5BCA4">
      <w:pPr>
        <w:rPr>
          <w:rFonts w:ascii="黑体" w:hAnsi="宋体" w:eastAsia="黑体"/>
          <w:sz w:val="24"/>
        </w:rPr>
      </w:pPr>
      <w:r>
        <w:rPr>
          <w:rFonts w:hint="eastAsia" w:ascii="黑体" w:hAnsi="宋体" w:eastAsia="黑体"/>
          <w:sz w:val="24"/>
        </w:rPr>
        <w:t>41．中标通知书</w:t>
      </w:r>
    </w:p>
    <w:p w14:paraId="219B3AB7">
      <w:pPr>
        <w:ind w:firstLine="411" w:firstLineChars="196"/>
        <w:rPr>
          <w:rFonts w:ascii="宋体" w:hAnsi="宋体"/>
          <w:szCs w:val="21"/>
        </w:rPr>
      </w:pPr>
      <w:r>
        <w:rPr>
          <w:rFonts w:hint="eastAsia" w:ascii="宋体" w:hAnsi="宋体"/>
          <w:szCs w:val="21"/>
        </w:rPr>
        <w:t>41</w:t>
      </w:r>
      <w:r>
        <w:rPr>
          <w:rFonts w:ascii="宋体" w:hAnsi="宋体"/>
          <w:szCs w:val="21"/>
        </w:rPr>
        <w:t>.</w:t>
      </w:r>
      <w:r>
        <w:rPr>
          <w:rFonts w:hint="eastAsia" w:ascii="宋体" w:hAnsi="宋体"/>
          <w:szCs w:val="21"/>
        </w:rPr>
        <w:t>1</w:t>
      </w:r>
      <w:bookmarkStart w:id="56" w:name="_Hlk72438863"/>
      <w:r>
        <w:rPr>
          <w:rFonts w:hint="eastAsia" w:ascii="宋体" w:hAnsi="宋体"/>
          <w:szCs w:val="21"/>
        </w:rPr>
        <w:t>中标公告公布以后无异常的情况下,中标供应商和采购人可自行在</w:t>
      </w:r>
      <w:r>
        <w:rPr>
          <w:rFonts w:hint="eastAsia" w:ascii="宋体" w:hAnsi="宋体"/>
          <w:b/>
          <w:bCs/>
          <w:szCs w:val="21"/>
        </w:rPr>
        <w:t>“深圳政府采购智慧平台（http://zfcg.szggzy.com/）”</w:t>
      </w:r>
      <w:r>
        <w:rPr>
          <w:rFonts w:hint="eastAsia" w:ascii="宋体" w:hAnsi="宋体"/>
          <w:szCs w:val="21"/>
        </w:rPr>
        <w:t>上打印</w:t>
      </w:r>
      <w:r>
        <w:rPr>
          <w:rFonts w:hint="eastAsia" w:ascii="宋体" w:hAnsi="宋体"/>
          <w:b/>
          <w:szCs w:val="21"/>
        </w:rPr>
        <w:t>《数字中标通知书》</w:t>
      </w:r>
      <w:r>
        <w:rPr>
          <w:rFonts w:hint="eastAsia" w:ascii="宋体" w:hAnsi="宋体"/>
          <w:szCs w:val="21"/>
        </w:rPr>
        <w:t>。</w:t>
      </w:r>
      <w:bookmarkEnd w:id="56"/>
    </w:p>
    <w:p w14:paraId="169DEFD7">
      <w:pPr>
        <w:ind w:firstLine="411" w:firstLineChars="196"/>
        <w:rPr>
          <w:rFonts w:ascii="宋体" w:hAnsi="宋体"/>
          <w:szCs w:val="21"/>
        </w:rPr>
      </w:pPr>
      <w:r>
        <w:rPr>
          <w:rFonts w:hint="eastAsia" w:ascii="宋体" w:hAnsi="宋体"/>
          <w:szCs w:val="21"/>
        </w:rPr>
        <w:t>41</w:t>
      </w:r>
      <w:r>
        <w:rPr>
          <w:rFonts w:ascii="宋体" w:hAnsi="宋体"/>
          <w:szCs w:val="21"/>
        </w:rPr>
        <w:t>.2</w:t>
      </w:r>
      <w:r>
        <w:rPr>
          <w:rFonts w:hint="eastAsia" w:ascii="宋体" w:hAnsi="宋体"/>
          <w:szCs w:val="21"/>
        </w:rPr>
        <w:t>中标通知书是合同的重要组成部分。</w:t>
      </w:r>
    </w:p>
    <w:p w14:paraId="5A542C18">
      <w:pPr>
        <w:ind w:firstLine="411" w:firstLineChars="196"/>
        <w:rPr>
          <w:rFonts w:ascii="宋体" w:hAnsi="宋体"/>
          <w:szCs w:val="21"/>
        </w:rPr>
      </w:pPr>
      <w:bookmarkStart w:id="57" w:name="_Hlk71407340"/>
      <w:r>
        <w:rPr>
          <w:rFonts w:hint="eastAsia" w:ascii="宋体" w:hAnsi="宋体"/>
          <w:szCs w:val="21"/>
        </w:rPr>
        <w:t>41.3因质疑投诉或其它原因导致项目结果变更或采购终止的，政府集中采购机构有权吊销中标通知书。</w:t>
      </w:r>
    </w:p>
    <w:bookmarkEnd w:id="57"/>
    <w:p w14:paraId="10463408">
      <w:pPr>
        <w:ind w:firstLine="411" w:firstLineChars="196"/>
        <w:rPr>
          <w:rFonts w:ascii="宋体" w:hAnsi="宋体"/>
          <w:szCs w:val="21"/>
        </w:rPr>
      </w:pPr>
    </w:p>
    <w:p w14:paraId="2BE21A3E">
      <w:pPr>
        <w:pStyle w:val="5"/>
        <w:numPr>
          <w:ilvl w:val="0"/>
          <w:numId w:val="14"/>
        </w:numPr>
        <w:spacing w:before="120" w:beforeLines="50" w:after="120" w:afterLines="50"/>
        <w:ind w:left="562" w:hanging="562"/>
        <w:rPr>
          <w:sz w:val="28"/>
          <w:szCs w:val="28"/>
        </w:rPr>
      </w:pPr>
      <w:r>
        <w:rPr>
          <w:rFonts w:hint="eastAsia"/>
          <w:sz w:val="28"/>
          <w:szCs w:val="28"/>
        </w:rPr>
        <w:t>公开招标失败的后续处理</w:t>
      </w:r>
    </w:p>
    <w:p w14:paraId="4E1B23DE">
      <w:pPr>
        <w:rPr>
          <w:rFonts w:ascii="黑体" w:hAnsi="宋体" w:eastAsia="黑体"/>
          <w:sz w:val="24"/>
        </w:rPr>
      </w:pPr>
      <w:r>
        <w:rPr>
          <w:rFonts w:hint="eastAsia" w:ascii="黑体" w:hAnsi="宋体" w:eastAsia="黑体"/>
          <w:sz w:val="24"/>
        </w:rPr>
        <w:t>42．公开招标失败的处理</w:t>
      </w:r>
    </w:p>
    <w:p w14:paraId="56FDA5DA">
      <w:pPr>
        <w:ind w:firstLine="411" w:firstLineChars="196"/>
        <w:rPr>
          <w:rFonts w:ascii="宋体" w:hAnsi="宋体"/>
        </w:rPr>
      </w:pPr>
      <w:r>
        <w:rPr>
          <w:rFonts w:hint="eastAsia" w:ascii="宋体" w:hAnsi="宋体"/>
          <w:szCs w:val="21"/>
        </w:rPr>
        <w:t>42.1本项目公开招标过程中若由于投标截止后</w:t>
      </w:r>
      <w:r>
        <w:rPr>
          <w:rFonts w:hint="eastAsia" w:ascii="宋体" w:hAnsi="宋体"/>
        </w:rPr>
        <w:t>实际递交</w:t>
      </w:r>
      <w:r>
        <w:rPr>
          <w:rFonts w:ascii="宋体" w:hAnsi="宋体"/>
        </w:rPr>
        <w:t>投标</w:t>
      </w:r>
      <w:r>
        <w:rPr>
          <w:rFonts w:hint="eastAsia" w:ascii="宋体" w:hAnsi="宋体"/>
        </w:rPr>
        <w:t>文件的供应商数量不足、经</w:t>
      </w:r>
      <w:r>
        <w:rPr>
          <w:rFonts w:hint="eastAsia" w:ascii="宋体" w:hAnsi="宋体"/>
          <w:szCs w:val="21"/>
        </w:rPr>
        <w:t>评审委员会</w:t>
      </w:r>
      <w:r>
        <w:rPr>
          <w:rFonts w:hint="eastAsia" w:ascii="宋体" w:hAnsi="宋体"/>
        </w:rPr>
        <w:t>评审对招标文件作实质响应的供应商不足等原因造成公开招标失败，可由</w:t>
      </w:r>
      <w:r>
        <w:rPr>
          <w:rFonts w:hint="eastAsia" w:ascii="宋体" w:hAnsi="宋体" w:cs="宋体"/>
        </w:rPr>
        <w:t>政府集中采购机构</w:t>
      </w:r>
      <w:r>
        <w:rPr>
          <w:rFonts w:hint="eastAsia" w:ascii="宋体" w:hAnsi="宋体"/>
        </w:rPr>
        <w:t>重新组织采购。</w:t>
      </w:r>
    </w:p>
    <w:p w14:paraId="1EAD59DB">
      <w:pPr>
        <w:ind w:firstLine="411" w:firstLineChars="196"/>
        <w:rPr>
          <w:rFonts w:ascii="宋体" w:hAnsi="宋体"/>
          <w:szCs w:val="21"/>
        </w:rPr>
      </w:pPr>
      <w:r>
        <w:rPr>
          <w:rFonts w:hint="eastAsia" w:ascii="宋体" w:hAnsi="宋体"/>
          <w:szCs w:val="21"/>
        </w:rPr>
        <w:t>42.2对公开招标失败的项目，评审委员会在出具该项目招标失败结论的同时，可以提出重新采购组织形式的建议，以及进一步完善招标文件的资格、技术、商务要求的修改建议。</w:t>
      </w:r>
    </w:p>
    <w:p w14:paraId="30573F4A">
      <w:pPr>
        <w:ind w:firstLine="411" w:firstLineChars="196"/>
        <w:rPr>
          <w:rFonts w:ascii="宋体" w:hAnsi="宋体"/>
          <w:szCs w:val="21"/>
        </w:rPr>
      </w:pPr>
      <w:r>
        <w:rPr>
          <w:rFonts w:hint="eastAsia" w:ascii="宋体" w:hAnsi="宋体"/>
          <w:szCs w:val="21"/>
        </w:rPr>
        <w:t>42.3重新组织采购有以下两种组织形式：</w:t>
      </w:r>
    </w:p>
    <w:p w14:paraId="56DC3036">
      <w:pPr>
        <w:ind w:firstLine="411" w:firstLineChars="196"/>
        <w:rPr>
          <w:rFonts w:ascii="宋体" w:hAnsi="宋体"/>
        </w:rPr>
      </w:pPr>
      <w:r>
        <w:rPr>
          <w:rFonts w:hint="eastAsia" w:ascii="宋体" w:hAnsi="宋体"/>
        </w:rPr>
        <w:t>（1）由政府集中采购机构重新组织公开招标；</w:t>
      </w:r>
    </w:p>
    <w:p w14:paraId="74F6A9A6">
      <w:pPr>
        <w:ind w:firstLine="411" w:firstLineChars="196"/>
        <w:rPr>
          <w:rFonts w:ascii="宋体" w:hAnsi="宋体"/>
        </w:rPr>
      </w:pPr>
      <w:r>
        <w:rPr>
          <w:rFonts w:hint="eastAsia" w:ascii="宋体" w:hAnsi="宋体"/>
        </w:rPr>
        <w:t>（2）根据实际情况需要向同级财政部门提出非公开招标方式申请，经同级财政部门批准，公开招标失败采购项目可转为竞争性谈判或单一来源谈判方式采购。</w:t>
      </w:r>
    </w:p>
    <w:p w14:paraId="38A00906">
      <w:pPr>
        <w:ind w:firstLine="411" w:firstLineChars="196"/>
        <w:rPr>
          <w:rFonts w:ascii="宋体" w:hAnsi="宋体"/>
        </w:rPr>
      </w:pPr>
      <w:r>
        <w:rPr>
          <w:rFonts w:hint="eastAsia" w:ascii="宋体" w:hAnsi="宋体"/>
        </w:rPr>
        <w:t>42.4公开招标失败的采购项目重新组织公开招标，由政府集中采购机构重新按公开招标流程组织采购活动。</w:t>
      </w:r>
    </w:p>
    <w:p w14:paraId="483C2206">
      <w:pPr>
        <w:rPr>
          <w:rFonts w:ascii="宋体" w:hAnsi="宋体"/>
        </w:rPr>
      </w:pPr>
      <w:r>
        <w:rPr>
          <w:rFonts w:hint="eastAsia" w:ascii="黑体" w:hAnsi="宋体" w:eastAsia="黑体"/>
          <w:sz w:val="24"/>
        </w:rPr>
        <w:t xml:space="preserve">    </w:t>
      </w:r>
      <w:r>
        <w:rPr>
          <w:rFonts w:hint="eastAsia" w:ascii="宋体" w:hAnsi="宋体"/>
        </w:rPr>
        <w:t>42.5公开招标失败的采购项目经同级财政部门批准转为竞争性谈判或单一来源谈判方式采购的，按规定要求组织政府采购工作。</w:t>
      </w:r>
    </w:p>
    <w:p w14:paraId="79484E40">
      <w:pPr>
        <w:rPr>
          <w:rFonts w:ascii="黑体" w:hAnsi="宋体" w:eastAsia="黑体"/>
          <w:sz w:val="24"/>
        </w:rPr>
      </w:pPr>
    </w:p>
    <w:p w14:paraId="4FC1D624">
      <w:pPr>
        <w:pStyle w:val="5"/>
        <w:numPr>
          <w:ilvl w:val="0"/>
          <w:numId w:val="14"/>
        </w:numPr>
        <w:spacing w:before="120" w:beforeLines="50" w:after="120" w:afterLines="50"/>
        <w:ind w:left="562" w:hanging="562"/>
        <w:rPr>
          <w:sz w:val="28"/>
          <w:szCs w:val="28"/>
        </w:rPr>
      </w:pPr>
      <w:bookmarkStart w:id="58" w:name="_Hlk72439043"/>
      <w:r>
        <w:rPr>
          <w:rFonts w:hint="eastAsia"/>
          <w:sz w:val="28"/>
          <w:szCs w:val="28"/>
        </w:rPr>
        <w:t>合同的授予与备案</w:t>
      </w:r>
      <w:bookmarkEnd w:id="58"/>
    </w:p>
    <w:p w14:paraId="32C7AAE2">
      <w:pPr>
        <w:rPr>
          <w:rFonts w:ascii="黑体" w:hAnsi="宋体" w:eastAsia="黑体"/>
          <w:sz w:val="24"/>
        </w:rPr>
      </w:pPr>
      <w:bookmarkStart w:id="59" w:name="_Toc73521586"/>
      <w:bookmarkStart w:id="60" w:name="_Toc73517679"/>
      <w:bookmarkStart w:id="61" w:name="_Toc100052408"/>
      <w:bookmarkStart w:id="62" w:name="_Toc73518157"/>
      <w:bookmarkStart w:id="63" w:name="_Toc73521674"/>
      <w:bookmarkStart w:id="64" w:name="_Hlk72439088"/>
      <w:r>
        <w:rPr>
          <w:rFonts w:hint="eastAsia" w:ascii="黑体" w:hAnsi="宋体" w:eastAsia="黑体"/>
          <w:sz w:val="24"/>
        </w:rPr>
        <w:t>43．合同授予标准</w:t>
      </w:r>
      <w:bookmarkEnd w:id="59"/>
      <w:bookmarkEnd w:id="60"/>
      <w:bookmarkEnd w:id="61"/>
      <w:bookmarkEnd w:id="62"/>
      <w:bookmarkEnd w:id="63"/>
    </w:p>
    <w:p w14:paraId="7CB920E3">
      <w:pPr>
        <w:ind w:firstLine="411" w:firstLineChars="196"/>
        <w:rPr>
          <w:rFonts w:ascii="宋体" w:hAnsi="宋体"/>
          <w:szCs w:val="21"/>
        </w:rPr>
      </w:pPr>
      <w:r>
        <w:rPr>
          <w:rFonts w:hint="eastAsia" w:ascii="宋体" w:hAnsi="宋体"/>
          <w:szCs w:val="21"/>
        </w:rPr>
        <w:t>本项目的合同将授予经本招标文件规定评审确定的中标供应商。</w:t>
      </w:r>
    </w:p>
    <w:p w14:paraId="1B6140D1">
      <w:pPr>
        <w:rPr>
          <w:rFonts w:ascii="黑体" w:hAnsi="宋体" w:eastAsia="黑体"/>
          <w:sz w:val="24"/>
        </w:rPr>
      </w:pPr>
      <w:bookmarkStart w:id="65" w:name="_Toc100052409"/>
      <w:bookmarkStart w:id="66" w:name="_Toc73518158"/>
      <w:bookmarkStart w:id="67" w:name="_Toc73521587"/>
      <w:bookmarkStart w:id="68" w:name="_Toc73521675"/>
      <w:bookmarkStart w:id="69" w:name="_Toc73517680"/>
      <w:r>
        <w:rPr>
          <w:rFonts w:hint="eastAsia" w:ascii="黑体" w:hAnsi="宋体" w:eastAsia="黑体"/>
          <w:sz w:val="24"/>
        </w:rPr>
        <w:t>44．</w:t>
      </w:r>
      <w:bookmarkEnd w:id="65"/>
      <w:bookmarkEnd w:id="66"/>
      <w:bookmarkEnd w:id="67"/>
      <w:bookmarkEnd w:id="68"/>
      <w:bookmarkEnd w:id="69"/>
      <w:r>
        <w:rPr>
          <w:rFonts w:hint="eastAsia" w:ascii="黑体" w:hAnsi="宋体" w:eastAsia="黑体"/>
          <w:sz w:val="24"/>
        </w:rPr>
        <w:t>接受和拒绝任何或所有投标的权力</w:t>
      </w:r>
    </w:p>
    <w:p w14:paraId="133A3680">
      <w:pPr>
        <w:ind w:firstLine="411" w:firstLineChars="196"/>
        <w:rPr>
          <w:rFonts w:ascii="宋体" w:hAnsi="宋体"/>
          <w:szCs w:val="21"/>
        </w:rPr>
      </w:pPr>
      <w:r>
        <w:rPr>
          <w:rFonts w:hint="eastAsia" w:ascii="宋体" w:hAnsi="宋体"/>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14:paraId="5B79C082">
      <w:pPr>
        <w:rPr>
          <w:rFonts w:ascii="黑体" w:hAnsi="宋体" w:eastAsia="黑体"/>
          <w:sz w:val="24"/>
        </w:rPr>
      </w:pPr>
      <w:bookmarkStart w:id="70" w:name="_Toc73521677"/>
      <w:bookmarkStart w:id="71" w:name="_Toc100052410"/>
      <w:bookmarkStart w:id="72" w:name="_Toc73517682"/>
      <w:bookmarkStart w:id="73" w:name="_Toc73518160"/>
      <w:bookmarkStart w:id="74" w:name="_Toc73521589"/>
      <w:r>
        <w:rPr>
          <w:rFonts w:hint="eastAsia" w:ascii="黑体" w:hAnsi="宋体" w:eastAsia="黑体"/>
          <w:sz w:val="24"/>
        </w:rPr>
        <w:t>45．合同的签订</w:t>
      </w:r>
      <w:bookmarkEnd w:id="70"/>
      <w:bookmarkEnd w:id="71"/>
      <w:bookmarkEnd w:id="72"/>
      <w:bookmarkEnd w:id="73"/>
      <w:bookmarkEnd w:id="74"/>
    </w:p>
    <w:p w14:paraId="712F6F6D">
      <w:pPr>
        <w:ind w:firstLine="411" w:firstLineChars="196"/>
        <w:rPr>
          <w:rFonts w:ascii="宋体" w:hAnsi="宋体"/>
          <w:szCs w:val="21"/>
        </w:rPr>
      </w:pPr>
      <w:r>
        <w:rPr>
          <w:rFonts w:hint="eastAsia" w:ascii="宋体" w:hAnsi="宋体"/>
          <w:szCs w:val="21"/>
        </w:rPr>
        <w:t>45.1中标人将于中标通知书发出之日起十个工作日内，按照采购文件（招标文件和投标文件等）内容与采购人签订政府采购合同；合同的实质性内容应当符合招标文件的规定；</w:t>
      </w:r>
    </w:p>
    <w:p w14:paraId="22F5B861">
      <w:pPr>
        <w:ind w:firstLine="411" w:firstLineChars="196"/>
        <w:rPr>
          <w:rFonts w:ascii="宋体" w:hAnsi="宋体"/>
          <w:szCs w:val="21"/>
        </w:rPr>
      </w:pPr>
      <w:r>
        <w:rPr>
          <w:rFonts w:hint="eastAsia" w:ascii="宋体" w:hAnsi="宋体"/>
          <w:szCs w:val="21"/>
        </w:rPr>
        <w:t>45.2中标人如不按本通用条款第45</w:t>
      </w:r>
      <w:r>
        <w:rPr>
          <w:rFonts w:ascii="宋体" w:hAnsi="宋体"/>
          <w:szCs w:val="21"/>
        </w:rPr>
        <w:t>.1</w:t>
      </w:r>
      <w:r>
        <w:rPr>
          <w:rFonts w:hint="eastAsia" w:ascii="宋体" w:hAnsi="宋体"/>
          <w:szCs w:val="21"/>
        </w:rPr>
        <w:t>款的规定与采购人签订合同，</w:t>
      </w:r>
      <w:r>
        <w:rPr>
          <w:rFonts w:ascii="宋体" w:hAnsi="宋体" w:cs="宋体"/>
          <w:kern w:val="0"/>
          <w:szCs w:val="21"/>
        </w:rPr>
        <w:t>情节严重的，由</w:t>
      </w:r>
      <w:r>
        <w:rPr>
          <w:rFonts w:hint="eastAsia" w:ascii="宋体" w:hAnsi="宋体" w:cs="宋体"/>
          <w:kern w:val="0"/>
          <w:szCs w:val="21"/>
        </w:rPr>
        <w:t>同级财政</w:t>
      </w:r>
      <w:r>
        <w:rPr>
          <w:rFonts w:ascii="宋体" w:hAnsi="宋体" w:cs="宋体"/>
          <w:kern w:val="0"/>
          <w:szCs w:val="21"/>
        </w:rPr>
        <w:t>部门记入供应商诚信档案，予以通报</w:t>
      </w:r>
      <w:r>
        <w:rPr>
          <w:rFonts w:hint="eastAsia" w:ascii="宋体" w:hAnsi="宋体"/>
          <w:szCs w:val="21"/>
        </w:rPr>
        <w:t>；</w:t>
      </w:r>
    </w:p>
    <w:p w14:paraId="492201E1">
      <w:pPr>
        <w:ind w:firstLine="411" w:firstLineChars="196"/>
        <w:rPr>
          <w:rFonts w:ascii="宋体" w:hAnsi="宋体"/>
          <w:szCs w:val="21"/>
        </w:rPr>
      </w:pPr>
      <w:r>
        <w:rPr>
          <w:rFonts w:hint="eastAsia" w:ascii="宋体" w:hAnsi="宋体"/>
          <w:szCs w:val="21"/>
        </w:rPr>
        <w:t>45.3中标人应当按照合同约定履行义务，完成中标项目，不得将中标项目转让（转包）给他人。</w:t>
      </w:r>
    </w:p>
    <w:p w14:paraId="29F09AE5">
      <w:pPr>
        <w:rPr>
          <w:rFonts w:ascii="黑体" w:hAnsi="宋体" w:eastAsia="黑体"/>
          <w:sz w:val="24"/>
        </w:rPr>
      </w:pPr>
      <w:bookmarkStart w:id="75" w:name="_Toc100052411"/>
      <w:bookmarkStart w:id="76" w:name="_Toc73521590"/>
      <w:bookmarkStart w:id="77" w:name="_Toc73518161"/>
      <w:bookmarkStart w:id="78" w:name="_Toc73517683"/>
      <w:bookmarkStart w:id="79" w:name="_Toc73521678"/>
      <w:r>
        <w:rPr>
          <w:rFonts w:hint="eastAsia" w:ascii="黑体" w:hAnsi="宋体" w:eastAsia="黑体"/>
          <w:sz w:val="24"/>
        </w:rPr>
        <w:t>46．履约担保</w:t>
      </w:r>
      <w:bookmarkEnd w:id="75"/>
      <w:bookmarkEnd w:id="76"/>
      <w:bookmarkEnd w:id="77"/>
      <w:bookmarkEnd w:id="78"/>
      <w:bookmarkEnd w:id="79"/>
    </w:p>
    <w:p w14:paraId="0EB0DB38">
      <w:pPr>
        <w:ind w:firstLine="411" w:firstLineChars="196"/>
        <w:rPr>
          <w:rFonts w:ascii="宋体" w:hAnsi="宋体"/>
          <w:szCs w:val="21"/>
        </w:rPr>
      </w:pPr>
      <w:r>
        <w:rPr>
          <w:rFonts w:hint="eastAsia" w:ascii="宋体" w:hAnsi="宋体"/>
          <w:szCs w:val="21"/>
        </w:rPr>
        <w:t>46.1在签订项目合同的同时，中标人应按“对通用条款的补充内容”中规定的金额向采购人提交履约担保；</w:t>
      </w:r>
    </w:p>
    <w:p w14:paraId="66C49606">
      <w:pPr>
        <w:ind w:firstLine="411" w:firstLineChars="196"/>
        <w:rPr>
          <w:rFonts w:ascii="宋体" w:hAnsi="宋体"/>
          <w:szCs w:val="21"/>
        </w:rPr>
      </w:pPr>
      <w:r>
        <w:rPr>
          <w:rFonts w:hint="eastAsia" w:ascii="宋体" w:hAnsi="宋体"/>
          <w:szCs w:val="21"/>
        </w:rPr>
        <w:t>46.2，允许供应商自主选择以支票、汇票、本票、保函等非现金方式提交履约担保；</w:t>
      </w:r>
      <w:r>
        <w:t>中标</w:t>
      </w:r>
      <w:r>
        <w:rPr>
          <w:rFonts w:hint="eastAsia"/>
        </w:rPr>
        <w:t>人</w:t>
      </w:r>
      <w:r>
        <w:t>提交履约</w:t>
      </w:r>
      <w:r>
        <w:rPr>
          <w:rFonts w:hint="eastAsia"/>
        </w:rPr>
        <w:t>担保不是</w:t>
      </w:r>
      <w:r>
        <w:t>合同签订的</w:t>
      </w:r>
      <w:r>
        <w:rPr>
          <w:rFonts w:hint="eastAsia"/>
        </w:rPr>
        <w:t>前提</w:t>
      </w:r>
      <w:r>
        <w:t>条件，不要求中标</w:t>
      </w:r>
      <w:r>
        <w:rPr>
          <w:rFonts w:hint="eastAsia"/>
        </w:rPr>
        <w:t>人</w:t>
      </w:r>
      <w:r>
        <w:t>提供除法律、法规明确规定外的其他担保</w:t>
      </w:r>
      <w:r>
        <w:rPr>
          <w:rFonts w:hint="eastAsia"/>
        </w:rPr>
        <w:t>。</w:t>
      </w:r>
    </w:p>
    <w:p w14:paraId="178AD1CB">
      <w:pPr>
        <w:rPr>
          <w:rFonts w:ascii="黑体" w:hAnsi="宋体" w:eastAsia="黑体"/>
          <w:sz w:val="24"/>
        </w:rPr>
      </w:pPr>
      <w:r>
        <w:rPr>
          <w:rFonts w:hint="eastAsia" w:ascii="黑体" w:hAnsi="宋体" w:eastAsia="黑体"/>
          <w:sz w:val="24"/>
        </w:rPr>
        <w:t>47. 合同备案</w:t>
      </w:r>
    </w:p>
    <w:p w14:paraId="1F873FA9">
      <w:pPr>
        <w:ind w:firstLine="411" w:firstLineChars="196"/>
        <w:rPr>
          <w:rFonts w:ascii="宋体" w:hAnsi="宋体"/>
          <w:szCs w:val="21"/>
        </w:rPr>
      </w:pPr>
      <w:r>
        <w:rPr>
          <w:rFonts w:hint="eastAsia" w:ascii="宋体" w:hAnsi="宋体" w:eastAsia="宋体" w:cs="Times New Roman"/>
          <w:kern w:val="2"/>
          <w:sz w:val="21"/>
          <w:szCs w:val="21"/>
          <w:lang w:eastAsia="zh-Hans"/>
        </w:rPr>
        <w:t>采购人与中标供应商自中标通知书发出之日起10个工作日内签订政府采购合同，</w:t>
      </w:r>
      <w:r>
        <w:rPr>
          <w:rFonts w:hint="eastAsia" w:ascii="宋体" w:hAnsi="宋体" w:eastAsia="宋体" w:cs="Times New Roman"/>
          <w:kern w:val="2"/>
          <w:sz w:val="21"/>
          <w:szCs w:val="21"/>
          <w:lang w:val="en-US" w:eastAsia="zh-CN"/>
        </w:rPr>
        <w:t>并按财政部门规定提交备案。</w:t>
      </w:r>
    </w:p>
    <w:p w14:paraId="2448A1C1">
      <w:pPr>
        <w:rPr>
          <w:rFonts w:ascii="黑体" w:hAnsi="宋体" w:eastAsia="黑体"/>
          <w:sz w:val="24"/>
        </w:rPr>
      </w:pPr>
      <w:r>
        <w:rPr>
          <w:rFonts w:hint="eastAsia" w:ascii="黑体" w:hAnsi="宋体" w:eastAsia="黑体"/>
          <w:sz w:val="24"/>
        </w:rPr>
        <w:t>48. 合同变更</w:t>
      </w:r>
    </w:p>
    <w:p w14:paraId="334993C0">
      <w:pPr>
        <w:ind w:firstLine="411" w:firstLineChars="196"/>
        <w:rPr>
          <w:rFonts w:ascii="宋体" w:hAnsi="宋体"/>
          <w:szCs w:val="21"/>
        </w:rPr>
      </w:pPr>
      <w:r>
        <w:rPr>
          <w:rFonts w:hint="eastAsia" w:ascii="宋体" w:hAnsi="宋体"/>
          <w:szCs w:val="21"/>
        </w:rPr>
        <w:t>合同变更事宜按《深圳市财政局关于优化政府采购合同备案的通知》（深财发保〔2022〕2号）相关规定执行。</w:t>
      </w:r>
    </w:p>
    <w:p w14:paraId="7F6D7F26">
      <w:pPr>
        <w:rPr>
          <w:rFonts w:ascii="黑体" w:hAnsi="宋体" w:eastAsia="黑体"/>
          <w:sz w:val="24"/>
        </w:rPr>
      </w:pPr>
      <w:r>
        <w:rPr>
          <w:rFonts w:hint="eastAsia" w:ascii="黑体" w:hAnsi="宋体" w:eastAsia="黑体"/>
          <w:sz w:val="24"/>
        </w:rPr>
        <w:t>49. 项目验收</w:t>
      </w:r>
    </w:p>
    <w:p w14:paraId="6489FF0B">
      <w:pPr>
        <w:widowControl/>
        <w:ind w:right="176" w:firstLine="420"/>
        <w:jc w:val="left"/>
        <w:rPr>
          <w:rFonts w:ascii="宋体" w:hAnsi="宋体"/>
        </w:rPr>
      </w:pPr>
      <w:r>
        <w:rPr>
          <w:rFonts w:hint="eastAsia" w:ascii="宋体" w:hAnsi="宋体"/>
        </w:rPr>
        <w:t>49.1采购人应当按照招标文件和合同规定的标准和方法，及时组织验收。</w:t>
      </w:r>
      <w:r>
        <w:rPr>
          <w:rFonts w:ascii="宋体" w:hAnsi="宋体"/>
        </w:rPr>
        <w:t xml:space="preserve"> </w:t>
      </w:r>
    </w:p>
    <w:p w14:paraId="1F446592">
      <w:pPr>
        <w:rPr>
          <w:rFonts w:ascii="黑体" w:hAnsi="宋体" w:eastAsia="黑体"/>
          <w:sz w:val="24"/>
        </w:rPr>
      </w:pPr>
      <w:r>
        <w:rPr>
          <w:rFonts w:hint="eastAsia" w:ascii="黑体" w:hAnsi="宋体" w:eastAsia="黑体"/>
          <w:sz w:val="24"/>
        </w:rPr>
        <w:t>50. 宣传</w:t>
      </w:r>
    </w:p>
    <w:p w14:paraId="3AA999C1">
      <w:pPr>
        <w:ind w:left="210" w:leftChars="100" w:firstLine="411" w:firstLineChars="196"/>
        <w:rPr>
          <w:rFonts w:ascii="宋体" w:hAnsi="宋体"/>
        </w:rPr>
      </w:pPr>
      <w:r>
        <w:rPr>
          <w:rFonts w:hint="eastAsia" w:ascii="宋体" w:hAnsi="宋体"/>
        </w:rPr>
        <w:t>凡与政府采购活动有关的宣传或广告，若当中提及政府采购，</w:t>
      </w:r>
      <w:r>
        <w:rPr>
          <w:rFonts w:ascii="宋体" w:hAnsi="宋体"/>
        </w:rPr>
        <w:t>必须事先将具体对外宣传方案报</w:t>
      </w:r>
      <w:r>
        <w:rPr>
          <w:rFonts w:hint="eastAsia" w:ascii="宋体" w:hAnsi="宋体"/>
        </w:rPr>
        <w:t>同级财政部门</w:t>
      </w:r>
      <w:r>
        <w:rPr>
          <w:rFonts w:ascii="宋体" w:hAnsi="宋体"/>
        </w:rPr>
        <w:t>和</w:t>
      </w:r>
      <w:r>
        <w:rPr>
          <w:rFonts w:hint="eastAsia" w:ascii="宋体" w:hAnsi="宋体"/>
        </w:rPr>
        <w:t>政府集中采购机构</w:t>
      </w:r>
      <w:r>
        <w:rPr>
          <w:rFonts w:ascii="宋体" w:hAnsi="宋体"/>
        </w:rPr>
        <w:t>，并征得其同意。对外市场宣传包括但不限于以下形式：</w:t>
      </w:r>
    </w:p>
    <w:p w14:paraId="29C235CE">
      <w:pPr>
        <w:ind w:left="210" w:leftChars="100" w:firstLine="411" w:firstLineChars="196"/>
        <w:rPr>
          <w:rFonts w:ascii="宋体" w:hAnsi="宋体"/>
        </w:rPr>
      </w:pPr>
      <w:r>
        <w:rPr>
          <w:rFonts w:ascii="宋体" w:hAnsi="宋体"/>
        </w:rPr>
        <w:t>a.名片、宣传册、广告标语等；</w:t>
      </w:r>
    </w:p>
    <w:p w14:paraId="642B7BFC">
      <w:pPr>
        <w:ind w:left="210" w:leftChars="100" w:firstLine="411" w:firstLineChars="196"/>
        <w:rPr>
          <w:rFonts w:ascii="宋体" w:hAnsi="宋体"/>
        </w:rPr>
      </w:pPr>
      <w:r>
        <w:rPr>
          <w:rFonts w:ascii="宋体" w:hAnsi="宋体"/>
        </w:rPr>
        <w:t>b.案例介绍、推广等；</w:t>
      </w:r>
    </w:p>
    <w:p w14:paraId="0FA8E2E6">
      <w:pPr>
        <w:ind w:left="210" w:leftChars="100" w:firstLine="411" w:firstLineChars="196"/>
        <w:rPr>
          <w:rFonts w:ascii="宋体" w:hAnsi="宋体"/>
        </w:rPr>
      </w:pPr>
      <w:r>
        <w:rPr>
          <w:rFonts w:hint="eastAsia" w:ascii="宋体" w:hAnsi="宋体"/>
        </w:rPr>
        <w:t>c.工作</w:t>
      </w:r>
      <w:r>
        <w:rPr>
          <w:rFonts w:ascii="宋体" w:hAnsi="宋体"/>
        </w:rPr>
        <w:t>人员向其他消费群体宣传。</w:t>
      </w:r>
    </w:p>
    <w:p w14:paraId="28BFDB1D">
      <w:pPr>
        <w:rPr>
          <w:rFonts w:ascii="黑体" w:hAnsi="宋体" w:eastAsia="黑体"/>
          <w:sz w:val="24"/>
        </w:rPr>
      </w:pPr>
      <w:r>
        <w:rPr>
          <w:rFonts w:hint="eastAsia" w:ascii="黑体" w:hAnsi="宋体" w:eastAsia="黑体"/>
          <w:sz w:val="24"/>
        </w:rPr>
        <w:t>51. 供应商违法责任</w:t>
      </w:r>
    </w:p>
    <w:p w14:paraId="0BF75337">
      <w:pPr>
        <w:ind w:firstLine="411" w:firstLineChars="196"/>
        <w:rPr>
          <w:rFonts w:ascii="宋体" w:hAnsi="宋体"/>
          <w:szCs w:val="21"/>
        </w:rPr>
      </w:pPr>
      <w:r>
        <w:rPr>
          <w:rFonts w:hint="eastAsia" w:ascii="宋体" w:hAnsi="宋体"/>
          <w:szCs w:val="21"/>
        </w:rPr>
        <w:t>5</w:t>
      </w:r>
      <w:r>
        <w:rPr>
          <w:rFonts w:ascii="宋体" w:hAnsi="宋体"/>
          <w:szCs w:val="21"/>
        </w:rPr>
        <w:t>1.1</w:t>
      </w:r>
      <w:r>
        <w:rPr>
          <w:rFonts w:hint="eastAsia" w:ascii="宋体" w:hAnsi="宋体"/>
          <w:szCs w:val="21"/>
        </w:rPr>
        <w:t>《深圳经济特区政府采购条例》第五十七条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14:paraId="2089B8C3">
      <w:pPr>
        <w:ind w:firstLine="411" w:firstLineChars="196"/>
        <w:rPr>
          <w:rFonts w:ascii="宋体" w:hAnsi="宋体"/>
          <w:szCs w:val="21"/>
        </w:rPr>
      </w:pPr>
      <w:r>
        <w:rPr>
          <w:rFonts w:hint="eastAsia" w:ascii="宋体" w:hAnsi="宋体"/>
          <w:szCs w:val="21"/>
        </w:rPr>
        <w:t>（1）在采购活动中应当回避而未回避的；</w:t>
      </w:r>
    </w:p>
    <w:p w14:paraId="28C5A734">
      <w:pPr>
        <w:ind w:firstLine="411" w:firstLineChars="196"/>
        <w:rPr>
          <w:rFonts w:ascii="宋体" w:hAnsi="宋体"/>
          <w:szCs w:val="21"/>
        </w:rPr>
      </w:pPr>
      <w:r>
        <w:rPr>
          <w:rFonts w:hint="eastAsia" w:ascii="宋体" w:hAnsi="宋体"/>
          <w:szCs w:val="21"/>
        </w:rPr>
        <w:t>（2）未按本条例规定签订、履行采购合同，造成严重后果的；</w:t>
      </w:r>
    </w:p>
    <w:p w14:paraId="5D3BFA9D">
      <w:pPr>
        <w:ind w:firstLine="411" w:firstLineChars="196"/>
        <w:rPr>
          <w:rFonts w:ascii="宋体" w:hAnsi="宋体"/>
          <w:szCs w:val="21"/>
        </w:rPr>
      </w:pPr>
      <w:r>
        <w:rPr>
          <w:rFonts w:hint="eastAsia" w:ascii="宋体" w:hAnsi="宋体"/>
          <w:szCs w:val="21"/>
        </w:rPr>
        <w:t>（3）隐瞒真实情况，提供虚假资料的；</w:t>
      </w:r>
    </w:p>
    <w:p w14:paraId="61B5F879">
      <w:pPr>
        <w:ind w:firstLine="411" w:firstLineChars="196"/>
        <w:rPr>
          <w:rFonts w:ascii="宋体" w:hAnsi="宋体"/>
          <w:szCs w:val="21"/>
        </w:rPr>
      </w:pPr>
      <w:r>
        <w:rPr>
          <w:rFonts w:hint="eastAsia" w:ascii="宋体" w:hAnsi="宋体"/>
          <w:szCs w:val="21"/>
        </w:rPr>
        <w:t>（4）以非法手段排斥其他供应商参与竞争的；</w:t>
      </w:r>
    </w:p>
    <w:p w14:paraId="11B75914">
      <w:pPr>
        <w:ind w:firstLine="411" w:firstLineChars="196"/>
        <w:rPr>
          <w:rFonts w:ascii="宋体" w:hAnsi="宋体"/>
          <w:szCs w:val="21"/>
        </w:rPr>
      </w:pPr>
      <w:r>
        <w:rPr>
          <w:rFonts w:hint="eastAsia" w:ascii="宋体" w:hAnsi="宋体"/>
          <w:szCs w:val="21"/>
        </w:rPr>
        <w:t>（5）与其他采购参加人串通投标的；</w:t>
      </w:r>
    </w:p>
    <w:p w14:paraId="44019737">
      <w:pPr>
        <w:ind w:firstLine="411" w:firstLineChars="196"/>
        <w:rPr>
          <w:rFonts w:ascii="宋体" w:hAnsi="宋体"/>
          <w:szCs w:val="21"/>
        </w:rPr>
      </w:pPr>
      <w:r>
        <w:rPr>
          <w:rFonts w:hint="eastAsia" w:ascii="宋体" w:hAnsi="宋体"/>
          <w:szCs w:val="21"/>
        </w:rPr>
        <w:t>（6）恶意投诉的；</w:t>
      </w:r>
    </w:p>
    <w:p w14:paraId="245F8F5E">
      <w:pPr>
        <w:ind w:firstLine="411" w:firstLineChars="196"/>
        <w:rPr>
          <w:rFonts w:ascii="宋体" w:hAnsi="宋体"/>
          <w:szCs w:val="21"/>
        </w:rPr>
      </w:pPr>
      <w:r>
        <w:rPr>
          <w:rFonts w:hint="eastAsia" w:ascii="宋体" w:hAnsi="宋体"/>
          <w:szCs w:val="21"/>
        </w:rPr>
        <w:t>（7）向采购项目相关人行贿或者提供其他不当利益的；</w:t>
      </w:r>
    </w:p>
    <w:p w14:paraId="09F6DFE6">
      <w:pPr>
        <w:ind w:firstLine="411" w:firstLineChars="196"/>
        <w:rPr>
          <w:rFonts w:ascii="宋体" w:hAnsi="宋体"/>
          <w:szCs w:val="21"/>
        </w:rPr>
      </w:pPr>
      <w:r>
        <w:rPr>
          <w:rFonts w:hint="eastAsia" w:ascii="宋体" w:hAnsi="宋体"/>
          <w:szCs w:val="21"/>
        </w:rPr>
        <w:t>（8）阻碍、抗拒主管部门监督检查的；</w:t>
      </w:r>
    </w:p>
    <w:p w14:paraId="2038BBF3">
      <w:pPr>
        <w:ind w:firstLine="411" w:firstLineChars="196"/>
        <w:rPr>
          <w:rFonts w:ascii="宋体" w:hAnsi="宋体"/>
          <w:szCs w:val="21"/>
        </w:rPr>
      </w:pPr>
      <w:r>
        <w:rPr>
          <w:rFonts w:hint="eastAsia" w:ascii="宋体" w:hAnsi="宋体"/>
          <w:szCs w:val="21"/>
        </w:rPr>
        <w:t>（9）其他违反本条例规定的行为。</w:t>
      </w:r>
    </w:p>
    <w:p w14:paraId="004652BE">
      <w:pPr>
        <w:ind w:firstLine="411" w:firstLineChars="196"/>
        <w:rPr>
          <w:rFonts w:ascii="宋体" w:hAnsi="宋体"/>
          <w:szCs w:val="21"/>
        </w:rPr>
      </w:pPr>
      <w:r>
        <w:rPr>
          <w:rFonts w:hint="eastAsia" w:ascii="宋体" w:hAnsi="宋体"/>
          <w:szCs w:val="21"/>
        </w:rPr>
        <w:t>5</w:t>
      </w:r>
      <w:r>
        <w:rPr>
          <w:rFonts w:ascii="宋体" w:hAnsi="宋体"/>
          <w:szCs w:val="21"/>
        </w:rPr>
        <w:t xml:space="preserve">1.2 </w:t>
      </w:r>
      <w:r>
        <w:rPr>
          <w:rFonts w:hint="eastAsia" w:ascii="宋体" w:hAnsi="宋体"/>
          <w:szCs w:val="21"/>
        </w:rPr>
        <w:t>根据《深圳市财政局关于调整政府采购投标（响应）保证金管理政策的通知 》（深财购〔2021〕51号）的要求，供应商在政府采购活动中出现《深圳经济特区政府采购条例实施细则》第八十条所列情形的，</w:t>
      </w:r>
      <w:bookmarkStart w:id="80" w:name="_Hlk72440769"/>
      <w:r>
        <w:rPr>
          <w:rFonts w:hint="eastAsia" w:ascii="宋体" w:hAnsi="宋体"/>
          <w:szCs w:val="21"/>
        </w:rPr>
        <w:t>政府集中采购机构或采购人不予退还其交纳的谈判保证金，情节严重的，并由主管部门</w:t>
      </w:r>
      <w:bookmarkEnd w:id="80"/>
      <w:r>
        <w:rPr>
          <w:rFonts w:hint="eastAsia" w:ascii="宋体" w:hAnsi="宋体"/>
          <w:szCs w:val="21"/>
        </w:rPr>
        <w:t>记入供应商诚信档案，予以通报：</w:t>
      </w:r>
    </w:p>
    <w:p w14:paraId="06FEE14C">
      <w:pPr>
        <w:ind w:firstLine="411" w:firstLineChars="196"/>
        <w:rPr>
          <w:rFonts w:ascii="宋体" w:hAnsi="宋体"/>
          <w:szCs w:val="21"/>
        </w:rPr>
      </w:pPr>
      <w:r>
        <w:rPr>
          <w:rFonts w:hint="eastAsia" w:ascii="宋体" w:hAnsi="宋体"/>
          <w:szCs w:val="21"/>
        </w:rPr>
        <w:t>（1</w:t>
      </w:r>
      <w:r>
        <w:rPr>
          <w:rFonts w:ascii="宋体" w:hAnsi="宋体"/>
          <w:szCs w:val="21"/>
        </w:rPr>
        <w:t>）投标截止后，撤销投标的；</w:t>
      </w:r>
    </w:p>
    <w:p w14:paraId="3A1ACF91">
      <w:pPr>
        <w:ind w:firstLine="411" w:firstLineChars="196"/>
        <w:rPr>
          <w:rFonts w:ascii="宋体" w:hAnsi="宋体"/>
          <w:szCs w:val="21"/>
        </w:rPr>
      </w:pPr>
      <w:r>
        <w:rPr>
          <w:rFonts w:ascii="宋体" w:hAnsi="宋体"/>
          <w:szCs w:val="21"/>
        </w:rPr>
        <w:t>（</w:t>
      </w:r>
      <w:r>
        <w:rPr>
          <w:rFonts w:hint="eastAsia" w:ascii="宋体" w:hAnsi="宋体"/>
          <w:szCs w:val="21"/>
        </w:rPr>
        <w:t>2</w:t>
      </w:r>
      <w:r>
        <w:rPr>
          <w:rFonts w:ascii="宋体" w:hAnsi="宋体"/>
          <w:szCs w:val="21"/>
        </w:rPr>
        <w:t>）中标后无正当理由未在规定期限内签订合同的；</w:t>
      </w:r>
    </w:p>
    <w:p w14:paraId="12B2C75C">
      <w:pPr>
        <w:ind w:firstLine="411" w:firstLineChars="196"/>
        <w:rPr>
          <w:rFonts w:ascii="宋体" w:hAnsi="宋体"/>
          <w:szCs w:val="21"/>
        </w:rPr>
      </w:pPr>
      <w:r>
        <w:rPr>
          <w:rFonts w:ascii="宋体" w:hAnsi="宋体"/>
          <w:szCs w:val="21"/>
        </w:rPr>
        <w:t>（</w:t>
      </w:r>
      <w:r>
        <w:rPr>
          <w:rFonts w:hint="eastAsia" w:ascii="宋体" w:hAnsi="宋体"/>
          <w:szCs w:val="21"/>
        </w:rPr>
        <w:t>3</w:t>
      </w:r>
      <w:r>
        <w:rPr>
          <w:rFonts w:ascii="宋体" w:hAnsi="宋体"/>
          <w:szCs w:val="21"/>
        </w:rPr>
        <w:t>）将中标项目转让给他人、或者在投标文件中未说明且未经采购人、采购招标机构同意，将中标项目分包给他人的；</w:t>
      </w:r>
    </w:p>
    <w:p w14:paraId="268B6613">
      <w:pPr>
        <w:ind w:firstLine="411" w:firstLineChars="196"/>
        <w:rPr>
          <w:rFonts w:ascii="宋体" w:hAnsi="宋体"/>
          <w:szCs w:val="21"/>
        </w:rPr>
      </w:pPr>
      <w:r>
        <w:rPr>
          <w:rFonts w:ascii="宋体" w:hAnsi="宋体"/>
          <w:szCs w:val="21"/>
        </w:rPr>
        <w:t>（</w:t>
      </w:r>
      <w:r>
        <w:rPr>
          <w:rFonts w:hint="eastAsia" w:ascii="宋体" w:hAnsi="宋体"/>
          <w:szCs w:val="21"/>
        </w:rPr>
        <w:t>4</w:t>
      </w:r>
      <w:r>
        <w:rPr>
          <w:rFonts w:ascii="宋体" w:hAnsi="宋体"/>
          <w:szCs w:val="21"/>
        </w:rPr>
        <w:t>）拒绝履行合同义务的</w:t>
      </w:r>
      <w:r>
        <w:rPr>
          <w:rFonts w:hint="eastAsia" w:ascii="宋体" w:hAnsi="宋体"/>
          <w:szCs w:val="21"/>
        </w:rPr>
        <w:t>。</w:t>
      </w:r>
    </w:p>
    <w:bookmarkEnd w:id="64"/>
    <w:p w14:paraId="7B2B1A7F">
      <w:pPr>
        <w:pStyle w:val="5"/>
        <w:numPr>
          <w:ilvl w:val="0"/>
          <w:numId w:val="14"/>
        </w:numPr>
        <w:spacing w:before="120" w:beforeLines="50" w:after="120" w:afterLines="50"/>
        <w:ind w:left="562" w:hanging="562"/>
        <w:rPr>
          <w:sz w:val="28"/>
          <w:szCs w:val="28"/>
        </w:rPr>
      </w:pPr>
      <w:r>
        <w:rPr>
          <w:rFonts w:hint="eastAsia"/>
          <w:sz w:val="28"/>
          <w:szCs w:val="28"/>
        </w:rPr>
        <w:t>质疑处理</w:t>
      </w:r>
    </w:p>
    <w:p w14:paraId="2B67EAEF">
      <w:pPr>
        <w:rPr>
          <w:rFonts w:ascii="黑体" w:hAnsi="宋体" w:eastAsia="黑体"/>
          <w:sz w:val="24"/>
        </w:rPr>
      </w:pPr>
      <w:bookmarkStart w:id="81" w:name="_Hlk72439706"/>
      <w:r>
        <w:rPr>
          <w:rFonts w:hint="eastAsia" w:ascii="黑体" w:hAnsi="宋体" w:eastAsia="黑体"/>
          <w:sz w:val="24"/>
        </w:rPr>
        <w:t>52.质疑提出与答复</w:t>
      </w:r>
    </w:p>
    <w:p w14:paraId="05A6D88D">
      <w:pPr>
        <w:rPr>
          <w:rFonts w:ascii="宋体" w:hAnsi="宋体"/>
          <w:szCs w:val="21"/>
        </w:rPr>
      </w:pPr>
      <w:r>
        <w:rPr>
          <w:rFonts w:hint="eastAsia" w:ascii="宋体" w:hAnsi="宋体"/>
          <w:szCs w:val="21"/>
        </w:rPr>
        <w:t xml:space="preserve">    52.1提出质疑</w:t>
      </w:r>
    </w:p>
    <w:p w14:paraId="1A528F6C">
      <w:pPr>
        <w:rPr>
          <w:rFonts w:ascii="宋体" w:hAnsi="宋体"/>
          <w:szCs w:val="21"/>
        </w:rPr>
      </w:pPr>
      <w:r>
        <w:rPr>
          <w:rFonts w:hint="eastAsia" w:ascii="宋体" w:hAnsi="宋体"/>
          <w:szCs w:val="21"/>
        </w:rPr>
        <w:t xml:space="preserve">    参与政府采购活动的供应商认为自己的权益在采购活动中受到损害的，应当自知道或者应当知道其权益受到损害之日起七个工作日内向采购人、政府集中采购机构以书面形式提出质疑。</w:t>
      </w:r>
    </w:p>
    <w:p w14:paraId="41B5CC7A">
      <w:pPr>
        <w:rPr>
          <w:rFonts w:ascii="宋体" w:hAnsi="宋体"/>
          <w:szCs w:val="21"/>
        </w:rPr>
      </w:pPr>
      <w:r>
        <w:rPr>
          <w:rFonts w:hint="eastAsia" w:ascii="宋体" w:hAnsi="宋体"/>
          <w:szCs w:val="21"/>
        </w:rPr>
        <w:t xml:space="preserve">    52.2</w:t>
      </w:r>
      <w:r>
        <w:rPr>
          <w:rFonts w:ascii="宋体" w:hAnsi="宋体"/>
          <w:szCs w:val="21"/>
        </w:rPr>
        <w:t>法律依据</w:t>
      </w:r>
    </w:p>
    <w:p w14:paraId="394DF2F7">
      <w:pPr>
        <w:rPr>
          <w:rFonts w:ascii="宋体" w:hAnsi="宋体"/>
          <w:szCs w:val="21"/>
        </w:rPr>
      </w:pPr>
      <w:r>
        <w:rPr>
          <w:rFonts w:hint="eastAsia" w:ascii="宋体" w:hAnsi="宋体"/>
          <w:szCs w:val="21"/>
        </w:rPr>
        <w:t xml:space="preserve">    《中华人民共和国政府采购法》、《中华人民共和国政府采购法实施条例》、</w:t>
      </w:r>
      <w:r>
        <w:rPr>
          <w:rFonts w:ascii="宋体" w:hAnsi="宋体"/>
          <w:szCs w:val="21"/>
        </w:rPr>
        <w:t>《</w:t>
      </w:r>
      <w:r>
        <w:rPr>
          <w:rFonts w:hint="eastAsia" w:ascii="宋体" w:hAnsi="宋体"/>
          <w:szCs w:val="21"/>
        </w:rPr>
        <w:t>深圳经济特区政府采购</w:t>
      </w:r>
      <w:r>
        <w:rPr>
          <w:rFonts w:ascii="宋体" w:hAnsi="宋体"/>
          <w:szCs w:val="21"/>
        </w:rPr>
        <w:t>条例</w:t>
      </w:r>
      <w:r>
        <w:rPr>
          <w:rFonts w:hint="eastAsia" w:ascii="宋体" w:hAnsi="宋体"/>
          <w:szCs w:val="21"/>
        </w:rPr>
        <w:t>》、《深圳经济特区政府采购条例实施细则》、《政府采购质疑和投诉办法》（财政部令第94号）和其他有关法律法规规定。</w:t>
      </w:r>
    </w:p>
    <w:p w14:paraId="0F36CB25">
      <w:pPr>
        <w:rPr>
          <w:rFonts w:ascii="宋体" w:hAnsi="宋体"/>
          <w:szCs w:val="21"/>
        </w:rPr>
      </w:pPr>
      <w:r>
        <w:rPr>
          <w:rFonts w:hint="eastAsia" w:ascii="宋体" w:hAnsi="宋体"/>
          <w:szCs w:val="21"/>
        </w:rPr>
        <w:t xml:space="preserve">  </w:t>
      </w:r>
      <w:r>
        <w:rPr>
          <w:rFonts w:hint="eastAsia" w:ascii="宋体" w:hAnsi="宋体"/>
          <w:color w:val="FF0000"/>
          <w:szCs w:val="21"/>
        </w:rPr>
        <w:t xml:space="preserve">  </w:t>
      </w:r>
      <w:r>
        <w:rPr>
          <w:rFonts w:hint="eastAsia" w:ascii="宋体" w:hAnsi="宋体"/>
          <w:szCs w:val="21"/>
        </w:rPr>
        <w:t>52.3质疑条件</w:t>
      </w:r>
    </w:p>
    <w:p w14:paraId="266278F3">
      <w:pPr>
        <w:rPr>
          <w:rFonts w:ascii="宋体" w:hAnsi="宋体"/>
          <w:szCs w:val="21"/>
        </w:rPr>
      </w:pPr>
      <w:r>
        <w:rPr>
          <w:rFonts w:hint="eastAsia" w:ascii="宋体" w:hAnsi="宋体"/>
          <w:szCs w:val="21"/>
        </w:rPr>
        <w:t xml:space="preserve">    52.3.1提出质疑的供应商应当是参与所质疑项目采购活动的供应商；以联合体形式参与的，质疑应当由组成联合体的所有成员共同提出；</w:t>
      </w:r>
    </w:p>
    <w:p w14:paraId="0BA9E135">
      <w:pPr>
        <w:rPr>
          <w:rFonts w:ascii="宋体" w:hAnsi="宋体"/>
          <w:szCs w:val="21"/>
        </w:rPr>
      </w:pPr>
      <w:r>
        <w:rPr>
          <w:rFonts w:hint="eastAsia" w:ascii="宋体" w:hAnsi="宋体"/>
          <w:szCs w:val="21"/>
        </w:rPr>
        <w:t xml:space="preserve">   52.3.2应当在法定质疑期内一次性提出针对同一采购程序环节的质疑，法定质疑期为自知道或应当知道权益受到损害之日起7个工作日内。应当知道其权益受到损害之日是指：对</w:t>
      </w:r>
      <w:r>
        <w:rPr>
          <w:rFonts w:hint="eastAsia" w:ascii="宋体" w:hAnsi="宋体"/>
          <w:szCs w:val="21"/>
          <w:lang w:val="en-US" w:eastAsia="zh-CN"/>
        </w:rPr>
        <w:t>采购</w:t>
      </w:r>
      <w:r>
        <w:rPr>
          <w:rFonts w:hint="eastAsia" w:ascii="宋体" w:hAnsi="宋体"/>
          <w:szCs w:val="21"/>
        </w:rPr>
        <w:t>文件的质疑，为</w:t>
      </w:r>
      <w:r>
        <w:rPr>
          <w:rFonts w:hint="eastAsia" w:ascii="宋体" w:hAnsi="宋体"/>
          <w:szCs w:val="21"/>
          <w:lang w:val="en-US" w:eastAsia="zh-CN"/>
        </w:rPr>
        <w:t>采购</w:t>
      </w:r>
      <w:r>
        <w:rPr>
          <w:rFonts w:hint="eastAsia" w:ascii="宋体" w:hAnsi="宋体"/>
          <w:szCs w:val="21"/>
        </w:rPr>
        <w:t>文件公布之日；对采购过程的质疑，为各采购程序环节结束之日；对中标</w:t>
      </w:r>
      <w:r>
        <w:rPr>
          <w:rFonts w:hint="eastAsia" w:ascii="宋体" w:hAnsi="宋体"/>
          <w:szCs w:val="21"/>
          <w:lang w:eastAsia="zh-CN"/>
        </w:rPr>
        <w:t>（</w:t>
      </w:r>
      <w:r>
        <w:rPr>
          <w:rFonts w:hint="eastAsia" w:ascii="宋体" w:hAnsi="宋体"/>
          <w:szCs w:val="21"/>
          <w:lang w:val="en-US" w:eastAsia="zh-CN"/>
        </w:rPr>
        <w:t>成交</w:t>
      </w:r>
      <w:r>
        <w:rPr>
          <w:rFonts w:hint="eastAsia" w:ascii="宋体" w:hAnsi="宋体"/>
          <w:szCs w:val="21"/>
          <w:lang w:eastAsia="zh-CN"/>
        </w:rPr>
        <w:t>）</w:t>
      </w:r>
      <w:r>
        <w:rPr>
          <w:rFonts w:hint="eastAsia" w:ascii="宋体" w:hAnsi="宋体"/>
          <w:szCs w:val="21"/>
        </w:rPr>
        <w:t>结果以及评审委员会组成人员的质疑，为中标</w:t>
      </w:r>
      <w:r>
        <w:rPr>
          <w:rFonts w:hint="eastAsia" w:ascii="宋体" w:hAnsi="宋体"/>
          <w:szCs w:val="21"/>
          <w:lang w:eastAsia="zh-CN"/>
        </w:rPr>
        <w:t>（</w:t>
      </w:r>
      <w:r>
        <w:rPr>
          <w:rFonts w:hint="eastAsia" w:ascii="宋体" w:hAnsi="宋体"/>
          <w:szCs w:val="21"/>
          <w:lang w:val="en-US" w:eastAsia="zh-CN"/>
        </w:rPr>
        <w:t>成交</w:t>
      </w:r>
      <w:r>
        <w:rPr>
          <w:rFonts w:hint="eastAsia" w:ascii="宋体" w:hAnsi="宋体"/>
          <w:szCs w:val="21"/>
          <w:lang w:eastAsia="zh-CN"/>
        </w:rPr>
        <w:t>）</w:t>
      </w:r>
      <w:r>
        <w:rPr>
          <w:rFonts w:hint="eastAsia" w:ascii="宋体" w:hAnsi="宋体"/>
          <w:szCs w:val="21"/>
        </w:rPr>
        <w:t>结果公示之日；</w:t>
      </w:r>
    </w:p>
    <w:p w14:paraId="1AEC234D">
      <w:pPr>
        <w:ind w:firstLine="420"/>
        <w:rPr>
          <w:rFonts w:ascii="宋体" w:hAnsi="宋体"/>
          <w:szCs w:val="21"/>
        </w:rPr>
      </w:pPr>
      <w:r>
        <w:rPr>
          <w:rFonts w:hint="eastAsia" w:ascii="宋体" w:hAnsi="宋体"/>
          <w:szCs w:val="21"/>
        </w:rPr>
        <w:t>52.3.3应提交书面质疑函，质疑函应当包括以下内容：</w:t>
      </w:r>
      <w:r>
        <w:rPr>
          <w:rFonts w:ascii="宋体" w:hAnsi="宋体"/>
          <w:szCs w:val="21"/>
        </w:rPr>
        <w:t xml:space="preserve"> </w:t>
      </w:r>
    </w:p>
    <w:p w14:paraId="1ADF9108">
      <w:pPr>
        <w:ind w:firstLine="420"/>
        <w:rPr>
          <w:rFonts w:ascii="宋体" w:hAnsi="宋体"/>
          <w:szCs w:val="21"/>
        </w:rPr>
      </w:pPr>
      <w:r>
        <w:rPr>
          <w:rFonts w:hint="eastAsia" w:ascii="宋体" w:hAnsi="宋体"/>
          <w:szCs w:val="21"/>
        </w:rPr>
        <w:t>（1）供应商的名称（或者姓名）、地址、邮编、邮箱、联系人及联系电话；</w:t>
      </w:r>
    </w:p>
    <w:p w14:paraId="3738D7D8">
      <w:pPr>
        <w:ind w:firstLine="420" w:firstLineChars="200"/>
        <w:rPr>
          <w:rFonts w:ascii="宋体" w:hAnsi="宋体"/>
          <w:szCs w:val="21"/>
        </w:rPr>
      </w:pPr>
      <w:r>
        <w:rPr>
          <w:rFonts w:hint="eastAsia" w:ascii="宋体" w:hAnsi="宋体"/>
          <w:szCs w:val="21"/>
        </w:rPr>
        <w:t>（2）质疑项目的名称、编号；</w:t>
      </w:r>
    </w:p>
    <w:p w14:paraId="4F494E12">
      <w:pPr>
        <w:ind w:firstLine="420" w:firstLineChars="200"/>
        <w:rPr>
          <w:rFonts w:ascii="宋体" w:hAnsi="宋体"/>
          <w:szCs w:val="21"/>
        </w:rPr>
      </w:pPr>
      <w:r>
        <w:rPr>
          <w:rFonts w:hint="eastAsia" w:ascii="宋体" w:hAnsi="宋体"/>
          <w:szCs w:val="21"/>
        </w:rPr>
        <w:t>（3）具体、明确的质疑对象、质疑事项和质疑请求；</w:t>
      </w:r>
    </w:p>
    <w:p w14:paraId="75701F1F">
      <w:pPr>
        <w:ind w:firstLine="420" w:firstLineChars="200"/>
        <w:rPr>
          <w:rFonts w:ascii="宋体" w:hAnsi="宋体"/>
          <w:szCs w:val="21"/>
        </w:rPr>
      </w:pPr>
      <w:r>
        <w:rPr>
          <w:rFonts w:hint="eastAsia" w:ascii="宋体" w:hAnsi="宋体"/>
          <w:szCs w:val="21"/>
        </w:rPr>
        <w:t>（4）因质疑事项而受损害的权益；</w:t>
      </w:r>
    </w:p>
    <w:p w14:paraId="0A67845B">
      <w:pPr>
        <w:ind w:firstLine="420" w:firstLineChars="200"/>
        <w:rPr>
          <w:rFonts w:ascii="宋体" w:hAnsi="宋体"/>
          <w:szCs w:val="21"/>
        </w:rPr>
      </w:pPr>
      <w:r>
        <w:rPr>
          <w:rFonts w:hint="eastAsia" w:ascii="宋体" w:hAnsi="宋体"/>
          <w:szCs w:val="21"/>
        </w:rPr>
        <w:t>（5）事实依据；</w:t>
      </w:r>
    </w:p>
    <w:p w14:paraId="3625F160">
      <w:pPr>
        <w:ind w:firstLine="420" w:firstLineChars="200"/>
        <w:rPr>
          <w:rFonts w:ascii="宋体" w:hAnsi="宋体"/>
          <w:szCs w:val="21"/>
        </w:rPr>
      </w:pPr>
      <w:r>
        <w:rPr>
          <w:rFonts w:hint="eastAsia" w:ascii="宋体" w:hAnsi="宋体"/>
          <w:szCs w:val="21"/>
        </w:rPr>
        <w:t>（6）必要的法律依据；</w:t>
      </w:r>
    </w:p>
    <w:p w14:paraId="66270591">
      <w:pPr>
        <w:ind w:firstLine="420" w:firstLineChars="200"/>
        <w:rPr>
          <w:rFonts w:ascii="宋体" w:hAnsi="宋体"/>
          <w:szCs w:val="21"/>
        </w:rPr>
      </w:pPr>
      <w:r>
        <w:rPr>
          <w:rFonts w:hint="eastAsia" w:ascii="宋体" w:hAnsi="宋体"/>
          <w:szCs w:val="21"/>
        </w:rPr>
        <w:t>（7）提出质疑的日期。</w:t>
      </w:r>
    </w:p>
    <w:p w14:paraId="191FA8A6">
      <w:pPr>
        <w:ind w:firstLine="420" w:firstLineChars="200"/>
        <w:rPr>
          <w:rFonts w:ascii="宋体" w:hAnsi="宋体"/>
          <w:szCs w:val="21"/>
        </w:rPr>
      </w:pPr>
      <w:r>
        <w:rPr>
          <w:rFonts w:hint="eastAsia" w:ascii="宋体" w:hAnsi="宋体"/>
          <w:szCs w:val="21"/>
        </w:rPr>
        <w:t>供应商为自然人的，应当由本人签字；供应商为法人或者其他组织的，应当由法定代表人（负责人），或者其授权代理人签字或者盖章，并加盖公章。</w:t>
      </w:r>
    </w:p>
    <w:p w14:paraId="284739C9">
      <w:pPr>
        <w:ind w:firstLine="420" w:firstLineChars="200"/>
        <w:rPr>
          <w:rFonts w:ascii="宋体" w:hAnsi="宋体"/>
          <w:szCs w:val="21"/>
        </w:rPr>
      </w:pPr>
      <w:r>
        <w:rPr>
          <w:rFonts w:hint="eastAsia" w:ascii="宋体" w:hAnsi="宋体"/>
          <w:szCs w:val="21"/>
        </w:rPr>
        <w:t>52.4提交</w:t>
      </w:r>
      <w:r>
        <w:rPr>
          <w:rFonts w:ascii="宋体" w:hAnsi="宋体"/>
          <w:szCs w:val="21"/>
        </w:rPr>
        <w:t>材料</w:t>
      </w:r>
    </w:p>
    <w:p w14:paraId="62F86B0A">
      <w:pPr>
        <w:ind w:firstLine="420" w:firstLineChars="200"/>
        <w:rPr>
          <w:rFonts w:ascii="宋体" w:hAnsi="宋体"/>
          <w:szCs w:val="21"/>
        </w:rPr>
      </w:pPr>
      <w:r>
        <w:rPr>
          <w:rFonts w:hint="eastAsia" w:ascii="宋体" w:hAnsi="宋体"/>
          <w:szCs w:val="21"/>
        </w:rPr>
        <w:t>供应商质疑实行实名制。供应商为自然人的，应当提交本人身份证复印件；供应商为法人或者其他组织的，应当根据自身性质提交营业执照复印件或者其他证明文件（如事业单位法人证书等）复印件。</w:t>
      </w:r>
    </w:p>
    <w:p w14:paraId="30023D5C">
      <w:pPr>
        <w:ind w:firstLine="420" w:firstLineChars="200"/>
        <w:rPr>
          <w:rFonts w:ascii="宋体" w:hAnsi="宋体"/>
          <w:szCs w:val="21"/>
        </w:rPr>
      </w:pPr>
      <w:r>
        <w:rPr>
          <w:rFonts w:hint="eastAsia" w:ascii="宋体" w:hAnsi="宋体"/>
          <w:szCs w:val="21"/>
        </w:rPr>
        <w:t>供应商可以委托代理人进行质疑。</w:t>
      </w:r>
      <w:r>
        <w:rPr>
          <w:rFonts w:ascii="宋体" w:hAnsi="宋体"/>
          <w:szCs w:val="21"/>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14:paraId="6E3014C3">
      <w:pPr>
        <w:ind w:firstLine="420" w:firstLineChars="200"/>
        <w:rPr>
          <w:rFonts w:ascii="宋体" w:hAnsi="宋体"/>
          <w:szCs w:val="21"/>
        </w:rPr>
      </w:pPr>
      <w:r>
        <w:rPr>
          <w:rFonts w:hint="eastAsia" w:ascii="宋体" w:hAnsi="宋体"/>
          <w:szCs w:val="21"/>
        </w:rPr>
        <w:t>52.5收文地点</w:t>
      </w:r>
    </w:p>
    <w:p w14:paraId="3E2119FA">
      <w:pPr>
        <w:ind w:firstLine="420" w:firstLineChars="200"/>
        <w:rPr>
          <w:rFonts w:ascii="宋体" w:hAnsi="宋体"/>
          <w:b/>
          <w:bCs/>
          <w:szCs w:val="21"/>
        </w:rPr>
      </w:pPr>
      <w:r>
        <w:rPr>
          <w:rFonts w:hint="eastAsia" w:ascii="宋体" w:hAnsi="宋体"/>
          <w:b/>
          <w:bCs/>
          <w:szCs w:val="21"/>
        </w:rPr>
        <w:t>地址：深圳公共资源交易中心（深圳交易集团有限公司</w:t>
      </w:r>
      <w:r>
        <w:rPr>
          <w:rFonts w:hint="eastAsia" w:ascii="宋体" w:hAnsi="宋体"/>
          <w:b/>
          <w:bCs/>
          <w:szCs w:val="21"/>
          <w:lang w:eastAsia="zh-CN"/>
        </w:rPr>
        <w:t>光明</w:t>
      </w:r>
      <w:r>
        <w:rPr>
          <w:rFonts w:hint="eastAsia" w:ascii="宋体" w:hAnsi="宋体"/>
          <w:b/>
          <w:bCs/>
          <w:szCs w:val="21"/>
        </w:rPr>
        <w:t>分公司）（地址：深圳市光明区光明招商局科技园A3栋B单元8楼）。</w:t>
      </w:r>
    </w:p>
    <w:p w14:paraId="1A06F409">
      <w:pPr>
        <w:ind w:firstLine="420" w:firstLineChars="200"/>
        <w:rPr>
          <w:rFonts w:ascii="宋体" w:hAnsi="宋体"/>
          <w:szCs w:val="21"/>
        </w:rPr>
      </w:pPr>
      <w:r>
        <w:rPr>
          <w:rFonts w:hint="eastAsia" w:ascii="宋体" w:hAnsi="宋体"/>
          <w:szCs w:val="21"/>
        </w:rPr>
        <w:t>52.6收文办理</w:t>
      </w:r>
      <w:r>
        <w:rPr>
          <w:rFonts w:ascii="宋体" w:hAnsi="宋体"/>
          <w:szCs w:val="21"/>
        </w:rPr>
        <w:t>程序</w:t>
      </w:r>
    </w:p>
    <w:p w14:paraId="02F0C50C">
      <w:pPr>
        <w:ind w:firstLine="420" w:firstLineChars="200"/>
        <w:rPr>
          <w:rFonts w:ascii="宋体" w:hAnsi="宋体"/>
          <w:szCs w:val="21"/>
        </w:rPr>
      </w:pPr>
      <w:r>
        <w:rPr>
          <w:rFonts w:hint="eastAsia" w:ascii="宋体" w:hAnsi="宋体"/>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14:paraId="325BC793">
      <w:pPr>
        <w:ind w:firstLine="420" w:firstLineChars="200"/>
        <w:rPr>
          <w:rFonts w:ascii="仿宋" w:hAnsi="仿宋" w:eastAsia="仿宋"/>
          <w:sz w:val="28"/>
          <w:szCs w:val="28"/>
        </w:rPr>
      </w:pPr>
      <w:r>
        <w:rPr>
          <w:rFonts w:hint="eastAsia" w:ascii="宋体" w:hAnsi="宋体"/>
          <w:szCs w:val="21"/>
        </w:rPr>
        <w:t>52.6.2供应商提交的质疑材料不符合质疑条件的，视情况处理：</w:t>
      </w:r>
    </w:p>
    <w:p w14:paraId="3F548C69">
      <w:pPr>
        <w:ind w:firstLine="420" w:firstLineChars="200"/>
        <w:rPr>
          <w:rFonts w:ascii="宋体" w:hAnsi="宋体"/>
          <w:szCs w:val="21"/>
        </w:rPr>
      </w:pPr>
      <w:r>
        <w:rPr>
          <w:rFonts w:hint="eastAsia" w:ascii="宋体" w:hAnsi="宋体"/>
          <w:szCs w:val="21"/>
        </w:rPr>
        <w:t>供应商提交的质疑材料不全或者未按要求签字或者盖章的，政府集中采购机构应当一次性告知供应商需补正的内容和补正期限。</w:t>
      </w:r>
    </w:p>
    <w:p w14:paraId="28CE5D65">
      <w:pPr>
        <w:ind w:firstLine="420" w:firstLineChars="200"/>
        <w:rPr>
          <w:rFonts w:ascii="宋体" w:hAnsi="宋体"/>
          <w:szCs w:val="21"/>
        </w:rPr>
      </w:pPr>
      <w:r>
        <w:rPr>
          <w:rFonts w:hint="eastAsia" w:ascii="宋体" w:hAnsi="宋体"/>
          <w:szCs w:val="21"/>
        </w:rPr>
        <w:t>供应商提交的质疑存在下列情形之一的，不予受理：</w:t>
      </w:r>
    </w:p>
    <w:p w14:paraId="0F607B5C">
      <w:pPr>
        <w:ind w:firstLine="420" w:firstLineChars="200"/>
        <w:rPr>
          <w:rFonts w:ascii="宋体" w:hAnsi="宋体"/>
          <w:szCs w:val="21"/>
        </w:rPr>
      </w:pPr>
      <w:r>
        <w:rPr>
          <w:rFonts w:hint="eastAsia" w:ascii="宋体" w:hAnsi="宋体"/>
          <w:szCs w:val="21"/>
        </w:rPr>
        <w:t>（1）质疑主体不满足要求的；</w:t>
      </w:r>
    </w:p>
    <w:p w14:paraId="309FEF6D">
      <w:pPr>
        <w:ind w:firstLine="420" w:firstLineChars="200"/>
        <w:rPr>
          <w:rFonts w:ascii="宋体" w:hAnsi="宋体"/>
          <w:szCs w:val="21"/>
        </w:rPr>
      </w:pPr>
      <w:r>
        <w:rPr>
          <w:rFonts w:hint="eastAsia" w:ascii="宋体" w:hAnsi="宋体"/>
          <w:szCs w:val="21"/>
        </w:rPr>
        <w:t>（2）供应商自身权益未受到损害的；</w:t>
      </w:r>
    </w:p>
    <w:p w14:paraId="7BD41D66">
      <w:pPr>
        <w:ind w:firstLine="420" w:firstLineChars="200"/>
        <w:rPr>
          <w:rFonts w:ascii="宋体" w:hAnsi="宋体"/>
          <w:szCs w:val="21"/>
        </w:rPr>
      </w:pPr>
      <w:r>
        <w:rPr>
          <w:rFonts w:hint="eastAsia" w:ascii="宋体" w:hAnsi="宋体"/>
          <w:szCs w:val="21"/>
        </w:rPr>
        <w:t>（3）供应商未在法定质疑期限内提出质疑的；</w:t>
      </w:r>
    </w:p>
    <w:p w14:paraId="119F6E0C">
      <w:pPr>
        <w:ind w:firstLine="420" w:firstLineChars="200"/>
        <w:rPr>
          <w:rFonts w:ascii="宋体" w:hAnsi="宋体"/>
          <w:szCs w:val="21"/>
        </w:rPr>
      </w:pPr>
      <w:r>
        <w:rPr>
          <w:rFonts w:hint="eastAsia" w:ascii="宋体" w:hAnsi="宋体"/>
          <w:szCs w:val="21"/>
        </w:rPr>
        <w:t>（4）质疑材料不全或者未按要求签字或者盖章的情况下，要求补正后，逾期未补正或者补正后仍不符合规定的；</w:t>
      </w:r>
    </w:p>
    <w:p w14:paraId="59DD2420">
      <w:pPr>
        <w:ind w:firstLine="420" w:firstLineChars="200"/>
        <w:rPr>
          <w:rFonts w:ascii="宋体" w:hAnsi="宋体"/>
          <w:szCs w:val="21"/>
        </w:rPr>
      </w:pPr>
      <w:r>
        <w:rPr>
          <w:rFonts w:hint="eastAsia" w:ascii="宋体" w:hAnsi="宋体"/>
          <w:szCs w:val="21"/>
        </w:rPr>
        <w:t>（5）其他不符合受理条件情形的。</w:t>
      </w:r>
    </w:p>
    <w:p w14:paraId="6D88684B">
      <w:pPr>
        <w:ind w:firstLine="420" w:firstLineChars="200"/>
        <w:rPr>
          <w:rFonts w:ascii="宋体" w:hAnsi="宋体"/>
          <w:szCs w:val="21"/>
        </w:rPr>
      </w:pPr>
      <w:r>
        <w:rPr>
          <w:rFonts w:hint="eastAsia" w:ascii="宋体" w:hAnsi="宋体"/>
          <w:szCs w:val="21"/>
        </w:rPr>
        <w:t>质疑事项不予受理的，政府集中采购机构应当向供应商出具不符合质疑条件告知书。</w:t>
      </w:r>
    </w:p>
    <w:p w14:paraId="1A1C5ACE">
      <w:pPr>
        <w:rPr>
          <w:rFonts w:ascii="宋体" w:hAnsi="宋体"/>
          <w:szCs w:val="21"/>
        </w:rPr>
      </w:pPr>
      <w:r>
        <w:rPr>
          <w:rFonts w:hint="eastAsia" w:ascii="宋体" w:hAnsi="宋体"/>
          <w:color w:val="FF0000"/>
          <w:szCs w:val="21"/>
        </w:rPr>
        <w:t xml:space="preserve">  </w:t>
      </w:r>
      <w:r>
        <w:rPr>
          <w:rFonts w:hint="eastAsia" w:ascii="宋体" w:hAnsi="宋体"/>
          <w:szCs w:val="21"/>
        </w:rPr>
        <w:t xml:space="preserve">  52.7质疑答复时限</w:t>
      </w:r>
    </w:p>
    <w:p w14:paraId="6B4F1F80">
      <w:pPr>
        <w:rPr>
          <w:rFonts w:ascii="宋体" w:hAnsi="宋体"/>
          <w:szCs w:val="21"/>
        </w:rPr>
      </w:pPr>
      <w:r>
        <w:rPr>
          <w:rFonts w:hint="eastAsia" w:ascii="宋体" w:hAnsi="宋体"/>
          <w:szCs w:val="21"/>
        </w:rPr>
        <w:t xml:space="preserve">    自收文之日起七个工作日内。</w:t>
      </w:r>
    </w:p>
    <w:p w14:paraId="5663B2E9">
      <w:pPr>
        <w:rPr>
          <w:rFonts w:ascii="宋体" w:hAnsi="宋体"/>
          <w:szCs w:val="21"/>
        </w:rPr>
      </w:pPr>
      <w:r>
        <w:rPr>
          <w:rFonts w:hint="eastAsia" w:ascii="宋体" w:hAnsi="宋体"/>
          <w:szCs w:val="21"/>
        </w:rPr>
        <w:t xml:space="preserve">    52.8投诉</w:t>
      </w:r>
    </w:p>
    <w:p w14:paraId="00853E0E">
      <w:pPr>
        <w:rPr>
          <w:rFonts w:ascii="宋体" w:hAnsi="宋体"/>
          <w:szCs w:val="21"/>
        </w:rPr>
      </w:pPr>
      <w:r>
        <w:rPr>
          <w:rFonts w:hint="eastAsia" w:ascii="宋体" w:hAnsi="宋体"/>
          <w:szCs w:val="21"/>
        </w:rPr>
        <w:t xml:space="preserve">    对质疑答复不满意或者未在规定时间内答复的，提出质疑的供应商可以在答复期满后15个工作日内向同级财政部门投诉。</w:t>
      </w:r>
    </w:p>
    <w:p w14:paraId="0C88A632">
      <w:pPr>
        <w:rPr>
          <w:rFonts w:ascii="黑体" w:hAnsi="宋体" w:eastAsia="黑体"/>
          <w:sz w:val="24"/>
        </w:rPr>
      </w:pPr>
      <w:r>
        <w:rPr>
          <w:rFonts w:hint="eastAsia" w:ascii="黑体" w:hAnsi="宋体" w:eastAsia="黑体"/>
          <w:sz w:val="24"/>
        </w:rPr>
        <w:t>53. 质疑后续处理</w:t>
      </w:r>
    </w:p>
    <w:p w14:paraId="7AC6EDEB">
      <w:pPr>
        <w:rPr>
          <w:rFonts w:ascii="宋体" w:hAnsi="宋体"/>
          <w:szCs w:val="21"/>
        </w:rPr>
      </w:pPr>
      <w:r>
        <w:rPr>
          <w:rFonts w:hint="eastAsia" w:ascii="宋体" w:hAnsi="宋体"/>
          <w:szCs w:val="21"/>
        </w:rPr>
        <w:t xml:space="preserve">    53.1供应商质疑不成立，或者成立但未对中标、成交结果构成影响的，继续开展采购活动。</w:t>
      </w:r>
    </w:p>
    <w:p w14:paraId="3541B28A">
      <w:pPr>
        <w:rPr>
          <w:rFonts w:ascii="宋体" w:hAnsi="宋体"/>
          <w:szCs w:val="21"/>
        </w:rPr>
      </w:pPr>
      <w:r>
        <w:rPr>
          <w:rFonts w:hint="eastAsia" w:ascii="宋体" w:hAnsi="宋体"/>
          <w:szCs w:val="21"/>
        </w:rPr>
        <w:t xml:space="preserve">    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合格供应商符合法定数量时，可以从合格的中标或者成交候选人中另行确定中标、成交供应商的，应当依法另行确定中标、成交供应商；否则应当重新开展采购活动。</w:t>
      </w:r>
    </w:p>
    <w:p w14:paraId="63721E31">
      <w:pPr>
        <w:jc w:val="center"/>
      </w:pPr>
      <w:r>
        <w:t>---- END ----</w:t>
      </w:r>
    </w:p>
    <w:bookmarkEnd w:id="81"/>
    <w:p w14:paraId="2BD136B6"/>
    <w:p w14:paraId="2148B1CB">
      <w:pPr>
        <w:ind w:firstLine="420" w:firstLineChars="200"/>
        <w:rPr>
          <w:rFonts w:ascii="宋体" w:hAnsi="宋体"/>
          <w:szCs w:val="21"/>
        </w:rPr>
      </w:pPr>
    </w:p>
    <w:p w14:paraId="67867FC6">
      <w:pPr>
        <w:pStyle w:val="2"/>
      </w:pPr>
    </w:p>
    <w:sectPr>
      <w:pgSz w:w="11907" w:h="16840"/>
      <w:pgMar w:top="1440" w:right="1797" w:bottom="1440" w:left="1797" w:header="851" w:footer="992" w:gutter="0"/>
      <w:cols w:space="425" w:num="1"/>
      <w:titlePg/>
      <w:docGrid w:linePitch="46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mmmmm" w:date="2024-09-14T11:38:33Z" w:initials="mmmmm">
    <w:p w14:paraId="2144FED7">
      <w:pPr>
        <w:pStyle w:val="18"/>
        <w:rPr>
          <w:rFonts w:hint="default"/>
        </w:rPr>
      </w:pPr>
      <w:bookmarkStart w:id="82" w:name="_T645920825_768647856"/>
      <w:r>
        <w:t>否则本项目不得分，在此基础上。</w:t>
      </w:r>
      <w:bookmarkStart w:id="83" w:name="_GoBack"/>
      <w:bookmarkEnd w:id="83"/>
    </w:p>
    <w:bookmarkEnd w:id="82"/>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144FED7"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FF" w:usb1="C0007841" w:usb2="00000009" w:usb3="00000000" w:csb0="400001FF" w:csb1="FFFF0000"/>
  </w:font>
  <w:font w:name="宋体">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Verdana">
    <w:panose1 w:val="020B0604030504040204"/>
    <w:charset w:val="00"/>
    <w:family w:val="swiss"/>
    <w:pitch w:val="default"/>
    <w:sig w:usb0="A10006FF" w:usb1="4000205B" w:usb2="00000010" w:usb3="00000000" w:csb0="2000019F" w:csb1="00000000"/>
  </w:font>
  <w:font w:name="仿宋_GB2312">
    <w:altName w:val="Times New Roman"/>
    <w:panose1 w:val="02010609030101010101"/>
    <w:charset w:val="86"/>
    <w:family w:val="auto"/>
    <w:pitch w:val="default"/>
    <w:sig w:usb0="00000000" w:usb1="00000000" w:usb2="00000000" w:usb3="00000000" w:csb0="00040000" w:csb1="00000000"/>
  </w:font>
  <w:font w:name="方正仿宋_GBK">
    <w:altName w:val="Times New Roman"/>
    <w:panose1 w:val="00000000000000000000"/>
    <w:charset w:val="00"/>
    <w:family w:val="auto"/>
    <w:pitch w:val="default"/>
    <w:sig w:usb0="00000000" w:usb1="00000000" w:usb2="00000000" w:usb3="00000000" w:csb0="00000000" w:csb1="00000000"/>
  </w:font>
  <w:font w:name="Arial Unicode MS">
    <w:altName w:val="Arial"/>
    <w:panose1 w:val="020B0604020202020204"/>
    <w:charset w:val="86"/>
    <w:family w:val="swiss"/>
    <w:pitch w:val="default"/>
    <w:sig w:usb0="00000000" w:usb1="00000000" w:usb2="0000003F" w:usb3="00000000" w:csb0="603F01FF" w:csb1="FFFF0000"/>
  </w:font>
  <w:font w:name="隶书">
    <w:altName w:val="Times New Roman"/>
    <w:panose1 w:val="02010509060101010101"/>
    <w:charset w:val="86"/>
    <w:family w:val="modern"/>
    <w:pitch w:val="default"/>
    <w:sig w:usb0="00000000" w:usb1="00000000" w:usb2="00000000" w:usb3="00000000" w:csb0="00040000" w:csb1="00000000"/>
  </w:font>
  <w:font w:name="方正隶书_GBK">
    <w:altName w:val="Times New Roman"/>
    <w:panose1 w:val="00000000000000000000"/>
    <w:charset w:val="00"/>
    <w:family w:val="auto"/>
    <w:pitch w:val="default"/>
    <w:sig w:usb0="00000000" w:usb1="00000000" w:usb2="00000000" w:usb3="00000000" w:csb0="00000000" w:csb1="00000000"/>
  </w:font>
  <w:font w:name="长城仿宋">
    <w:altName w:val="Times New Roman"/>
    <w:panose1 w:val="00000000000000000000"/>
    <w:charset w:val="86"/>
    <w:family w:val="modern"/>
    <w:pitch w:val="default"/>
    <w:sig w:usb0="00000000" w:usb1="00000000" w:usb2="00000010" w:usb3="00000000" w:csb0="00040000" w:csb1="00000000"/>
  </w:font>
  <w:font w:name="文鼎CS楷体">
    <w:altName w:val="汉仪楷体KW"/>
    <w:panose1 w:val="00000000000000000000"/>
    <w:charset w:val="00"/>
    <w:family w:val="auto"/>
    <w:pitch w:val="default"/>
    <w:sig w:usb0="00000000" w:usb1="00000000" w:usb2="00000010" w:usb3="00000000" w:csb0="00040000" w:csb1="00000000"/>
  </w:font>
  <w:font w:name="汉仪楷体KW">
    <w:panose1 w:val="00020600040101010101"/>
    <w:charset w:val="86"/>
    <w:family w:val="auto"/>
    <w:pitch w:val="default"/>
    <w:sig w:usb0="A00002BF" w:usb1="18EF7CFA" w:usb2="00000016" w:usb3="00000000" w:csb0="00040000" w:csb1="00000000"/>
  </w:font>
  <w:font w:name="_x000B__x000C_">
    <w:altName w:val="华文仿宋"/>
    <w:panose1 w:val="00000000000000000000"/>
    <w:charset w:val="00"/>
    <w:family w:val="roman"/>
    <w:pitch w:val="default"/>
    <w:sig w:usb0="00000000" w:usb1="00000000" w:usb2="00000000" w:usb3="00000000" w:csb0="00040001" w:csb1="00000000"/>
  </w:font>
  <w:font w:name="华文仿宋">
    <w:panose1 w:val="02010600040101010101"/>
    <w:charset w:val="86"/>
    <w:family w:val="auto"/>
    <w:pitch w:val="default"/>
    <w:sig w:usb0="00000287" w:usb1="080F0000" w:usb2="00000000" w:usb3="00000000" w:csb0="0004009F" w:csb1="DFD70000"/>
  </w:font>
  <w:font w:name="文鼎CS中黑">
    <w:altName w:val="汉仪中黑KW"/>
    <w:panose1 w:val="00000000000000000000"/>
    <w:charset w:val="00"/>
    <w:family w:val="auto"/>
    <w:pitch w:val="default"/>
    <w:sig w:usb0="00000000" w:usb1="00000000" w:usb2="00000010" w:usb3="00000000" w:csb0="00040000" w:csb1="00000000"/>
  </w:font>
  <w:font w:name="文鼎CS中宋">
    <w:altName w:val="汉仪书宋二KW"/>
    <w:panose1 w:val="00000000000000000000"/>
    <w:charset w:val="00"/>
    <w:family w:val="auto"/>
    <w:pitch w:val="default"/>
    <w:sig w:usb0="00000000" w:usb1="00000000" w:usb2="00000010" w:usb3="00000000" w:csb0="00040000" w:csb1="00000000"/>
  </w:font>
  <w:font w:name="文鼎粗黑">
    <w:altName w:val="汉仪中黑KW"/>
    <w:panose1 w:val="00000000000000000000"/>
    <w:charset w:val="86"/>
    <w:family w:val="modern"/>
    <w:pitch w:val="default"/>
    <w:sig w:usb0="00000000" w:usb1="00000000" w:usb2="00000010" w:usb3="00000000" w:csb0="00040000" w:csb1="00000000"/>
  </w:font>
  <w:font w:name="幼圆">
    <w:altName w:val="汉仪书宋二KW"/>
    <w:panose1 w:val="02010509060101010101"/>
    <w:charset w:val="86"/>
    <w:family w:val="modern"/>
    <w:pitch w:val="default"/>
    <w:sig w:usb0="00000000" w:usb1="00000000" w:usb2="00000000" w:usb3="00000000" w:csb0="00040000" w:csb1="00000000"/>
  </w:font>
  <w:font w:name="华文新魏">
    <w:panose1 w:val="02010800040101010101"/>
    <w:charset w:val="86"/>
    <w:family w:val="auto"/>
    <w:pitch w:val="default"/>
    <w:sig w:usb0="00000001" w:usb1="080F0000" w:usb2="00000000" w:usb3="00000000" w:csb0="00040000" w:csb1="00000000"/>
  </w:font>
  <w:font w:name="文鼎CS大隶书">
    <w:altName w:val="Times New Roman"/>
    <w:panose1 w:val="00000000000000000000"/>
    <w:charset w:val="00"/>
    <w:family w:val="auto"/>
    <w:pitch w:val="default"/>
    <w:sig w:usb0="00000000" w:usb1="00000000" w:usb2="00000010" w:usb3="00000000" w:csb0="00040000" w:csb1="00000000"/>
  </w:font>
  <w:font w:name="楷体_GB2312">
    <w:altName w:val="汉仪楷体KW"/>
    <w:panose1 w:val="02010609030101010101"/>
    <w:charset w:val="86"/>
    <w:family w:val="modern"/>
    <w:pitch w:val="default"/>
    <w:sig w:usb0="00000000" w:usb1="00000000" w:usb2="00000000" w:usb3="00000000" w:csb0="00040000" w:csb1="00000000"/>
  </w:font>
  <w:font w:name="Tahoma">
    <w:altName w:val="Verdana"/>
    <w:panose1 w:val="020B0604030504040204"/>
    <w:charset w:val="00"/>
    <w:family w:val="swiss"/>
    <w:pitch w:val="default"/>
    <w:sig w:usb0="00000000" w:usb1="00000000" w:usb2="00000029" w:usb3="00000000" w:csb0="200101FF" w:csb1="20280000"/>
  </w:font>
  <w:font w:name="Helvetica">
    <w:altName w:val="Arial"/>
    <w:panose1 w:val="020B0504020202020204"/>
    <w:charset w:val="00"/>
    <w:family w:val="swiss"/>
    <w:pitch w:val="default"/>
    <w:sig w:usb0="00000000" w:usb1="00000000" w:usb2="00000009" w:usb3="00000000" w:csb0="000001FF" w:csb1="00000000"/>
  </w:font>
  <w:font w:name="微软雅黑">
    <w:altName w:val="汉仪旗黑KW 55S"/>
    <w:panose1 w:val="020B0503020204020204"/>
    <w:charset w:val="86"/>
    <w:family w:val="swiss"/>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Cambria">
    <w:altName w:val="Georgia"/>
    <w:panose1 w:val="02040503050406030204"/>
    <w:charset w:val="00"/>
    <w:family w:val="roman"/>
    <w:pitch w:val="default"/>
    <w:sig w:usb0="00000000" w:usb1="00000000" w:usb2="02000000" w:usb3="00000000" w:csb0="2000019F" w:csb1="00000000"/>
  </w:font>
  <w:font w:name="Georgia">
    <w:panose1 w:val="02040502050405020303"/>
    <w:charset w:val="00"/>
    <w:family w:val="auto"/>
    <w:pitch w:val="default"/>
    <w:sig w:usb0="00000287" w:usb1="00000000" w:usb2="00000000" w:usb3="00000000" w:csb0="2000009F" w:csb1="00000000"/>
  </w:font>
  <w:font w:name="ˎ̥">
    <w:altName w:val="华文仿宋"/>
    <w:panose1 w:val="00000000000000000000"/>
    <w:charset w:val="00"/>
    <w:family w:val="auto"/>
    <w:pitch w:val="default"/>
    <w:sig w:usb0="00000000" w:usb1="00000000" w:usb2="00000000" w:usb3="00000000" w:csb0="00040001" w:csb1="00000000"/>
  </w:font>
  <w:font w:name="仿宋">
    <w:altName w:val="Times New Roman"/>
    <w:panose1 w:val="02010609060101010101"/>
    <w:charset w:val="86"/>
    <w:family w:val="auto"/>
    <w:pitch w:val="default"/>
    <w:sig w:usb0="00000000" w:usb1="00000000" w:usb2="00000016" w:usb3="00000000" w:csb0="00040001" w:csb1="00000000"/>
  </w:font>
  <w:font w:name="华文中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F6EC76">
    <w:pPr>
      <w:pStyle w:val="31"/>
      <w:framePr w:wrap="around" w:vAnchor="text" w:hAnchor="margin" w:xAlign="center" w:y="1"/>
      <w:rPr>
        <w:rStyle w:val="52"/>
      </w:rPr>
    </w:pPr>
    <w:r>
      <w:t xml:space="preserve">- </w:t>
    </w:r>
    <w:r>
      <w:fldChar w:fldCharType="begin"/>
    </w:r>
    <w:r>
      <w:instrText xml:space="preserve"> PAGE </w:instrText>
    </w:r>
    <w:r>
      <w:fldChar w:fldCharType="separate"/>
    </w:r>
    <w:r>
      <w:t>21</w:t>
    </w:r>
    <w:r>
      <w:fldChar w:fldCharType="end"/>
    </w:r>
    <w:r>
      <w:t xml:space="preserve"> -</w:t>
    </w:r>
  </w:p>
  <w:p w14:paraId="2BD8DEF1">
    <w:pPr>
      <w:pStyle w:val="31"/>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5E53D7"/>
    <w:multiLevelType w:val="singleLevel"/>
    <w:tmpl w:val="9E5E53D7"/>
    <w:lvl w:ilvl="0" w:tentative="0">
      <w:start w:val="1"/>
      <w:numFmt w:val="decimal"/>
      <w:lvlText w:val="%1)"/>
      <w:lvlJc w:val="left"/>
      <w:pPr>
        <w:ind w:left="425" w:hanging="425"/>
      </w:pPr>
      <w:rPr>
        <w:rFonts w:hint="default"/>
      </w:rPr>
    </w:lvl>
  </w:abstractNum>
  <w:abstractNum w:abstractNumId="1">
    <w:nsid w:val="A702A6DD"/>
    <w:multiLevelType w:val="singleLevel"/>
    <w:tmpl w:val="A702A6DD"/>
    <w:lvl w:ilvl="0" w:tentative="0">
      <w:start w:val="1"/>
      <w:numFmt w:val="decimal"/>
      <w:suff w:val="nothing"/>
      <w:lvlText w:val="%1、"/>
      <w:lvlJc w:val="left"/>
    </w:lvl>
  </w:abstractNum>
  <w:abstractNum w:abstractNumId="2">
    <w:nsid w:val="ED246C23"/>
    <w:multiLevelType w:val="singleLevel"/>
    <w:tmpl w:val="ED246C23"/>
    <w:lvl w:ilvl="0" w:tentative="0">
      <w:start w:val="1"/>
      <w:numFmt w:val="decimal"/>
      <w:lvlText w:val="%1)"/>
      <w:lvlJc w:val="left"/>
      <w:pPr>
        <w:ind w:left="425" w:hanging="425"/>
      </w:pPr>
      <w:rPr>
        <w:rFonts w:hint="default"/>
      </w:rPr>
    </w:lvl>
  </w:abstractNum>
  <w:abstractNum w:abstractNumId="3">
    <w:nsid w:val="FFFFFF7C"/>
    <w:multiLevelType w:val="singleLevel"/>
    <w:tmpl w:val="FFFFFF7C"/>
    <w:lvl w:ilvl="0" w:tentative="0">
      <w:start w:val="1"/>
      <w:numFmt w:val="decimal"/>
      <w:lvlText w:val="%1."/>
      <w:lvlJc w:val="left"/>
      <w:pPr>
        <w:tabs>
          <w:tab w:val="left" w:pos="2040"/>
        </w:tabs>
        <w:ind w:left="2040" w:hanging="360"/>
      </w:pPr>
    </w:lvl>
  </w:abstractNum>
  <w:abstractNum w:abstractNumId="4">
    <w:nsid w:val="FFFFFF89"/>
    <w:multiLevelType w:val="singleLevel"/>
    <w:tmpl w:val="FFFFFF89"/>
    <w:lvl w:ilvl="0" w:tentative="0">
      <w:start w:val="1"/>
      <w:numFmt w:val="bullet"/>
      <w:lvlText w:val=""/>
      <w:lvlJc w:val="left"/>
      <w:pPr>
        <w:tabs>
          <w:tab w:val="left" w:pos="360"/>
        </w:tabs>
        <w:ind w:left="360" w:hanging="360"/>
      </w:pPr>
      <w:rPr>
        <w:rFonts w:hint="default" w:ascii="Wingdings" w:hAnsi="Wingdings"/>
      </w:rPr>
    </w:lvl>
  </w:abstractNum>
  <w:abstractNum w:abstractNumId="5">
    <w:nsid w:val="00000004"/>
    <w:multiLevelType w:val="multilevel"/>
    <w:tmpl w:val="00000004"/>
    <w:lvl w:ilvl="0" w:tentative="0">
      <w:start w:val="1"/>
      <w:numFmt w:val="decimal"/>
      <w:pStyle w:val="102"/>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09F81FD3"/>
    <w:multiLevelType w:val="multilevel"/>
    <w:tmpl w:val="09F81FD3"/>
    <w:lvl w:ilvl="0" w:tentative="0">
      <w:start w:val="1"/>
      <w:numFmt w:val="japaneseCounting"/>
      <w:lvlText w:val="第%1章"/>
      <w:lvlJc w:val="left"/>
      <w:pPr>
        <w:tabs>
          <w:tab w:val="left" w:pos="720"/>
        </w:tabs>
        <w:ind w:left="720" w:hanging="7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7">
    <w:nsid w:val="22FB6085"/>
    <w:multiLevelType w:val="singleLevel"/>
    <w:tmpl w:val="22FB6085"/>
    <w:lvl w:ilvl="0" w:tentative="0">
      <w:start w:val="1"/>
      <w:numFmt w:val="chineseCounting"/>
      <w:suff w:val="nothing"/>
      <w:lvlText w:val="%1、"/>
      <w:lvlJc w:val="left"/>
      <w:pPr>
        <w:ind w:left="0" w:firstLine="420"/>
      </w:pPr>
      <w:rPr>
        <w:rFonts w:hint="eastAsia"/>
      </w:rPr>
    </w:lvl>
  </w:abstractNum>
  <w:abstractNum w:abstractNumId="8">
    <w:nsid w:val="27B50313"/>
    <w:multiLevelType w:val="multilevel"/>
    <w:tmpl w:val="27B50313"/>
    <w:lvl w:ilvl="0" w:tentative="0">
      <w:start w:val="1"/>
      <w:numFmt w:val="decimal"/>
      <w:pStyle w:val="96"/>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
    <w:nsid w:val="33CC9033"/>
    <w:multiLevelType w:val="singleLevel"/>
    <w:tmpl w:val="33CC9033"/>
    <w:lvl w:ilvl="0" w:tentative="0">
      <w:start w:val="1"/>
      <w:numFmt w:val="chineseCounting"/>
      <w:suff w:val="nothing"/>
      <w:lvlText w:val="%1、"/>
      <w:lvlJc w:val="left"/>
      <w:pPr>
        <w:ind w:left="0" w:firstLine="420"/>
      </w:pPr>
      <w:rPr>
        <w:rFonts w:hint="eastAsia"/>
      </w:rPr>
    </w:lvl>
  </w:abstractNum>
  <w:abstractNum w:abstractNumId="10">
    <w:nsid w:val="4FA23AE1"/>
    <w:multiLevelType w:val="multilevel"/>
    <w:tmpl w:val="4FA23AE1"/>
    <w:lvl w:ilvl="0" w:tentative="0">
      <w:start w:val="1"/>
      <w:numFmt w:val="bullet"/>
      <w:pStyle w:val="61"/>
      <w:lvlText w:val=""/>
      <w:lvlJc w:val="left"/>
      <w:pPr>
        <w:tabs>
          <w:tab w:val="left" w:pos="720"/>
        </w:tabs>
        <w:ind w:left="720" w:hanging="360"/>
      </w:pPr>
      <w:rPr>
        <w:rFonts w:hint="default" w:ascii="Wingdings" w:hAnsi="Wingdings"/>
        <w:sz w:val="20"/>
      </w:rPr>
    </w:lvl>
    <w:lvl w:ilvl="1" w:tentative="0">
      <w:start w:val="1"/>
      <w:numFmt w:val="bullet"/>
      <w:lvlText w:val=""/>
      <w:lvlJc w:val="left"/>
      <w:pPr>
        <w:tabs>
          <w:tab w:val="left" w:pos="1440"/>
        </w:tabs>
        <w:ind w:left="1440" w:hanging="360"/>
      </w:pPr>
      <w:rPr>
        <w:rFonts w:hint="default" w:ascii="Wingdings" w:hAnsi="Wingdings"/>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62A05FAD"/>
    <w:multiLevelType w:val="multilevel"/>
    <w:tmpl w:val="62A05FAD"/>
    <w:lvl w:ilvl="0" w:tentative="0">
      <w:start w:val="1"/>
      <w:numFmt w:val="chineseCountingThousand"/>
      <w:pStyle w:val="223"/>
      <w:lvlText w:val="%1、"/>
      <w:lvlJc w:val="left"/>
      <w:pPr>
        <w:ind w:left="2100" w:hanging="420"/>
      </w:pPr>
    </w:lvl>
    <w:lvl w:ilvl="1" w:tentative="0">
      <w:start w:val="1"/>
      <w:numFmt w:val="lowerLetter"/>
      <w:lvlText w:val="%2)"/>
      <w:lvlJc w:val="left"/>
      <w:pPr>
        <w:ind w:left="2520" w:hanging="420"/>
      </w:pPr>
    </w:lvl>
    <w:lvl w:ilvl="2" w:tentative="0">
      <w:start w:val="1"/>
      <w:numFmt w:val="lowerRoman"/>
      <w:lvlText w:val="%3."/>
      <w:lvlJc w:val="right"/>
      <w:pPr>
        <w:ind w:left="2940" w:hanging="420"/>
      </w:pPr>
    </w:lvl>
    <w:lvl w:ilvl="3" w:tentative="0">
      <w:start w:val="1"/>
      <w:numFmt w:val="decimal"/>
      <w:lvlText w:val="%4."/>
      <w:lvlJc w:val="left"/>
      <w:pPr>
        <w:ind w:left="3360" w:hanging="420"/>
      </w:pPr>
    </w:lvl>
    <w:lvl w:ilvl="4" w:tentative="0">
      <w:start w:val="1"/>
      <w:numFmt w:val="lowerLetter"/>
      <w:lvlText w:val="%5)"/>
      <w:lvlJc w:val="left"/>
      <w:pPr>
        <w:ind w:left="3780" w:hanging="420"/>
      </w:pPr>
    </w:lvl>
    <w:lvl w:ilvl="5" w:tentative="0">
      <w:start w:val="1"/>
      <w:numFmt w:val="lowerRoman"/>
      <w:lvlText w:val="%6."/>
      <w:lvlJc w:val="right"/>
      <w:pPr>
        <w:ind w:left="4200" w:hanging="420"/>
      </w:pPr>
    </w:lvl>
    <w:lvl w:ilvl="6" w:tentative="0">
      <w:start w:val="1"/>
      <w:numFmt w:val="decimal"/>
      <w:lvlText w:val="%7."/>
      <w:lvlJc w:val="left"/>
      <w:pPr>
        <w:ind w:left="4620" w:hanging="420"/>
      </w:pPr>
    </w:lvl>
    <w:lvl w:ilvl="7" w:tentative="0">
      <w:start w:val="1"/>
      <w:numFmt w:val="lowerLetter"/>
      <w:lvlText w:val="%8)"/>
      <w:lvlJc w:val="left"/>
      <w:pPr>
        <w:ind w:left="5040" w:hanging="420"/>
      </w:pPr>
    </w:lvl>
    <w:lvl w:ilvl="8" w:tentative="0">
      <w:start w:val="1"/>
      <w:numFmt w:val="lowerRoman"/>
      <w:lvlText w:val="%9."/>
      <w:lvlJc w:val="right"/>
      <w:pPr>
        <w:ind w:left="5460" w:hanging="420"/>
      </w:pPr>
    </w:lvl>
  </w:abstractNum>
  <w:abstractNum w:abstractNumId="12">
    <w:nsid w:val="6598B15A"/>
    <w:multiLevelType w:val="singleLevel"/>
    <w:tmpl w:val="6598B15A"/>
    <w:lvl w:ilvl="0" w:tentative="0">
      <w:start w:val="1"/>
      <w:numFmt w:val="chineseCounting"/>
      <w:suff w:val="nothing"/>
      <w:lvlText w:val="%1、"/>
      <w:lvlJc w:val="left"/>
      <w:pPr>
        <w:ind w:left="0" w:firstLine="420"/>
      </w:pPr>
      <w:rPr>
        <w:rFonts w:hint="eastAsia"/>
      </w:rPr>
    </w:lvl>
  </w:abstractNum>
  <w:abstractNum w:abstractNumId="13">
    <w:nsid w:val="734F7D83"/>
    <w:multiLevelType w:val="multilevel"/>
    <w:tmpl w:val="734F7D8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0"/>
  </w:num>
  <w:num w:numId="2">
    <w:abstractNumId w:val="8"/>
  </w:num>
  <w:num w:numId="3">
    <w:abstractNumId w:val="5"/>
  </w:num>
  <w:num w:numId="4">
    <w:abstractNumId w:val="4"/>
  </w:num>
  <w:num w:numId="5">
    <w:abstractNumId w:val="3"/>
  </w:num>
  <w:num w:numId="6">
    <w:abstractNumId w:val="11"/>
  </w:num>
  <w:num w:numId="7">
    <w:abstractNumId w:val="13"/>
  </w:num>
  <w:num w:numId="8">
    <w:abstractNumId w:val="9"/>
  </w:num>
  <w:num w:numId="9">
    <w:abstractNumId w:val="2"/>
  </w:num>
  <w:num w:numId="10">
    <w:abstractNumId w:val="0"/>
  </w:num>
  <w:num w:numId="11">
    <w:abstractNumId w:val="7"/>
  </w:num>
  <w:num w:numId="12">
    <w:abstractNumId w:val="1"/>
  </w:num>
  <w:num w:numId="13">
    <w:abstractNumId w:val="12"/>
  </w:num>
  <w:num w:numId="14">
    <w:abstractNumId w:val="6"/>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mmmmm">
    <w15:presenceInfo w15:providerId="WPS Office" w15:userId="316440830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WM5ZGMyZWRlMzQ4ZTRhMWJiNWE5MmQwZTNhNjgzODgifQ=="/>
  </w:docVars>
  <w:rsids>
    <w:rsidRoot w:val="00172A27"/>
    <w:rsid w:val="0000006C"/>
    <w:rsid w:val="00000188"/>
    <w:rsid w:val="00000E4F"/>
    <w:rsid w:val="00001375"/>
    <w:rsid w:val="00003A9C"/>
    <w:rsid w:val="00005215"/>
    <w:rsid w:val="00005A10"/>
    <w:rsid w:val="0000670E"/>
    <w:rsid w:val="00010102"/>
    <w:rsid w:val="000108A0"/>
    <w:rsid w:val="00010F1A"/>
    <w:rsid w:val="00011C9D"/>
    <w:rsid w:val="00012625"/>
    <w:rsid w:val="00013A78"/>
    <w:rsid w:val="00014AB3"/>
    <w:rsid w:val="0001507A"/>
    <w:rsid w:val="0001716B"/>
    <w:rsid w:val="000172AA"/>
    <w:rsid w:val="0002034E"/>
    <w:rsid w:val="00020DF8"/>
    <w:rsid w:val="000211EA"/>
    <w:rsid w:val="00021BA6"/>
    <w:rsid w:val="00022620"/>
    <w:rsid w:val="00022F38"/>
    <w:rsid w:val="000230E2"/>
    <w:rsid w:val="000234B2"/>
    <w:rsid w:val="00023985"/>
    <w:rsid w:val="000269C9"/>
    <w:rsid w:val="00026B5B"/>
    <w:rsid w:val="000277A3"/>
    <w:rsid w:val="00030712"/>
    <w:rsid w:val="00031700"/>
    <w:rsid w:val="00031F6E"/>
    <w:rsid w:val="000327DE"/>
    <w:rsid w:val="00032B19"/>
    <w:rsid w:val="000339F7"/>
    <w:rsid w:val="0003440B"/>
    <w:rsid w:val="000351A1"/>
    <w:rsid w:val="0003579C"/>
    <w:rsid w:val="00036603"/>
    <w:rsid w:val="00037FA0"/>
    <w:rsid w:val="00040D3C"/>
    <w:rsid w:val="00041395"/>
    <w:rsid w:val="00041938"/>
    <w:rsid w:val="00041D63"/>
    <w:rsid w:val="00041FBD"/>
    <w:rsid w:val="0004249E"/>
    <w:rsid w:val="0004283A"/>
    <w:rsid w:val="000438D0"/>
    <w:rsid w:val="00043A89"/>
    <w:rsid w:val="000447B8"/>
    <w:rsid w:val="00045739"/>
    <w:rsid w:val="00046AE4"/>
    <w:rsid w:val="000472D8"/>
    <w:rsid w:val="00050500"/>
    <w:rsid w:val="000510B6"/>
    <w:rsid w:val="000510FA"/>
    <w:rsid w:val="00051F3F"/>
    <w:rsid w:val="000521F0"/>
    <w:rsid w:val="00052BC1"/>
    <w:rsid w:val="0005582B"/>
    <w:rsid w:val="00056C64"/>
    <w:rsid w:val="00057332"/>
    <w:rsid w:val="00057957"/>
    <w:rsid w:val="00061080"/>
    <w:rsid w:val="0006267A"/>
    <w:rsid w:val="00062DE1"/>
    <w:rsid w:val="000643BC"/>
    <w:rsid w:val="0006670C"/>
    <w:rsid w:val="00066A0A"/>
    <w:rsid w:val="00070FF0"/>
    <w:rsid w:val="00071848"/>
    <w:rsid w:val="00071E86"/>
    <w:rsid w:val="00073265"/>
    <w:rsid w:val="000735E3"/>
    <w:rsid w:val="00073CAF"/>
    <w:rsid w:val="00073DC1"/>
    <w:rsid w:val="00074EC1"/>
    <w:rsid w:val="000750DC"/>
    <w:rsid w:val="00075E72"/>
    <w:rsid w:val="000766A9"/>
    <w:rsid w:val="000766C8"/>
    <w:rsid w:val="0007758B"/>
    <w:rsid w:val="0007775A"/>
    <w:rsid w:val="00082667"/>
    <w:rsid w:val="000827B3"/>
    <w:rsid w:val="00082B6E"/>
    <w:rsid w:val="00083644"/>
    <w:rsid w:val="00083DC6"/>
    <w:rsid w:val="000844FA"/>
    <w:rsid w:val="00084ADD"/>
    <w:rsid w:val="0008618B"/>
    <w:rsid w:val="0009231F"/>
    <w:rsid w:val="00092518"/>
    <w:rsid w:val="00092646"/>
    <w:rsid w:val="00092FC7"/>
    <w:rsid w:val="000954D5"/>
    <w:rsid w:val="00095704"/>
    <w:rsid w:val="0009618D"/>
    <w:rsid w:val="00096789"/>
    <w:rsid w:val="00096D7F"/>
    <w:rsid w:val="00096E04"/>
    <w:rsid w:val="0009709B"/>
    <w:rsid w:val="00097327"/>
    <w:rsid w:val="00097562"/>
    <w:rsid w:val="00097E84"/>
    <w:rsid w:val="000A037D"/>
    <w:rsid w:val="000A0579"/>
    <w:rsid w:val="000A0EB5"/>
    <w:rsid w:val="000A29AC"/>
    <w:rsid w:val="000A337C"/>
    <w:rsid w:val="000A3A34"/>
    <w:rsid w:val="000A4391"/>
    <w:rsid w:val="000A514D"/>
    <w:rsid w:val="000A599C"/>
    <w:rsid w:val="000A79A6"/>
    <w:rsid w:val="000A7C2B"/>
    <w:rsid w:val="000B05E2"/>
    <w:rsid w:val="000B0E39"/>
    <w:rsid w:val="000B1590"/>
    <w:rsid w:val="000B2568"/>
    <w:rsid w:val="000B4D28"/>
    <w:rsid w:val="000B4F6A"/>
    <w:rsid w:val="000B5AB9"/>
    <w:rsid w:val="000B5C22"/>
    <w:rsid w:val="000B62A4"/>
    <w:rsid w:val="000B65E7"/>
    <w:rsid w:val="000B6BE3"/>
    <w:rsid w:val="000B6D94"/>
    <w:rsid w:val="000C0055"/>
    <w:rsid w:val="000C0D81"/>
    <w:rsid w:val="000C1629"/>
    <w:rsid w:val="000C17FE"/>
    <w:rsid w:val="000C1EE4"/>
    <w:rsid w:val="000C2303"/>
    <w:rsid w:val="000C364B"/>
    <w:rsid w:val="000C4ED3"/>
    <w:rsid w:val="000C5E1C"/>
    <w:rsid w:val="000C6054"/>
    <w:rsid w:val="000C69A0"/>
    <w:rsid w:val="000C7650"/>
    <w:rsid w:val="000D03DA"/>
    <w:rsid w:val="000D12EF"/>
    <w:rsid w:val="000D1A7D"/>
    <w:rsid w:val="000D1C0B"/>
    <w:rsid w:val="000D1EE3"/>
    <w:rsid w:val="000D2309"/>
    <w:rsid w:val="000D283C"/>
    <w:rsid w:val="000D326B"/>
    <w:rsid w:val="000D38F9"/>
    <w:rsid w:val="000D4E2D"/>
    <w:rsid w:val="000D540F"/>
    <w:rsid w:val="000D577D"/>
    <w:rsid w:val="000D5C79"/>
    <w:rsid w:val="000D5CF2"/>
    <w:rsid w:val="000D7CE8"/>
    <w:rsid w:val="000E0814"/>
    <w:rsid w:val="000E088B"/>
    <w:rsid w:val="000E168F"/>
    <w:rsid w:val="000E18D4"/>
    <w:rsid w:val="000E1A51"/>
    <w:rsid w:val="000E4DE8"/>
    <w:rsid w:val="000E6322"/>
    <w:rsid w:val="000E7259"/>
    <w:rsid w:val="000E7627"/>
    <w:rsid w:val="000E7975"/>
    <w:rsid w:val="000E7EF3"/>
    <w:rsid w:val="000E7F6B"/>
    <w:rsid w:val="000F0164"/>
    <w:rsid w:val="000F0DEE"/>
    <w:rsid w:val="000F2065"/>
    <w:rsid w:val="000F2129"/>
    <w:rsid w:val="000F2A88"/>
    <w:rsid w:val="000F2D1B"/>
    <w:rsid w:val="000F303F"/>
    <w:rsid w:val="000F3383"/>
    <w:rsid w:val="000F338D"/>
    <w:rsid w:val="000F3727"/>
    <w:rsid w:val="000F538C"/>
    <w:rsid w:val="000F565B"/>
    <w:rsid w:val="000F5848"/>
    <w:rsid w:val="000F5F3F"/>
    <w:rsid w:val="000F641E"/>
    <w:rsid w:val="000F7BD8"/>
    <w:rsid w:val="000F7E97"/>
    <w:rsid w:val="001001D6"/>
    <w:rsid w:val="00101DD0"/>
    <w:rsid w:val="00102555"/>
    <w:rsid w:val="00102766"/>
    <w:rsid w:val="00103AA7"/>
    <w:rsid w:val="00105253"/>
    <w:rsid w:val="0010541A"/>
    <w:rsid w:val="00105993"/>
    <w:rsid w:val="001062EA"/>
    <w:rsid w:val="00107D54"/>
    <w:rsid w:val="00110D2C"/>
    <w:rsid w:val="001113FD"/>
    <w:rsid w:val="00111E2C"/>
    <w:rsid w:val="00115A55"/>
    <w:rsid w:val="00115F88"/>
    <w:rsid w:val="001176F3"/>
    <w:rsid w:val="0011791A"/>
    <w:rsid w:val="001212EF"/>
    <w:rsid w:val="00121639"/>
    <w:rsid w:val="001217DC"/>
    <w:rsid w:val="0012203F"/>
    <w:rsid w:val="00122408"/>
    <w:rsid w:val="00122A44"/>
    <w:rsid w:val="0012310C"/>
    <w:rsid w:val="00123CC6"/>
    <w:rsid w:val="00123F3A"/>
    <w:rsid w:val="00124B63"/>
    <w:rsid w:val="00125C8A"/>
    <w:rsid w:val="00127FBF"/>
    <w:rsid w:val="00130827"/>
    <w:rsid w:val="001308A2"/>
    <w:rsid w:val="00131371"/>
    <w:rsid w:val="001317F4"/>
    <w:rsid w:val="0013185E"/>
    <w:rsid w:val="001342FE"/>
    <w:rsid w:val="00135D34"/>
    <w:rsid w:val="00137F3B"/>
    <w:rsid w:val="001408A2"/>
    <w:rsid w:val="00141244"/>
    <w:rsid w:val="00143653"/>
    <w:rsid w:val="00143B3A"/>
    <w:rsid w:val="0014456C"/>
    <w:rsid w:val="00144AB5"/>
    <w:rsid w:val="00144DB4"/>
    <w:rsid w:val="001451A5"/>
    <w:rsid w:val="0014550E"/>
    <w:rsid w:val="00146CAD"/>
    <w:rsid w:val="001500EF"/>
    <w:rsid w:val="00151C33"/>
    <w:rsid w:val="0015203D"/>
    <w:rsid w:val="00153C1D"/>
    <w:rsid w:val="00153D9A"/>
    <w:rsid w:val="00153EC1"/>
    <w:rsid w:val="001567C2"/>
    <w:rsid w:val="00156F1E"/>
    <w:rsid w:val="00157E23"/>
    <w:rsid w:val="00157FC3"/>
    <w:rsid w:val="001601BF"/>
    <w:rsid w:val="00161178"/>
    <w:rsid w:val="00161C84"/>
    <w:rsid w:val="0016264C"/>
    <w:rsid w:val="001626BD"/>
    <w:rsid w:val="00162A08"/>
    <w:rsid w:val="00163E6C"/>
    <w:rsid w:val="00164E23"/>
    <w:rsid w:val="0016595F"/>
    <w:rsid w:val="00165DFA"/>
    <w:rsid w:val="0016690A"/>
    <w:rsid w:val="00166A2C"/>
    <w:rsid w:val="00167134"/>
    <w:rsid w:val="001676E3"/>
    <w:rsid w:val="00170B38"/>
    <w:rsid w:val="001719DB"/>
    <w:rsid w:val="00172003"/>
    <w:rsid w:val="00172A27"/>
    <w:rsid w:val="0017328A"/>
    <w:rsid w:val="00173F98"/>
    <w:rsid w:val="00174200"/>
    <w:rsid w:val="0017562D"/>
    <w:rsid w:val="00177167"/>
    <w:rsid w:val="00180737"/>
    <w:rsid w:val="00183262"/>
    <w:rsid w:val="00183C79"/>
    <w:rsid w:val="00183C8B"/>
    <w:rsid w:val="00183E75"/>
    <w:rsid w:val="00183F3B"/>
    <w:rsid w:val="00184423"/>
    <w:rsid w:val="001845CF"/>
    <w:rsid w:val="001865BB"/>
    <w:rsid w:val="00187518"/>
    <w:rsid w:val="001875D6"/>
    <w:rsid w:val="00191544"/>
    <w:rsid w:val="00191F2B"/>
    <w:rsid w:val="00192E80"/>
    <w:rsid w:val="001935F4"/>
    <w:rsid w:val="00194EA2"/>
    <w:rsid w:val="001950DE"/>
    <w:rsid w:val="00195343"/>
    <w:rsid w:val="00196954"/>
    <w:rsid w:val="00196B4E"/>
    <w:rsid w:val="00196C20"/>
    <w:rsid w:val="00196C65"/>
    <w:rsid w:val="00197346"/>
    <w:rsid w:val="00197DA7"/>
    <w:rsid w:val="001A027A"/>
    <w:rsid w:val="001A0653"/>
    <w:rsid w:val="001A0887"/>
    <w:rsid w:val="001A08FE"/>
    <w:rsid w:val="001A0D2C"/>
    <w:rsid w:val="001A22BB"/>
    <w:rsid w:val="001A2B06"/>
    <w:rsid w:val="001A2DC2"/>
    <w:rsid w:val="001A312F"/>
    <w:rsid w:val="001A3ECB"/>
    <w:rsid w:val="001A3FA1"/>
    <w:rsid w:val="001A422B"/>
    <w:rsid w:val="001A43A6"/>
    <w:rsid w:val="001A440A"/>
    <w:rsid w:val="001A4A55"/>
    <w:rsid w:val="001A5A8A"/>
    <w:rsid w:val="001A5AA2"/>
    <w:rsid w:val="001A6A4F"/>
    <w:rsid w:val="001A710F"/>
    <w:rsid w:val="001A76B7"/>
    <w:rsid w:val="001A7862"/>
    <w:rsid w:val="001A7BBE"/>
    <w:rsid w:val="001B0D1E"/>
    <w:rsid w:val="001B1339"/>
    <w:rsid w:val="001B1FDD"/>
    <w:rsid w:val="001B2C56"/>
    <w:rsid w:val="001B37C9"/>
    <w:rsid w:val="001B4747"/>
    <w:rsid w:val="001B718F"/>
    <w:rsid w:val="001B7394"/>
    <w:rsid w:val="001B758A"/>
    <w:rsid w:val="001B7891"/>
    <w:rsid w:val="001C0034"/>
    <w:rsid w:val="001C03DD"/>
    <w:rsid w:val="001C04B2"/>
    <w:rsid w:val="001C0D56"/>
    <w:rsid w:val="001C17D5"/>
    <w:rsid w:val="001C1FDE"/>
    <w:rsid w:val="001C335C"/>
    <w:rsid w:val="001C47D3"/>
    <w:rsid w:val="001C4D17"/>
    <w:rsid w:val="001C5839"/>
    <w:rsid w:val="001C5D51"/>
    <w:rsid w:val="001C6492"/>
    <w:rsid w:val="001C77E1"/>
    <w:rsid w:val="001C7ADA"/>
    <w:rsid w:val="001D042F"/>
    <w:rsid w:val="001D126D"/>
    <w:rsid w:val="001D2BB8"/>
    <w:rsid w:val="001D3543"/>
    <w:rsid w:val="001D5569"/>
    <w:rsid w:val="001D58E5"/>
    <w:rsid w:val="001D6C97"/>
    <w:rsid w:val="001E0764"/>
    <w:rsid w:val="001E17D7"/>
    <w:rsid w:val="001E2502"/>
    <w:rsid w:val="001E2668"/>
    <w:rsid w:val="001E292F"/>
    <w:rsid w:val="001E3CB0"/>
    <w:rsid w:val="001E4302"/>
    <w:rsid w:val="001E4339"/>
    <w:rsid w:val="001E474D"/>
    <w:rsid w:val="001E4FFC"/>
    <w:rsid w:val="001E5A81"/>
    <w:rsid w:val="001E6E60"/>
    <w:rsid w:val="001E721A"/>
    <w:rsid w:val="001E763B"/>
    <w:rsid w:val="001E76C3"/>
    <w:rsid w:val="001E7C89"/>
    <w:rsid w:val="001F0108"/>
    <w:rsid w:val="001F0349"/>
    <w:rsid w:val="001F0B74"/>
    <w:rsid w:val="001F1DE3"/>
    <w:rsid w:val="001F25ED"/>
    <w:rsid w:val="001F44C0"/>
    <w:rsid w:val="001F4EB8"/>
    <w:rsid w:val="001F6F6A"/>
    <w:rsid w:val="001F78C0"/>
    <w:rsid w:val="002002AC"/>
    <w:rsid w:val="00200B4C"/>
    <w:rsid w:val="002028F3"/>
    <w:rsid w:val="00203267"/>
    <w:rsid w:val="0020391D"/>
    <w:rsid w:val="00204CB6"/>
    <w:rsid w:val="00205F9C"/>
    <w:rsid w:val="002075C8"/>
    <w:rsid w:val="0020792C"/>
    <w:rsid w:val="00210771"/>
    <w:rsid w:val="00211069"/>
    <w:rsid w:val="00211885"/>
    <w:rsid w:val="002119B6"/>
    <w:rsid w:val="00211AA3"/>
    <w:rsid w:val="00212702"/>
    <w:rsid w:val="00213A86"/>
    <w:rsid w:val="00214EE5"/>
    <w:rsid w:val="00214F6F"/>
    <w:rsid w:val="002150EB"/>
    <w:rsid w:val="00215699"/>
    <w:rsid w:val="002159DE"/>
    <w:rsid w:val="00215E99"/>
    <w:rsid w:val="002163D7"/>
    <w:rsid w:val="002163EE"/>
    <w:rsid w:val="002166A6"/>
    <w:rsid w:val="00216BB6"/>
    <w:rsid w:val="0022002D"/>
    <w:rsid w:val="0022048B"/>
    <w:rsid w:val="002209E9"/>
    <w:rsid w:val="00221193"/>
    <w:rsid w:val="00222DEE"/>
    <w:rsid w:val="002251DB"/>
    <w:rsid w:val="00225855"/>
    <w:rsid w:val="00225E51"/>
    <w:rsid w:val="00227D49"/>
    <w:rsid w:val="00227FC7"/>
    <w:rsid w:val="00231116"/>
    <w:rsid w:val="00232C23"/>
    <w:rsid w:val="00232E8C"/>
    <w:rsid w:val="002340A6"/>
    <w:rsid w:val="00234461"/>
    <w:rsid w:val="00236E72"/>
    <w:rsid w:val="00237D3E"/>
    <w:rsid w:val="00237D87"/>
    <w:rsid w:val="00240293"/>
    <w:rsid w:val="002404AE"/>
    <w:rsid w:val="002416F6"/>
    <w:rsid w:val="002433D1"/>
    <w:rsid w:val="00244764"/>
    <w:rsid w:val="00244BB5"/>
    <w:rsid w:val="00245B7A"/>
    <w:rsid w:val="00246066"/>
    <w:rsid w:val="002474D0"/>
    <w:rsid w:val="00250B28"/>
    <w:rsid w:val="00250BEA"/>
    <w:rsid w:val="00250F42"/>
    <w:rsid w:val="002520DB"/>
    <w:rsid w:val="0025289D"/>
    <w:rsid w:val="002538F0"/>
    <w:rsid w:val="002539CF"/>
    <w:rsid w:val="002540E6"/>
    <w:rsid w:val="002541CA"/>
    <w:rsid w:val="00254B44"/>
    <w:rsid w:val="00254E99"/>
    <w:rsid w:val="002558AC"/>
    <w:rsid w:val="00255C16"/>
    <w:rsid w:val="00256DBE"/>
    <w:rsid w:val="00256F25"/>
    <w:rsid w:val="0026027A"/>
    <w:rsid w:val="00260533"/>
    <w:rsid w:val="002605F1"/>
    <w:rsid w:val="00260C8C"/>
    <w:rsid w:val="00261170"/>
    <w:rsid w:val="00261A54"/>
    <w:rsid w:val="00261AF7"/>
    <w:rsid w:val="00261D37"/>
    <w:rsid w:val="002623E6"/>
    <w:rsid w:val="00263607"/>
    <w:rsid w:val="002656E1"/>
    <w:rsid w:val="00265CFF"/>
    <w:rsid w:val="0026719E"/>
    <w:rsid w:val="002674F3"/>
    <w:rsid w:val="002700A4"/>
    <w:rsid w:val="00271440"/>
    <w:rsid w:val="002715A8"/>
    <w:rsid w:val="00272663"/>
    <w:rsid w:val="00272AB5"/>
    <w:rsid w:val="00273EE1"/>
    <w:rsid w:val="00274C7E"/>
    <w:rsid w:val="00275179"/>
    <w:rsid w:val="00275641"/>
    <w:rsid w:val="00275715"/>
    <w:rsid w:val="002758A0"/>
    <w:rsid w:val="0027635A"/>
    <w:rsid w:val="0027637D"/>
    <w:rsid w:val="002777E4"/>
    <w:rsid w:val="0027799C"/>
    <w:rsid w:val="00277C07"/>
    <w:rsid w:val="002803AE"/>
    <w:rsid w:val="002808ED"/>
    <w:rsid w:val="002809F7"/>
    <w:rsid w:val="00281493"/>
    <w:rsid w:val="0028167C"/>
    <w:rsid w:val="0028214B"/>
    <w:rsid w:val="002821E9"/>
    <w:rsid w:val="002824DB"/>
    <w:rsid w:val="00284898"/>
    <w:rsid w:val="00284B71"/>
    <w:rsid w:val="00284F50"/>
    <w:rsid w:val="00285197"/>
    <w:rsid w:val="0028676A"/>
    <w:rsid w:val="002870AD"/>
    <w:rsid w:val="002874F8"/>
    <w:rsid w:val="00290B9B"/>
    <w:rsid w:val="00291522"/>
    <w:rsid w:val="00291FAC"/>
    <w:rsid w:val="00292EC3"/>
    <w:rsid w:val="00292F66"/>
    <w:rsid w:val="0029315D"/>
    <w:rsid w:val="00293F3A"/>
    <w:rsid w:val="0029449E"/>
    <w:rsid w:val="002966CD"/>
    <w:rsid w:val="00296F46"/>
    <w:rsid w:val="00296F8A"/>
    <w:rsid w:val="002A13BD"/>
    <w:rsid w:val="002A1606"/>
    <w:rsid w:val="002A180F"/>
    <w:rsid w:val="002A1DF2"/>
    <w:rsid w:val="002A2567"/>
    <w:rsid w:val="002A28F2"/>
    <w:rsid w:val="002A2BCF"/>
    <w:rsid w:val="002A3A36"/>
    <w:rsid w:val="002A6C0B"/>
    <w:rsid w:val="002A7097"/>
    <w:rsid w:val="002B0564"/>
    <w:rsid w:val="002B22D4"/>
    <w:rsid w:val="002B2553"/>
    <w:rsid w:val="002B30B9"/>
    <w:rsid w:val="002B43D5"/>
    <w:rsid w:val="002B4985"/>
    <w:rsid w:val="002B49AF"/>
    <w:rsid w:val="002B55E1"/>
    <w:rsid w:val="002B65BF"/>
    <w:rsid w:val="002B7969"/>
    <w:rsid w:val="002C02F5"/>
    <w:rsid w:val="002C075F"/>
    <w:rsid w:val="002C0E23"/>
    <w:rsid w:val="002C2717"/>
    <w:rsid w:val="002C2E39"/>
    <w:rsid w:val="002C4230"/>
    <w:rsid w:val="002C4EB3"/>
    <w:rsid w:val="002C52E4"/>
    <w:rsid w:val="002C59A3"/>
    <w:rsid w:val="002C6EE3"/>
    <w:rsid w:val="002C7B95"/>
    <w:rsid w:val="002D0356"/>
    <w:rsid w:val="002D07C0"/>
    <w:rsid w:val="002D0AC1"/>
    <w:rsid w:val="002D1338"/>
    <w:rsid w:val="002D1761"/>
    <w:rsid w:val="002D1AE1"/>
    <w:rsid w:val="002D2163"/>
    <w:rsid w:val="002D2718"/>
    <w:rsid w:val="002D4A85"/>
    <w:rsid w:val="002D51C0"/>
    <w:rsid w:val="002D5FC1"/>
    <w:rsid w:val="002D6288"/>
    <w:rsid w:val="002D64DF"/>
    <w:rsid w:val="002D6AF0"/>
    <w:rsid w:val="002E0B40"/>
    <w:rsid w:val="002E0CBF"/>
    <w:rsid w:val="002E190F"/>
    <w:rsid w:val="002E1D54"/>
    <w:rsid w:val="002E2897"/>
    <w:rsid w:val="002E38DB"/>
    <w:rsid w:val="002E4A09"/>
    <w:rsid w:val="002E4F35"/>
    <w:rsid w:val="002E517A"/>
    <w:rsid w:val="002E53EF"/>
    <w:rsid w:val="002E5DF5"/>
    <w:rsid w:val="002E5E0C"/>
    <w:rsid w:val="002F1399"/>
    <w:rsid w:val="002F15FA"/>
    <w:rsid w:val="002F1C32"/>
    <w:rsid w:val="002F1F2E"/>
    <w:rsid w:val="002F2962"/>
    <w:rsid w:val="002F29CB"/>
    <w:rsid w:val="002F2B7A"/>
    <w:rsid w:val="002F3105"/>
    <w:rsid w:val="002F4667"/>
    <w:rsid w:val="002F5E25"/>
    <w:rsid w:val="002F666B"/>
    <w:rsid w:val="002F72FF"/>
    <w:rsid w:val="002F7EB0"/>
    <w:rsid w:val="00301228"/>
    <w:rsid w:val="003016EA"/>
    <w:rsid w:val="00301989"/>
    <w:rsid w:val="00303290"/>
    <w:rsid w:val="00303440"/>
    <w:rsid w:val="0030463E"/>
    <w:rsid w:val="00304ED6"/>
    <w:rsid w:val="003052A8"/>
    <w:rsid w:val="003064C1"/>
    <w:rsid w:val="0030698C"/>
    <w:rsid w:val="00306BD4"/>
    <w:rsid w:val="00307396"/>
    <w:rsid w:val="003110D7"/>
    <w:rsid w:val="00312217"/>
    <w:rsid w:val="0031356D"/>
    <w:rsid w:val="003136B3"/>
    <w:rsid w:val="003149BA"/>
    <w:rsid w:val="003149C1"/>
    <w:rsid w:val="00315548"/>
    <w:rsid w:val="00315A06"/>
    <w:rsid w:val="00315CCC"/>
    <w:rsid w:val="003160A7"/>
    <w:rsid w:val="003160C0"/>
    <w:rsid w:val="00316324"/>
    <w:rsid w:val="003173D5"/>
    <w:rsid w:val="00320680"/>
    <w:rsid w:val="003206BB"/>
    <w:rsid w:val="00320EBD"/>
    <w:rsid w:val="00320F54"/>
    <w:rsid w:val="00321134"/>
    <w:rsid w:val="003225FB"/>
    <w:rsid w:val="00323A7C"/>
    <w:rsid w:val="00323C32"/>
    <w:rsid w:val="00324A1D"/>
    <w:rsid w:val="00324CD3"/>
    <w:rsid w:val="003256C6"/>
    <w:rsid w:val="00325742"/>
    <w:rsid w:val="00327AB3"/>
    <w:rsid w:val="00327B4F"/>
    <w:rsid w:val="00330264"/>
    <w:rsid w:val="00330C77"/>
    <w:rsid w:val="00331431"/>
    <w:rsid w:val="00331501"/>
    <w:rsid w:val="00331FA8"/>
    <w:rsid w:val="00332285"/>
    <w:rsid w:val="0033330A"/>
    <w:rsid w:val="003336A2"/>
    <w:rsid w:val="00336124"/>
    <w:rsid w:val="003372CE"/>
    <w:rsid w:val="0033746B"/>
    <w:rsid w:val="00337654"/>
    <w:rsid w:val="003401C5"/>
    <w:rsid w:val="00340A4F"/>
    <w:rsid w:val="0034149C"/>
    <w:rsid w:val="00342DC1"/>
    <w:rsid w:val="00343F41"/>
    <w:rsid w:val="00344D3F"/>
    <w:rsid w:val="00345EA7"/>
    <w:rsid w:val="0034652C"/>
    <w:rsid w:val="003467D0"/>
    <w:rsid w:val="0035067B"/>
    <w:rsid w:val="00350829"/>
    <w:rsid w:val="003513CE"/>
    <w:rsid w:val="00351B66"/>
    <w:rsid w:val="00351FB4"/>
    <w:rsid w:val="00354BE2"/>
    <w:rsid w:val="00355365"/>
    <w:rsid w:val="00355A27"/>
    <w:rsid w:val="00355BE1"/>
    <w:rsid w:val="003561DC"/>
    <w:rsid w:val="00360494"/>
    <w:rsid w:val="003606C5"/>
    <w:rsid w:val="00361532"/>
    <w:rsid w:val="00364567"/>
    <w:rsid w:val="003648FB"/>
    <w:rsid w:val="00365069"/>
    <w:rsid w:val="0036508D"/>
    <w:rsid w:val="003651C8"/>
    <w:rsid w:val="00366501"/>
    <w:rsid w:val="00366E66"/>
    <w:rsid w:val="00367464"/>
    <w:rsid w:val="0036763D"/>
    <w:rsid w:val="00370069"/>
    <w:rsid w:val="003700A3"/>
    <w:rsid w:val="00370B40"/>
    <w:rsid w:val="00370C92"/>
    <w:rsid w:val="00371C98"/>
    <w:rsid w:val="00372132"/>
    <w:rsid w:val="00373411"/>
    <w:rsid w:val="003740AF"/>
    <w:rsid w:val="003746BA"/>
    <w:rsid w:val="00375F3D"/>
    <w:rsid w:val="0037661F"/>
    <w:rsid w:val="00380094"/>
    <w:rsid w:val="0038063C"/>
    <w:rsid w:val="00381105"/>
    <w:rsid w:val="00382DF1"/>
    <w:rsid w:val="00382E98"/>
    <w:rsid w:val="00383071"/>
    <w:rsid w:val="00384605"/>
    <w:rsid w:val="00385464"/>
    <w:rsid w:val="00385A60"/>
    <w:rsid w:val="00385BC8"/>
    <w:rsid w:val="00385DA6"/>
    <w:rsid w:val="003867D1"/>
    <w:rsid w:val="00387541"/>
    <w:rsid w:val="003900BF"/>
    <w:rsid w:val="00390A2F"/>
    <w:rsid w:val="00390A3B"/>
    <w:rsid w:val="00391FAB"/>
    <w:rsid w:val="00392539"/>
    <w:rsid w:val="00392677"/>
    <w:rsid w:val="003926CA"/>
    <w:rsid w:val="003929D2"/>
    <w:rsid w:val="00392B70"/>
    <w:rsid w:val="00393F7C"/>
    <w:rsid w:val="00394981"/>
    <w:rsid w:val="003953A8"/>
    <w:rsid w:val="0039788E"/>
    <w:rsid w:val="003A0542"/>
    <w:rsid w:val="003A1234"/>
    <w:rsid w:val="003A2A2A"/>
    <w:rsid w:val="003A2DE5"/>
    <w:rsid w:val="003A3551"/>
    <w:rsid w:val="003A38F0"/>
    <w:rsid w:val="003A3F1C"/>
    <w:rsid w:val="003A443D"/>
    <w:rsid w:val="003A65A3"/>
    <w:rsid w:val="003A6A5A"/>
    <w:rsid w:val="003A72E9"/>
    <w:rsid w:val="003A7618"/>
    <w:rsid w:val="003A776F"/>
    <w:rsid w:val="003B1A3E"/>
    <w:rsid w:val="003B1E6B"/>
    <w:rsid w:val="003B29E9"/>
    <w:rsid w:val="003B32D9"/>
    <w:rsid w:val="003B49BE"/>
    <w:rsid w:val="003B4FA3"/>
    <w:rsid w:val="003B58DE"/>
    <w:rsid w:val="003B7DEC"/>
    <w:rsid w:val="003C0998"/>
    <w:rsid w:val="003C15BF"/>
    <w:rsid w:val="003C174E"/>
    <w:rsid w:val="003C32F5"/>
    <w:rsid w:val="003C3A19"/>
    <w:rsid w:val="003C5378"/>
    <w:rsid w:val="003D1544"/>
    <w:rsid w:val="003D2333"/>
    <w:rsid w:val="003D261A"/>
    <w:rsid w:val="003D3D11"/>
    <w:rsid w:val="003D4B4B"/>
    <w:rsid w:val="003D5357"/>
    <w:rsid w:val="003D5413"/>
    <w:rsid w:val="003D6728"/>
    <w:rsid w:val="003D69A1"/>
    <w:rsid w:val="003E1387"/>
    <w:rsid w:val="003E14AF"/>
    <w:rsid w:val="003E1D1C"/>
    <w:rsid w:val="003E2C23"/>
    <w:rsid w:val="003E2C9D"/>
    <w:rsid w:val="003E434F"/>
    <w:rsid w:val="003E47DE"/>
    <w:rsid w:val="003E4922"/>
    <w:rsid w:val="003E4C55"/>
    <w:rsid w:val="003E5086"/>
    <w:rsid w:val="003E5503"/>
    <w:rsid w:val="003E669F"/>
    <w:rsid w:val="003E7361"/>
    <w:rsid w:val="003F10D3"/>
    <w:rsid w:val="003F1548"/>
    <w:rsid w:val="003F24E5"/>
    <w:rsid w:val="003F2B3D"/>
    <w:rsid w:val="003F3105"/>
    <w:rsid w:val="003F39B2"/>
    <w:rsid w:val="003F4172"/>
    <w:rsid w:val="003F4249"/>
    <w:rsid w:val="003F5086"/>
    <w:rsid w:val="003F55F8"/>
    <w:rsid w:val="003F57FA"/>
    <w:rsid w:val="003F69C7"/>
    <w:rsid w:val="003F6A05"/>
    <w:rsid w:val="003F711C"/>
    <w:rsid w:val="004017C0"/>
    <w:rsid w:val="004023FB"/>
    <w:rsid w:val="004028C0"/>
    <w:rsid w:val="004032E7"/>
    <w:rsid w:val="00403364"/>
    <w:rsid w:val="00403A27"/>
    <w:rsid w:val="0040415C"/>
    <w:rsid w:val="00404507"/>
    <w:rsid w:val="004048B6"/>
    <w:rsid w:val="00406435"/>
    <w:rsid w:val="0041060F"/>
    <w:rsid w:val="0041155C"/>
    <w:rsid w:val="00411A3E"/>
    <w:rsid w:val="00413D3D"/>
    <w:rsid w:val="0041450E"/>
    <w:rsid w:val="00415370"/>
    <w:rsid w:val="0041577C"/>
    <w:rsid w:val="00415781"/>
    <w:rsid w:val="004157E2"/>
    <w:rsid w:val="00416246"/>
    <w:rsid w:val="00416613"/>
    <w:rsid w:val="00416DF0"/>
    <w:rsid w:val="00416F40"/>
    <w:rsid w:val="00417769"/>
    <w:rsid w:val="00420142"/>
    <w:rsid w:val="00421EF2"/>
    <w:rsid w:val="00422668"/>
    <w:rsid w:val="00422AE1"/>
    <w:rsid w:val="004244FC"/>
    <w:rsid w:val="00424DB1"/>
    <w:rsid w:val="00424E6B"/>
    <w:rsid w:val="0042530A"/>
    <w:rsid w:val="004256DF"/>
    <w:rsid w:val="004261D8"/>
    <w:rsid w:val="00426556"/>
    <w:rsid w:val="004270CC"/>
    <w:rsid w:val="00430DF1"/>
    <w:rsid w:val="00431AC1"/>
    <w:rsid w:val="004329C9"/>
    <w:rsid w:val="00432CD5"/>
    <w:rsid w:val="00432E47"/>
    <w:rsid w:val="00433E83"/>
    <w:rsid w:val="00433F72"/>
    <w:rsid w:val="00434354"/>
    <w:rsid w:val="004344C4"/>
    <w:rsid w:val="00434BCD"/>
    <w:rsid w:val="0043519B"/>
    <w:rsid w:val="00435B77"/>
    <w:rsid w:val="004363FA"/>
    <w:rsid w:val="004364CC"/>
    <w:rsid w:val="00440349"/>
    <w:rsid w:val="004405B0"/>
    <w:rsid w:val="004412D5"/>
    <w:rsid w:val="004416CF"/>
    <w:rsid w:val="00441FF9"/>
    <w:rsid w:val="00442BD9"/>
    <w:rsid w:val="0044382F"/>
    <w:rsid w:val="004442EB"/>
    <w:rsid w:val="00444A5F"/>
    <w:rsid w:val="00444D1B"/>
    <w:rsid w:val="004450B4"/>
    <w:rsid w:val="0044636B"/>
    <w:rsid w:val="0044642B"/>
    <w:rsid w:val="00446CBC"/>
    <w:rsid w:val="00447F81"/>
    <w:rsid w:val="00451D70"/>
    <w:rsid w:val="00452DFF"/>
    <w:rsid w:val="00454597"/>
    <w:rsid w:val="004548E6"/>
    <w:rsid w:val="0045543A"/>
    <w:rsid w:val="0045637C"/>
    <w:rsid w:val="0045681A"/>
    <w:rsid w:val="00456874"/>
    <w:rsid w:val="0045758B"/>
    <w:rsid w:val="00460A9C"/>
    <w:rsid w:val="00461AB8"/>
    <w:rsid w:val="00461D7C"/>
    <w:rsid w:val="00463B9E"/>
    <w:rsid w:val="00464299"/>
    <w:rsid w:val="0046542A"/>
    <w:rsid w:val="00466D03"/>
    <w:rsid w:val="00466F32"/>
    <w:rsid w:val="00470418"/>
    <w:rsid w:val="004712A2"/>
    <w:rsid w:val="00471619"/>
    <w:rsid w:val="00473236"/>
    <w:rsid w:val="004733F5"/>
    <w:rsid w:val="00473DEB"/>
    <w:rsid w:val="00474D79"/>
    <w:rsid w:val="00474E48"/>
    <w:rsid w:val="00477293"/>
    <w:rsid w:val="004776E3"/>
    <w:rsid w:val="00481AE5"/>
    <w:rsid w:val="0048231B"/>
    <w:rsid w:val="004823EB"/>
    <w:rsid w:val="00482608"/>
    <w:rsid w:val="0048309C"/>
    <w:rsid w:val="00485E3C"/>
    <w:rsid w:val="00487FCB"/>
    <w:rsid w:val="00491546"/>
    <w:rsid w:val="004922C4"/>
    <w:rsid w:val="00492735"/>
    <w:rsid w:val="00492D90"/>
    <w:rsid w:val="00493937"/>
    <w:rsid w:val="00494964"/>
    <w:rsid w:val="00494E38"/>
    <w:rsid w:val="00494FC9"/>
    <w:rsid w:val="0049615E"/>
    <w:rsid w:val="004A074B"/>
    <w:rsid w:val="004A0C34"/>
    <w:rsid w:val="004A15C8"/>
    <w:rsid w:val="004A1DE6"/>
    <w:rsid w:val="004A1F7B"/>
    <w:rsid w:val="004A201B"/>
    <w:rsid w:val="004A2FE9"/>
    <w:rsid w:val="004A3F2D"/>
    <w:rsid w:val="004A40F0"/>
    <w:rsid w:val="004A4377"/>
    <w:rsid w:val="004A55C5"/>
    <w:rsid w:val="004A57EB"/>
    <w:rsid w:val="004A5824"/>
    <w:rsid w:val="004A5DD7"/>
    <w:rsid w:val="004A6E53"/>
    <w:rsid w:val="004A6FD8"/>
    <w:rsid w:val="004B1C00"/>
    <w:rsid w:val="004B1CAB"/>
    <w:rsid w:val="004B27EA"/>
    <w:rsid w:val="004B2A6A"/>
    <w:rsid w:val="004B34C4"/>
    <w:rsid w:val="004B36ED"/>
    <w:rsid w:val="004B612E"/>
    <w:rsid w:val="004B623B"/>
    <w:rsid w:val="004B6B4D"/>
    <w:rsid w:val="004B7053"/>
    <w:rsid w:val="004B7E95"/>
    <w:rsid w:val="004C1879"/>
    <w:rsid w:val="004C3E02"/>
    <w:rsid w:val="004C422D"/>
    <w:rsid w:val="004C4A7E"/>
    <w:rsid w:val="004C4CEB"/>
    <w:rsid w:val="004C57BD"/>
    <w:rsid w:val="004C6748"/>
    <w:rsid w:val="004C6C0E"/>
    <w:rsid w:val="004C7231"/>
    <w:rsid w:val="004C7FBB"/>
    <w:rsid w:val="004D000F"/>
    <w:rsid w:val="004D38A6"/>
    <w:rsid w:val="004D5166"/>
    <w:rsid w:val="004D5C3F"/>
    <w:rsid w:val="004D65EA"/>
    <w:rsid w:val="004D7BF4"/>
    <w:rsid w:val="004D7C92"/>
    <w:rsid w:val="004D7CA3"/>
    <w:rsid w:val="004E0741"/>
    <w:rsid w:val="004E1C24"/>
    <w:rsid w:val="004E2038"/>
    <w:rsid w:val="004E2B0D"/>
    <w:rsid w:val="004E309C"/>
    <w:rsid w:val="004E38B2"/>
    <w:rsid w:val="004E3936"/>
    <w:rsid w:val="004E3A86"/>
    <w:rsid w:val="004E57F7"/>
    <w:rsid w:val="004E5D9C"/>
    <w:rsid w:val="004E5F4C"/>
    <w:rsid w:val="004E63AE"/>
    <w:rsid w:val="004E6B8E"/>
    <w:rsid w:val="004E7DDC"/>
    <w:rsid w:val="004F0543"/>
    <w:rsid w:val="004F2419"/>
    <w:rsid w:val="004F3906"/>
    <w:rsid w:val="004F4F62"/>
    <w:rsid w:val="004F593D"/>
    <w:rsid w:val="00500E73"/>
    <w:rsid w:val="00500F7A"/>
    <w:rsid w:val="005012AD"/>
    <w:rsid w:val="00501650"/>
    <w:rsid w:val="00502337"/>
    <w:rsid w:val="00502418"/>
    <w:rsid w:val="005027BB"/>
    <w:rsid w:val="00503448"/>
    <w:rsid w:val="005037E1"/>
    <w:rsid w:val="00503B5C"/>
    <w:rsid w:val="0050456A"/>
    <w:rsid w:val="00504AB8"/>
    <w:rsid w:val="00505C52"/>
    <w:rsid w:val="005068E1"/>
    <w:rsid w:val="0050690F"/>
    <w:rsid w:val="005077C5"/>
    <w:rsid w:val="0051055C"/>
    <w:rsid w:val="005105CF"/>
    <w:rsid w:val="00510629"/>
    <w:rsid w:val="00510655"/>
    <w:rsid w:val="0051168A"/>
    <w:rsid w:val="005117E6"/>
    <w:rsid w:val="00511EB8"/>
    <w:rsid w:val="005122F4"/>
    <w:rsid w:val="00514224"/>
    <w:rsid w:val="00515416"/>
    <w:rsid w:val="005155D1"/>
    <w:rsid w:val="005156A6"/>
    <w:rsid w:val="00515A78"/>
    <w:rsid w:val="005162EA"/>
    <w:rsid w:val="0051637E"/>
    <w:rsid w:val="00516393"/>
    <w:rsid w:val="00516CB7"/>
    <w:rsid w:val="00517B6B"/>
    <w:rsid w:val="005202DF"/>
    <w:rsid w:val="00520B4F"/>
    <w:rsid w:val="00520DA4"/>
    <w:rsid w:val="005230DC"/>
    <w:rsid w:val="00523636"/>
    <w:rsid w:val="00524AD7"/>
    <w:rsid w:val="00524F79"/>
    <w:rsid w:val="0052545B"/>
    <w:rsid w:val="00525EDF"/>
    <w:rsid w:val="005260DC"/>
    <w:rsid w:val="005268A5"/>
    <w:rsid w:val="005304E5"/>
    <w:rsid w:val="00530B54"/>
    <w:rsid w:val="005316E8"/>
    <w:rsid w:val="00531F6A"/>
    <w:rsid w:val="0053215E"/>
    <w:rsid w:val="0053269A"/>
    <w:rsid w:val="00532A71"/>
    <w:rsid w:val="00533920"/>
    <w:rsid w:val="00534049"/>
    <w:rsid w:val="00534162"/>
    <w:rsid w:val="0053480B"/>
    <w:rsid w:val="00534E1E"/>
    <w:rsid w:val="00534F86"/>
    <w:rsid w:val="00535324"/>
    <w:rsid w:val="00535AA6"/>
    <w:rsid w:val="00535EB9"/>
    <w:rsid w:val="005362CD"/>
    <w:rsid w:val="00537BA8"/>
    <w:rsid w:val="005406FD"/>
    <w:rsid w:val="00540F79"/>
    <w:rsid w:val="00541648"/>
    <w:rsid w:val="0054216F"/>
    <w:rsid w:val="00542773"/>
    <w:rsid w:val="00542F18"/>
    <w:rsid w:val="00543308"/>
    <w:rsid w:val="0054426D"/>
    <w:rsid w:val="00544853"/>
    <w:rsid w:val="00544FEF"/>
    <w:rsid w:val="005450E2"/>
    <w:rsid w:val="00546105"/>
    <w:rsid w:val="005506C8"/>
    <w:rsid w:val="0055350C"/>
    <w:rsid w:val="00554D7F"/>
    <w:rsid w:val="00557078"/>
    <w:rsid w:val="005572CD"/>
    <w:rsid w:val="00557537"/>
    <w:rsid w:val="0055764E"/>
    <w:rsid w:val="005601C2"/>
    <w:rsid w:val="00560528"/>
    <w:rsid w:val="00560CB1"/>
    <w:rsid w:val="005617F1"/>
    <w:rsid w:val="00561923"/>
    <w:rsid w:val="005624DF"/>
    <w:rsid w:val="0056310A"/>
    <w:rsid w:val="00565CB9"/>
    <w:rsid w:val="00566B38"/>
    <w:rsid w:val="00566B5A"/>
    <w:rsid w:val="00570DD7"/>
    <w:rsid w:val="005712A0"/>
    <w:rsid w:val="00571489"/>
    <w:rsid w:val="00571D59"/>
    <w:rsid w:val="00572E3E"/>
    <w:rsid w:val="00572FDC"/>
    <w:rsid w:val="005732B3"/>
    <w:rsid w:val="0057420B"/>
    <w:rsid w:val="00576168"/>
    <w:rsid w:val="00576D6F"/>
    <w:rsid w:val="00577F50"/>
    <w:rsid w:val="00580280"/>
    <w:rsid w:val="00580457"/>
    <w:rsid w:val="0058053F"/>
    <w:rsid w:val="0058135A"/>
    <w:rsid w:val="005817C6"/>
    <w:rsid w:val="00582C5F"/>
    <w:rsid w:val="00583F84"/>
    <w:rsid w:val="00584058"/>
    <w:rsid w:val="00584CDA"/>
    <w:rsid w:val="00585373"/>
    <w:rsid w:val="00585571"/>
    <w:rsid w:val="00585B91"/>
    <w:rsid w:val="00586BF1"/>
    <w:rsid w:val="00587DEC"/>
    <w:rsid w:val="00587F0E"/>
    <w:rsid w:val="00590188"/>
    <w:rsid w:val="005903E4"/>
    <w:rsid w:val="00591642"/>
    <w:rsid w:val="00591909"/>
    <w:rsid w:val="00591A92"/>
    <w:rsid w:val="005926CB"/>
    <w:rsid w:val="00592907"/>
    <w:rsid w:val="005931DF"/>
    <w:rsid w:val="005950D6"/>
    <w:rsid w:val="005957B7"/>
    <w:rsid w:val="0059630F"/>
    <w:rsid w:val="0059751C"/>
    <w:rsid w:val="00597919"/>
    <w:rsid w:val="005A0912"/>
    <w:rsid w:val="005A0B9F"/>
    <w:rsid w:val="005A2D81"/>
    <w:rsid w:val="005A37BE"/>
    <w:rsid w:val="005A442D"/>
    <w:rsid w:val="005A4DAE"/>
    <w:rsid w:val="005A4E9A"/>
    <w:rsid w:val="005A619D"/>
    <w:rsid w:val="005A63D8"/>
    <w:rsid w:val="005A7639"/>
    <w:rsid w:val="005A7D4A"/>
    <w:rsid w:val="005A7DBE"/>
    <w:rsid w:val="005B0376"/>
    <w:rsid w:val="005B0FA9"/>
    <w:rsid w:val="005B1F62"/>
    <w:rsid w:val="005B2828"/>
    <w:rsid w:val="005B2ED3"/>
    <w:rsid w:val="005B2ED6"/>
    <w:rsid w:val="005B3125"/>
    <w:rsid w:val="005B3606"/>
    <w:rsid w:val="005B377D"/>
    <w:rsid w:val="005B49B6"/>
    <w:rsid w:val="005B5CB6"/>
    <w:rsid w:val="005B72CC"/>
    <w:rsid w:val="005B76AB"/>
    <w:rsid w:val="005B7733"/>
    <w:rsid w:val="005B78E8"/>
    <w:rsid w:val="005B7A22"/>
    <w:rsid w:val="005C0602"/>
    <w:rsid w:val="005C19C1"/>
    <w:rsid w:val="005C2D2B"/>
    <w:rsid w:val="005C40C7"/>
    <w:rsid w:val="005C47B5"/>
    <w:rsid w:val="005C48E0"/>
    <w:rsid w:val="005C4C17"/>
    <w:rsid w:val="005C5654"/>
    <w:rsid w:val="005C5B52"/>
    <w:rsid w:val="005C6587"/>
    <w:rsid w:val="005C6C1A"/>
    <w:rsid w:val="005D0E3F"/>
    <w:rsid w:val="005D2998"/>
    <w:rsid w:val="005D3384"/>
    <w:rsid w:val="005D4A35"/>
    <w:rsid w:val="005D4CF7"/>
    <w:rsid w:val="005D5347"/>
    <w:rsid w:val="005D5415"/>
    <w:rsid w:val="005D5CC5"/>
    <w:rsid w:val="005D6812"/>
    <w:rsid w:val="005D6BB6"/>
    <w:rsid w:val="005D7404"/>
    <w:rsid w:val="005D787B"/>
    <w:rsid w:val="005E0193"/>
    <w:rsid w:val="005E12BE"/>
    <w:rsid w:val="005E1BCA"/>
    <w:rsid w:val="005E1D25"/>
    <w:rsid w:val="005E248F"/>
    <w:rsid w:val="005E4DD1"/>
    <w:rsid w:val="005E570E"/>
    <w:rsid w:val="005E5D44"/>
    <w:rsid w:val="005E6881"/>
    <w:rsid w:val="005E76F0"/>
    <w:rsid w:val="005E77F3"/>
    <w:rsid w:val="005F0417"/>
    <w:rsid w:val="005F18B9"/>
    <w:rsid w:val="005F231E"/>
    <w:rsid w:val="005F2EA8"/>
    <w:rsid w:val="005F315A"/>
    <w:rsid w:val="005F34CB"/>
    <w:rsid w:val="005F4882"/>
    <w:rsid w:val="005F64C6"/>
    <w:rsid w:val="006007CC"/>
    <w:rsid w:val="006008F1"/>
    <w:rsid w:val="00601006"/>
    <w:rsid w:val="00601600"/>
    <w:rsid w:val="00601735"/>
    <w:rsid w:val="0060199F"/>
    <w:rsid w:val="006021F5"/>
    <w:rsid w:val="00602AD8"/>
    <w:rsid w:val="00602BD2"/>
    <w:rsid w:val="00602D38"/>
    <w:rsid w:val="00603916"/>
    <w:rsid w:val="0060586B"/>
    <w:rsid w:val="00605D47"/>
    <w:rsid w:val="0060687F"/>
    <w:rsid w:val="006072F2"/>
    <w:rsid w:val="00607840"/>
    <w:rsid w:val="0060792D"/>
    <w:rsid w:val="006115F6"/>
    <w:rsid w:val="006128AE"/>
    <w:rsid w:val="006134E3"/>
    <w:rsid w:val="00613690"/>
    <w:rsid w:val="00613C47"/>
    <w:rsid w:val="00613DEF"/>
    <w:rsid w:val="0061411D"/>
    <w:rsid w:val="006146D5"/>
    <w:rsid w:val="00615856"/>
    <w:rsid w:val="006159F9"/>
    <w:rsid w:val="00616201"/>
    <w:rsid w:val="00616225"/>
    <w:rsid w:val="006178A5"/>
    <w:rsid w:val="0061795B"/>
    <w:rsid w:val="00617A8B"/>
    <w:rsid w:val="00617D13"/>
    <w:rsid w:val="00620CC6"/>
    <w:rsid w:val="00621C47"/>
    <w:rsid w:val="00621D5E"/>
    <w:rsid w:val="00621E6F"/>
    <w:rsid w:val="006221E2"/>
    <w:rsid w:val="00622FEA"/>
    <w:rsid w:val="006239D9"/>
    <w:rsid w:val="00623CDF"/>
    <w:rsid w:val="00623DB1"/>
    <w:rsid w:val="00623F6D"/>
    <w:rsid w:val="006245F3"/>
    <w:rsid w:val="006247B2"/>
    <w:rsid w:val="006258D1"/>
    <w:rsid w:val="006259F6"/>
    <w:rsid w:val="006319CA"/>
    <w:rsid w:val="00631D72"/>
    <w:rsid w:val="006321CA"/>
    <w:rsid w:val="00632CE5"/>
    <w:rsid w:val="00633C07"/>
    <w:rsid w:val="006346C5"/>
    <w:rsid w:val="00634A6B"/>
    <w:rsid w:val="00634EC0"/>
    <w:rsid w:val="00635C2C"/>
    <w:rsid w:val="0063627F"/>
    <w:rsid w:val="00636916"/>
    <w:rsid w:val="006420A0"/>
    <w:rsid w:val="00642D72"/>
    <w:rsid w:val="00642F79"/>
    <w:rsid w:val="00643AFC"/>
    <w:rsid w:val="00643F5A"/>
    <w:rsid w:val="006443CB"/>
    <w:rsid w:val="00644402"/>
    <w:rsid w:val="0064472C"/>
    <w:rsid w:val="00644F38"/>
    <w:rsid w:val="00644F80"/>
    <w:rsid w:val="00645867"/>
    <w:rsid w:val="00645874"/>
    <w:rsid w:val="00646A6B"/>
    <w:rsid w:val="00647029"/>
    <w:rsid w:val="00647DDA"/>
    <w:rsid w:val="0065059D"/>
    <w:rsid w:val="00651FC1"/>
    <w:rsid w:val="006556E0"/>
    <w:rsid w:val="0065617B"/>
    <w:rsid w:val="006567E7"/>
    <w:rsid w:val="00657A27"/>
    <w:rsid w:val="00660C69"/>
    <w:rsid w:val="00661884"/>
    <w:rsid w:val="00661918"/>
    <w:rsid w:val="00662A5A"/>
    <w:rsid w:val="006641E8"/>
    <w:rsid w:val="006653D7"/>
    <w:rsid w:val="00666373"/>
    <w:rsid w:val="006665BA"/>
    <w:rsid w:val="00666A4F"/>
    <w:rsid w:val="00667382"/>
    <w:rsid w:val="006703D9"/>
    <w:rsid w:val="00670F26"/>
    <w:rsid w:val="00671585"/>
    <w:rsid w:val="0067250A"/>
    <w:rsid w:val="00672AE7"/>
    <w:rsid w:val="00672F3F"/>
    <w:rsid w:val="00673A43"/>
    <w:rsid w:val="00674466"/>
    <w:rsid w:val="0067563B"/>
    <w:rsid w:val="00676473"/>
    <w:rsid w:val="006766EA"/>
    <w:rsid w:val="00677008"/>
    <w:rsid w:val="00677364"/>
    <w:rsid w:val="00677AC9"/>
    <w:rsid w:val="006801D1"/>
    <w:rsid w:val="00680936"/>
    <w:rsid w:val="00680D57"/>
    <w:rsid w:val="00680D8C"/>
    <w:rsid w:val="00681A60"/>
    <w:rsid w:val="00682725"/>
    <w:rsid w:val="00683372"/>
    <w:rsid w:val="00683567"/>
    <w:rsid w:val="00686975"/>
    <w:rsid w:val="00687868"/>
    <w:rsid w:val="00687ACA"/>
    <w:rsid w:val="00690233"/>
    <w:rsid w:val="00690318"/>
    <w:rsid w:val="00691886"/>
    <w:rsid w:val="00691E76"/>
    <w:rsid w:val="006923DD"/>
    <w:rsid w:val="00692582"/>
    <w:rsid w:val="00693652"/>
    <w:rsid w:val="006939E7"/>
    <w:rsid w:val="00693D3E"/>
    <w:rsid w:val="006942F7"/>
    <w:rsid w:val="00694C16"/>
    <w:rsid w:val="00696D81"/>
    <w:rsid w:val="006972EE"/>
    <w:rsid w:val="00697D03"/>
    <w:rsid w:val="00697E85"/>
    <w:rsid w:val="006A05D9"/>
    <w:rsid w:val="006A0F09"/>
    <w:rsid w:val="006A2150"/>
    <w:rsid w:val="006A241D"/>
    <w:rsid w:val="006A3288"/>
    <w:rsid w:val="006A39D8"/>
    <w:rsid w:val="006A4127"/>
    <w:rsid w:val="006A43E6"/>
    <w:rsid w:val="006A586C"/>
    <w:rsid w:val="006A5D1B"/>
    <w:rsid w:val="006A5F2E"/>
    <w:rsid w:val="006A5F56"/>
    <w:rsid w:val="006A70BE"/>
    <w:rsid w:val="006A7F68"/>
    <w:rsid w:val="006B059F"/>
    <w:rsid w:val="006B07E8"/>
    <w:rsid w:val="006B0A4C"/>
    <w:rsid w:val="006B15A0"/>
    <w:rsid w:val="006B224E"/>
    <w:rsid w:val="006B317A"/>
    <w:rsid w:val="006B4794"/>
    <w:rsid w:val="006B5384"/>
    <w:rsid w:val="006B53E2"/>
    <w:rsid w:val="006B5AF1"/>
    <w:rsid w:val="006B62C1"/>
    <w:rsid w:val="006B6588"/>
    <w:rsid w:val="006B680E"/>
    <w:rsid w:val="006B6F32"/>
    <w:rsid w:val="006B7130"/>
    <w:rsid w:val="006C232F"/>
    <w:rsid w:val="006C2821"/>
    <w:rsid w:val="006C2916"/>
    <w:rsid w:val="006C3009"/>
    <w:rsid w:val="006C30F1"/>
    <w:rsid w:val="006C4150"/>
    <w:rsid w:val="006C4E7E"/>
    <w:rsid w:val="006C5209"/>
    <w:rsid w:val="006C5683"/>
    <w:rsid w:val="006C5E33"/>
    <w:rsid w:val="006C5E48"/>
    <w:rsid w:val="006C6434"/>
    <w:rsid w:val="006C6623"/>
    <w:rsid w:val="006C6FB2"/>
    <w:rsid w:val="006C7C2B"/>
    <w:rsid w:val="006C7D77"/>
    <w:rsid w:val="006D013F"/>
    <w:rsid w:val="006D017F"/>
    <w:rsid w:val="006D02B1"/>
    <w:rsid w:val="006D08E0"/>
    <w:rsid w:val="006D0D76"/>
    <w:rsid w:val="006D1263"/>
    <w:rsid w:val="006D1BDE"/>
    <w:rsid w:val="006D1D3F"/>
    <w:rsid w:val="006D1E72"/>
    <w:rsid w:val="006D253B"/>
    <w:rsid w:val="006D2766"/>
    <w:rsid w:val="006D3C45"/>
    <w:rsid w:val="006D57CB"/>
    <w:rsid w:val="006D6099"/>
    <w:rsid w:val="006D6CDD"/>
    <w:rsid w:val="006D6F77"/>
    <w:rsid w:val="006D75F2"/>
    <w:rsid w:val="006E051C"/>
    <w:rsid w:val="006E0CC8"/>
    <w:rsid w:val="006E0CE6"/>
    <w:rsid w:val="006E4238"/>
    <w:rsid w:val="006E468B"/>
    <w:rsid w:val="006E497B"/>
    <w:rsid w:val="006E51F3"/>
    <w:rsid w:val="006E554A"/>
    <w:rsid w:val="006E5870"/>
    <w:rsid w:val="006E61A7"/>
    <w:rsid w:val="006E6228"/>
    <w:rsid w:val="006E67AF"/>
    <w:rsid w:val="006E78D9"/>
    <w:rsid w:val="006E7B97"/>
    <w:rsid w:val="006F0B0A"/>
    <w:rsid w:val="006F281F"/>
    <w:rsid w:val="006F37BE"/>
    <w:rsid w:val="006F381B"/>
    <w:rsid w:val="006F45C7"/>
    <w:rsid w:val="006F4D80"/>
    <w:rsid w:val="006F6D4C"/>
    <w:rsid w:val="006F6E67"/>
    <w:rsid w:val="006F7157"/>
    <w:rsid w:val="006F78E0"/>
    <w:rsid w:val="006F7DA0"/>
    <w:rsid w:val="007001C2"/>
    <w:rsid w:val="007021D9"/>
    <w:rsid w:val="00702B1B"/>
    <w:rsid w:val="007039E0"/>
    <w:rsid w:val="00704164"/>
    <w:rsid w:val="0070439C"/>
    <w:rsid w:val="00704A72"/>
    <w:rsid w:val="00706047"/>
    <w:rsid w:val="00706653"/>
    <w:rsid w:val="00706A58"/>
    <w:rsid w:val="00706F95"/>
    <w:rsid w:val="00707275"/>
    <w:rsid w:val="00707398"/>
    <w:rsid w:val="007073E0"/>
    <w:rsid w:val="00707E0D"/>
    <w:rsid w:val="00707EAB"/>
    <w:rsid w:val="007110E1"/>
    <w:rsid w:val="0071148D"/>
    <w:rsid w:val="007138F4"/>
    <w:rsid w:val="00713E34"/>
    <w:rsid w:val="00714394"/>
    <w:rsid w:val="00714910"/>
    <w:rsid w:val="007149FB"/>
    <w:rsid w:val="00714C8D"/>
    <w:rsid w:val="00714C8F"/>
    <w:rsid w:val="007168F8"/>
    <w:rsid w:val="00720281"/>
    <w:rsid w:val="007205A6"/>
    <w:rsid w:val="00720876"/>
    <w:rsid w:val="0072153C"/>
    <w:rsid w:val="00721F7E"/>
    <w:rsid w:val="00722541"/>
    <w:rsid w:val="007225D4"/>
    <w:rsid w:val="00722E29"/>
    <w:rsid w:val="00724606"/>
    <w:rsid w:val="00724A42"/>
    <w:rsid w:val="00724E85"/>
    <w:rsid w:val="0072619E"/>
    <w:rsid w:val="0072701F"/>
    <w:rsid w:val="00731866"/>
    <w:rsid w:val="00732CA0"/>
    <w:rsid w:val="007332DD"/>
    <w:rsid w:val="00734016"/>
    <w:rsid w:val="00734887"/>
    <w:rsid w:val="0073511C"/>
    <w:rsid w:val="00735A9A"/>
    <w:rsid w:val="00735C97"/>
    <w:rsid w:val="007365B6"/>
    <w:rsid w:val="007401E2"/>
    <w:rsid w:val="007406DE"/>
    <w:rsid w:val="00740702"/>
    <w:rsid w:val="00740961"/>
    <w:rsid w:val="007411E5"/>
    <w:rsid w:val="0074160E"/>
    <w:rsid w:val="00741BC0"/>
    <w:rsid w:val="00743A27"/>
    <w:rsid w:val="00744133"/>
    <w:rsid w:val="00744B17"/>
    <w:rsid w:val="00746951"/>
    <w:rsid w:val="00746C30"/>
    <w:rsid w:val="00746FA7"/>
    <w:rsid w:val="00747144"/>
    <w:rsid w:val="007474A3"/>
    <w:rsid w:val="0074791E"/>
    <w:rsid w:val="007500C7"/>
    <w:rsid w:val="007505A4"/>
    <w:rsid w:val="0075115D"/>
    <w:rsid w:val="007526D1"/>
    <w:rsid w:val="00753890"/>
    <w:rsid w:val="00754508"/>
    <w:rsid w:val="007555DF"/>
    <w:rsid w:val="00756A54"/>
    <w:rsid w:val="007576C8"/>
    <w:rsid w:val="00760228"/>
    <w:rsid w:val="00761434"/>
    <w:rsid w:val="00761FD5"/>
    <w:rsid w:val="00765999"/>
    <w:rsid w:val="00765DD8"/>
    <w:rsid w:val="00766D36"/>
    <w:rsid w:val="00767607"/>
    <w:rsid w:val="00767D72"/>
    <w:rsid w:val="0077077A"/>
    <w:rsid w:val="00770F09"/>
    <w:rsid w:val="00772D63"/>
    <w:rsid w:val="007732B2"/>
    <w:rsid w:val="0077345D"/>
    <w:rsid w:val="00773609"/>
    <w:rsid w:val="00773874"/>
    <w:rsid w:val="00774126"/>
    <w:rsid w:val="00775B93"/>
    <w:rsid w:val="007763A8"/>
    <w:rsid w:val="007809E2"/>
    <w:rsid w:val="00782E1E"/>
    <w:rsid w:val="00783ED2"/>
    <w:rsid w:val="007840F3"/>
    <w:rsid w:val="00785491"/>
    <w:rsid w:val="00785554"/>
    <w:rsid w:val="007858C0"/>
    <w:rsid w:val="00785E94"/>
    <w:rsid w:val="0078679A"/>
    <w:rsid w:val="0078741F"/>
    <w:rsid w:val="00787929"/>
    <w:rsid w:val="007902F5"/>
    <w:rsid w:val="007908ED"/>
    <w:rsid w:val="00792447"/>
    <w:rsid w:val="007931FB"/>
    <w:rsid w:val="00795F75"/>
    <w:rsid w:val="00796006"/>
    <w:rsid w:val="0079694C"/>
    <w:rsid w:val="00796AA5"/>
    <w:rsid w:val="007A0270"/>
    <w:rsid w:val="007A0B8C"/>
    <w:rsid w:val="007A10E2"/>
    <w:rsid w:val="007A12A5"/>
    <w:rsid w:val="007A147E"/>
    <w:rsid w:val="007A174C"/>
    <w:rsid w:val="007A1F4E"/>
    <w:rsid w:val="007A1F7E"/>
    <w:rsid w:val="007A224E"/>
    <w:rsid w:val="007A48D1"/>
    <w:rsid w:val="007A4DE2"/>
    <w:rsid w:val="007A4E17"/>
    <w:rsid w:val="007A5170"/>
    <w:rsid w:val="007A7F6D"/>
    <w:rsid w:val="007B1BAF"/>
    <w:rsid w:val="007B1FCC"/>
    <w:rsid w:val="007B29E0"/>
    <w:rsid w:val="007B4D36"/>
    <w:rsid w:val="007B4F72"/>
    <w:rsid w:val="007B5100"/>
    <w:rsid w:val="007B5709"/>
    <w:rsid w:val="007B6633"/>
    <w:rsid w:val="007B6A4E"/>
    <w:rsid w:val="007B79AC"/>
    <w:rsid w:val="007B7A74"/>
    <w:rsid w:val="007C08D6"/>
    <w:rsid w:val="007C0971"/>
    <w:rsid w:val="007C0A22"/>
    <w:rsid w:val="007C0E04"/>
    <w:rsid w:val="007C195F"/>
    <w:rsid w:val="007C2827"/>
    <w:rsid w:val="007C3A26"/>
    <w:rsid w:val="007C3D59"/>
    <w:rsid w:val="007C463F"/>
    <w:rsid w:val="007C49BC"/>
    <w:rsid w:val="007C49EF"/>
    <w:rsid w:val="007C5456"/>
    <w:rsid w:val="007C74B5"/>
    <w:rsid w:val="007C74E5"/>
    <w:rsid w:val="007D02AF"/>
    <w:rsid w:val="007D0D16"/>
    <w:rsid w:val="007D0E43"/>
    <w:rsid w:val="007D0F4E"/>
    <w:rsid w:val="007D13E7"/>
    <w:rsid w:val="007D1E37"/>
    <w:rsid w:val="007D2FF9"/>
    <w:rsid w:val="007D37B7"/>
    <w:rsid w:val="007D4029"/>
    <w:rsid w:val="007D4C55"/>
    <w:rsid w:val="007D4C9E"/>
    <w:rsid w:val="007D563E"/>
    <w:rsid w:val="007D5723"/>
    <w:rsid w:val="007D5FC1"/>
    <w:rsid w:val="007D715A"/>
    <w:rsid w:val="007D741C"/>
    <w:rsid w:val="007E0251"/>
    <w:rsid w:val="007E09FD"/>
    <w:rsid w:val="007E0E9E"/>
    <w:rsid w:val="007E1087"/>
    <w:rsid w:val="007E180F"/>
    <w:rsid w:val="007E21FB"/>
    <w:rsid w:val="007E27D4"/>
    <w:rsid w:val="007E420B"/>
    <w:rsid w:val="007E4932"/>
    <w:rsid w:val="007E4F1C"/>
    <w:rsid w:val="007E502C"/>
    <w:rsid w:val="007E5BD7"/>
    <w:rsid w:val="007E6EA9"/>
    <w:rsid w:val="007E7968"/>
    <w:rsid w:val="007F013A"/>
    <w:rsid w:val="007F03FF"/>
    <w:rsid w:val="007F05A4"/>
    <w:rsid w:val="007F1E51"/>
    <w:rsid w:val="007F2AC7"/>
    <w:rsid w:val="007F2D90"/>
    <w:rsid w:val="007F36BB"/>
    <w:rsid w:val="007F3DA9"/>
    <w:rsid w:val="007F4F13"/>
    <w:rsid w:val="007F4F82"/>
    <w:rsid w:val="007F5614"/>
    <w:rsid w:val="007F5811"/>
    <w:rsid w:val="0080057A"/>
    <w:rsid w:val="008006CB"/>
    <w:rsid w:val="008008D5"/>
    <w:rsid w:val="0080121F"/>
    <w:rsid w:val="00802AE6"/>
    <w:rsid w:val="00802FE3"/>
    <w:rsid w:val="00803441"/>
    <w:rsid w:val="00803B99"/>
    <w:rsid w:val="00804653"/>
    <w:rsid w:val="00805148"/>
    <w:rsid w:val="00806A84"/>
    <w:rsid w:val="008076FA"/>
    <w:rsid w:val="00807C6C"/>
    <w:rsid w:val="008100A7"/>
    <w:rsid w:val="00810E84"/>
    <w:rsid w:val="0081114B"/>
    <w:rsid w:val="00811C98"/>
    <w:rsid w:val="00813269"/>
    <w:rsid w:val="0081340B"/>
    <w:rsid w:val="008155E5"/>
    <w:rsid w:val="008171B3"/>
    <w:rsid w:val="00817BB4"/>
    <w:rsid w:val="00817D3A"/>
    <w:rsid w:val="00821021"/>
    <w:rsid w:val="008214BB"/>
    <w:rsid w:val="00821B58"/>
    <w:rsid w:val="00822D4E"/>
    <w:rsid w:val="008232D9"/>
    <w:rsid w:val="00823731"/>
    <w:rsid w:val="008238AB"/>
    <w:rsid w:val="00823B36"/>
    <w:rsid w:val="00823F11"/>
    <w:rsid w:val="00824C3A"/>
    <w:rsid w:val="008257BB"/>
    <w:rsid w:val="00826F4C"/>
    <w:rsid w:val="008276C7"/>
    <w:rsid w:val="008312D2"/>
    <w:rsid w:val="00831925"/>
    <w:rsid w:val="00832A11"/>
    <w:rsid w:val="008333B7"/>
    <w:rsid w:val="008337F1"/>
    <w:rsid w:val="00833F63"/>
    <w:rsid w:val="00834E59"/>
    <w:rsid w:val="008359DC"/>
    <w:rsid w:val="00835AA2"/>
    <w:rsid w:val="008365E4"/>
    <w:rsid w:val="008377DA"/>
    <w:rsid w:val="00837B84"/>
    <w:rsid w:val="00840163"/>
    <w:rsid w:val="00842EF1"/>
    <w:rsid w:val="00845A15"/>
    <w:rsid w:val="0084632F"/>
    <w:rsid w:val="0084774C"/>
    <w:rsid w:val="00851368"/>
    <w:rsid w:val="00851AA0"/>
    <w:rsid w:val="0085471E"/>
    <w:rsid w:val="00855B06"/>
    <w:rsid w:val="00856596"/>
    <w:rsid w:val="0085664A"/>
    <w:rsid w:val="00856805"/>
    <w:rsid w:val="0085685A"/>
    <w:rsid w:val="00857D29"/>
    <w:rsid w:val="00857DF4"/>
    <w:rsid w:val="008601BD"/>
    <w:rsid w:val="008615A8"/>
    <w:rsid w:val="008619FA"/>
    <w:rsid w:val="008629A8"/>
    <w:rsid w:val="00862B02"/>
    <w:rsid w:val="00862E84"/>
    <w:rsid w:val="00864169"/>
    <w:rsid w:val="008645C3"/>
    <w:rsid w:val="008645D1"/>
    <w:rsid w:val="008646E3"/>
    <w:rsid w:val="00864D2B"/>
    <w:rsid w:val="00865139"/>
    <w:rsid w:val="00865903"/>
    <w:rsid w:val="008667C6"/>
    <w:rsid w:val="008702EB"/>
    <w:rsid w:val="008706CA"/>
    <w:rsid w:val="00870CB6"/>
    <w:rsid w:val="00871A77"/>
    <w:rsid w:val="00871DF2"/>
    <w:rsid w:val="00872116"/>
    <w:rsid w:val="00872E75"/>
    <w:rsid w:val="00873FEA"/>
    <w:rsid w:val="0087419B"/>
    <w:rsid w:val="00874592"/>
    <w:rsid w:val="00874AF5"/>
    <w:rsid w:val="00875CF1"/>
    <w:rsid w:val="00876405"/>
    <w:rsid w:val="00877701"/>
    <w:rsid w:val="008804F5"/>
    <w:rsid w:val="00880819"/>
    <w:rsid w:val="00880EEB"/>
    <w:rsid w:val="00881074"/>
    <w:rsid w:val="008818F6"/>
    <w:rsid w:val="00883623"/>
    <w:rsid w:val="0088398E"/>
    <w:rsid w:val="008839EA"/>
    <w:rsid w:val="00883AA3"/>
    <w:rsid w:val="00883B34"/>
    <w:rsid w:val="00884F18"/>
    <w:rsid w:val="0088513A"/>
    <w:rsid w:val="00885698"/>
    <w:rsid w:val="00885B57"/>
    <w:rsid w:val="00886532"/>
    <w:rsid w:val="00886C16"/>
    <w:rsid w:val="0088705B"/>
    <w:rsid w:val="008873C9"/>
    <w:rsid w:val="00887464"/>
    <w:rsid w:val="00887E02"/>
    <w:rsid w:val="00890024"/>
    <w:rsid w:val="00890DBB"/>
    <w:rsid w:val="0089273F"/>
    <w:rsid w:val="00893479"/>
    <w:rsid w:val="00893629"/>
    <w:rsid w:val="00893B63"/>
    <w:rsid w:val="00893CFD"/>
    <w:rsid w:val="00895DB5"/>
    <w:rsid w:val="00896F3D"/>
    <w:rsid w:val="00897AD9"/>
    <w:rsid w:val="008A0E1F"/>
    <w:rsid w:val="008A1C47"/>
    <w:rsid w:val="008A2446"/>
    <w:rsid w:val="008A429B"/>
    <w:rsid w:val="008A4A7C"/>
    <w:rsid w:val="008A5290"/>
    <w:rsid w:val="008A5698"/>
    <w:rsid w:val="008A593A"/>
    <w:rsid w:val="008A6C5A"/>
    <w:rsid w:val="008B0563"/>
    <w:rsid w:val="008B1181"/>
    <w:rsid w:val="008B2215"/>
    <w:rsid w:val="008B2DF3"/>
    <w:rsid w:val="008B376A"/>
    <w:rsid w:val="008B602A"/>
    <w:rsid w:val="008B7220"/>
    <w:rsid w:val="008B7AD7"/>
    <w:rsid w:val="008C08A5"/>
    <w:rsid w:val="008C0F63"/>
    <w:rsid w:val="008C11DC"/>
    <w:rsid w:val="008C28FF"/>
    <w:rsid w:val="008C382C"/>
    <w:rsid w:val="008C4D58"/>
    <w:rsid w:val="008C588D"/>
    <w:rsid w:val="008C64E3"/>
    <w:rsid w:val="008C6C23"/>
    <w:rsid w:val="008C778B"/>
    <w:rsid w:val="008C77CC"/>
    <w:rsid w:val="008C7EF4"/>
    <w:rsid w:val="008D00E2"/>
    <w:rsid w:val="008D0316"/>
    <w:rsid w:val="008D0D1E"/>
    <w:rsid w:val="008D1A2B"/>
    <w:rsid w:val="008D21F5"/>
    <w:rsid w:val="008D2E4B"/>
    <w:rsid w:val="008D3093"/>
    <w:rsid w:val="008D6554"/>
    <w:rsid w:val="008E041F"/>
    <w:rsid w:val="008E0F84"/>
    <w:rsid w:val="008E1E54"/>
    <w:rsid w:val="008E2DBF"/>
    <w:rsid w:val="008E3A28"/>
    <w:rsid w:val="008E3C88"/>
    <w:rsid w:val="008E3CEA"/>
    <w:rsid w:val="008E5B84"/>
    <w:rsid w:val="008E67E1"/>
    <w:rsid w:val="008E682B"/>
    <w:rsid w:val="008E6E3A"/>
    <w:rsid w:val="008F022C"/>
    <w:rsid w:val="008F026E"/>
    <w:rsid w:val="008F0EFA"/>
    <w:rsid w:val="008F202A"/>
    <w:rsid w:val="008F2124"/>
    <w:rsid w:val="008F2576"/>
    <w:rsid w:val="008F2F39"/>
    <w:rsid w:val="008F3D6A"/>
    <w:rsid w:val="008F65EB"/>
    <w:rsid w:val="008F740C"/>
    <w:rsid w:val="008F74E9"/>
    <w:rsid w:val="00900213"/>
    <w:rsid w:val="00901765"/>
    <w:rsid w:val="009020A8"/>
    <w:rsid w:val="009033EC"/>
    <w:rsid w:val="0090428E"/>
    <w:rsid w:val="00906552"/>
    <w:rsid w:val="009069FD"/>
    <w:rsid w:val="009079AB"/>
    <w:rsid w:val="00910127"/>
    <w:rsid w:val="009106BF"/>
    <w:rsid w:val="009108C2"/>
    <w:rsid w:val="00911CDD"/>
    <w:rsid w:val="00912253"/>
    <w:rsid w:val="009123D9"/>
    <w:rsid w:val="00913927"/>
    <w:rsid w:val="009143FB"/>
    <w:rsid w:val="009155D5"/>
    <w:rsid w:val="00915ADD"/>
    <w:rsid w:val="00915B35"/>
    <w:rsid w:val="00915CBA"/>
    <w:rsid w:val="00915FFB"/>
    <w:rsid w:val="00917A5A"/>
    <w:rsid w:val="00917D2C"/>
    <w:rsid w:val="009207DB"/>
    <w:rsid w:val="00920CCC"/>
    <w:rsid w:val="00922024"/>
    <w:rsid w:val="00922F71"/>
    <w:rsid w:val="0092426D"/>
    <w:rsid w:val="00925087"/>
    <w:rsid w:val="00925501"/>
    <w:rsid w:val="00925E01"/>
    <w:rsid w:val="00926982"/>
    <w:rsid w:val="00926CB3"/>
    <w:rsid w:val="009270C4"/>
    <w:rsid w:val="00927763"/>
    <w:rsid w:val="0093037E"/>
    <w:rsid w:val="00934D22"/>
    <w:rsid w:val="00934F86"/>
    <w:rsid w:val="00935734"/>
    <w:rsid w:val="0093740F"/>
    <w:rsid w:val="00937B4A"/>
    <w:rsid w:val="00937BA0"/>
    <w:rsid w:val="00937C1D"/>
    <w:rsid w:val="00937E98"/>
    <w:rsid w:val="00940446"/>
    <w:rsid w:val="00940FC3"/>
    <w:rsid w:val="0094131D"/>
    <w:rsid w:val="00941510"/>
    <w:rsid w:val="00942120"/>
    <w:rsid w:val="00942288"/>
    <w:rsid w:val="009425F7"/>
    <w:rsid w:val="00943729"/>
    <w:rsid w:val="0094383B"/>
    <w:rsid w:val="00943BEB"/>
    <w:rsid w:val="0094485D"/>
    <w:rsid w:val="00944BF0"/>
    <w:rsid w:val="009451EF"/>
    <w:rsid w:val="00945DF9"/>
    <w:rsid w:val="00945F8E"/>
    <w:rsid w:val="009472C7"/>
    <w:rsid w:val="00947E24"/>
    <w:rsid w:val="009500DA"/>
    <w:rsid w:val="00950322"/>
    <w:rsid w:val="0095125B"/>
    <w:rsid w:val="009519B5"/>
    <w:rsid w:val="00954282"/>
    <w:rsid w:val="00954427"/>
    <w:rsid w:val="0095509D"/>
    <w:rsid w:val="00955967"/>
    <w:rsid w:val="009563E5"/>
    <w:rsid w:val="009570F1"/>
    <w:rsid w:val="00960F3E"/>
    <w:rsid w:val="00961837"/>
    <w:rsid w:val="00961DD7"/>
    <w:rsid w:val="00961E0C"/>
    <w:rsid w:val="009620F5"/>
    <w:rsid w:val="009622C3"/>
    <w:rsid w:val="00962EE4"/>
    <w:rsid w:val="0096595C"/>
    <w:rsid w:val="009663AC"/>
    <w:rsid w:val="009670F0"/>
    <w:rsid w:val="0096797D"/>
    <w:rsid w:val="009700CA"/>
    <w:rsid w:val="00970AC6"/>
    <w:rsid w:val="00971357"/>
    <w:rsid w:val="009715AD"/>
    <w:rsid w:val="00971747"/>
    <w:rsid w:val="009718D4"/>
    <w:rsid w:val="00971C4B"/>
    <w:rsid w:val="009721C5"/>
    <w:rsid w:val="00972305"/>
    <w:rsid w:val="00975C75"/>
    <w:rsid w:val="00975DF3"/>
    <w:rsid w:val="009771DB"/>
    <w:rsid w:val="00980044"/>
    <w:rsid w:val="00980BC4"/>
    <w:rsid w:val="0098177A"/>
    <w:rsid w:val="00982251"/>
    <w:rsid w:val="009825BD"/>
    <w:rsid w:val="00982CB8"/>
    <w:rsid w:val="0098318A"/>
    <w:rsid w:val="00983471"/>
    <w:rsid w:val="0098388D"/>
    <w:rsid w:val="00983EFD"/>
    <w:rsid w:val="00986257"/>
    <w:rsid w:val="00986861"/>
    <w:rsid w:val="00987CBC"/>
    <w:rsid w:val="00990282"/>
    <w:rsid w:val="00990C04"/>
    <w:rsid w:val="00990F62"/>
    <w:rsid w:val="0099120F"/>
    <w:rsid w:val="00991422"/>
    <w:rsid w:val="00992557"/>
    <w:rsid w:val="00993933"/>
    <w:rsid w:val="00993E8A"/>
    <w:rsid w:val="00995198"/>
    <w:rsid w:val="0099543B"/>
    <w:rsid w:val="00996326"/>
    <w:rsid w:val="00996DF3"/>
    <w:rsid w:val="00997C10"/>
    <w:rsid w:val="009A0D58"/>
    <w:rsid w:val="009A0FDD"/>
    <w:rsid w:val="009A1078"/>
    <w:rsid w:val="009A227E"/>
    <w:rsid w:val="009A269B"/>
    <w:rsid w:val="009A2A34"/>
    <w:rsid w:val="009A2B4B"/>
    <w:rsid w:val="009A2D81"/>
    <w:rsid w:val="009A44E8"/>
    <w:rsid w:val="009A519B"/>
    <w:rsid w:val="009A57FC"/>
    <w:rsid w:val="009A7492"/>
    <w:rsid w:val="009A7D4E"/>
    <w:rsid w:val="009B1795"/>
    <w:rsid w:val="009B1AAA"/>
    <w:rsid w:val="009B1DA5"/>
    <w:rsid w:val="009B2602"/>
    <w:rsid w:val="009B28FD"/>
    <w:rsid w:val="009B2AD6"/>
    <w:rsid w:val="009B359A"/>
    <w:rsid w:val="009B36DD"/>
    <w:rsid w:val="009B4328"/>
    <w:rsid w:val="009B4FBA"/>
    <w:rsid w:val="009B5594"/>
    <w:rsid w:val="009B55D0"/>
    <w:rsid w:val="009B5A4E"/>
    <w:rsid w:val="009B6312"/>
    <w:rsid w:val="009B6ABF"/>
    <w:rsid w:val="009B729E"/>
    <w:rsid w:val="009B7498"/>
    <w:rsid w:val="009C10DF"/>
    <w:rsid w:val="009C34C2"/>
    <w:rsid w:val="009C358A"/>
    <w:rsid w:val="009C3D84"/>
    <w:rsid w:val="009C42F5"/>
    <w:rsid w:val="009C528F"/>
    <w:rsid w:val="009C5BA0"/>
    <w:rsid w:val="009C5F38"/>
    <w:rsid w:val="009C626D"/>
    <w:rsid w:val="009C7722"/>
    <w:rsid w:val="009C7B1D"/>
    <w:rsid w:val="009D03F1"/>
    <w:rsid w:val="009D0782"/>
    <w:rsid w:val="009D09BD"/>
    <w:rsid w:val="009D1CF4"/>
    <w:rsid w:val="009D23AA"/>
    <w:rsid w:val="009D248F"/>
    <w:rsid w:val="009D380F"/>
    <w:rsid w:val="009D4B62"/>
    <w:rsid w:val="009D57A7"/>
    <w:rsid w:val="009D5F62"/>
    <w:rsid w:val="009D6D50"/>
    <w:rsid w:val="009E13E4"/>
    <w:rsid w:val="009E3294"/>
    <w:rsid w:val="009E3425"/>
    <w:rsid w:val="009E45EF"/>
    <w:rsid w:val="009E51B1"/>
    <w:rsid w:val="009E5F2B"/>
    <w:rsid w:val="009E65B1"/>
    <w:rsid w:val="009E68A1"/>
    <w:rsid w:val="009E6DD0"/>
    <w:rsid w:val="009E7BB9"/>
    <w:rsid w:val="009F0096"/>
    <w:rsid w:val="009F0BD9"/>
    <w:rsid w:val="009F30C4"/>
    <w:rsid w:val="009F33FA"/>
    <w:rsid w:val="009F3494"/>
    <w:rsid w:val="009F43EE"/>
    <w:rsid w:val="009F57C1"/>
    <w:rsid w:val="009F6DBB"/>
    <w:rsid w:val="009F7285"/>
    <w:rsid w:val="009F7314"/>
    <w:rsid w:val="00A005AC"/>
    <w:rsid w:val="00A00F33"/>
    <w:rsid w:val="00A01C1F"/>
    <w:rsid w:val="00A01C98"/>
    <w:rsid w:val="00A02F54"/>
    <w:rsid w:val="00A03A63"/>
    <w:rsid w:val="00A0485D"/>
    <w:rsid w:val="00A04D21"/>
    <w:rsid w:val="00A05AC8"/>
    <w:rsid w:val="00A069E7"/>
    <w:rsid w:val="00A06A54"/>
    <w:rsid w:val="00A07D02"/>
    <w:rsid w:val="00A10423"/>
    <w:rsid w:val="00A10AD7"/>
    <w:rsid w:val="00A10F39"/>
    <w:rsid w:val="00A1293D"/>
    <w:rsid w:val="00A12FDA"/>
    <w:rsid w:val="00A13303"/>
    <w:rsid w:val="00A15A52"/>
    <w:rsid w:val="00A15E6F"/>
    <w:rsid w:val="00A16054"/>
    <w:rsid w:val="00A163A6"/>
    <w:rsid w:val="00A173A9"/>
    <w:rsid w:val="00A17755"/>
    <w:rsid w:val="00A21717"/>
    <w:rsid w:val="00A21C04"/>
    <w:rsid w:val="00A23A5F"/>
    <w:rsid w:val="00A23D04"/>
    <w:rsid w:val="00A23E0E"/>
    <w:rsid w:val="00A23EA0"/>
    <w:rsid w:val="00A24024"/>
    <w:rsid w:val="00A2466E"/>
    <w:rsid w:val="00A247D1"/>
    <w:rsid w:val="00A24E3B"/>
    <w:rsid w:val="00A254F7"/>
    <w:rsid w:val="00A256CF"/>
    <w:rsid w:val="00A268F5"/>
    <w:rsid w:val="00A26EF0"/>
    <w:rsid w:val="00A32211"/>
    <w:rsid w:val="00A34114"/>
    <w:rsid w:val="00A34627"/>
    <w:rsid w:val="00A3497D"/>
    <w:rsid w:val="00A34C81"/>
    <w:rsid w:val="00A34E19"/>
    <w:rsid w:val="00A35D30"/>
    <w:rsid w:val="00A366A6"/>
    <w:rsid w:val="00A37C64"/>
    <w:rsid w:val="00A37DC3"/>
    <w:rsid w:val="00A40D0C"/>
    <w:rsid w:val="00A41302"/>
    <w:rsid w:val="00A41384"/>
    <w:rsid w:val="00A41AE1"/>
    <w:rsid w:val="00A41C59"/>
    <w:rsid w:val="00A41E62"/>
    <w:rsid w:val="00A42C2A"/>
    <w:rsid w:val="00A434C0"/>
    <w:rsid w:val="00A436A2"/>
    <w:rsid w:val="00A43E57"/>
    <w:rsid w:val="00A47029"/>
    <w:rsid w:val="00A47295"/>
    <w:rsid w:val="00A4753B"/>
    <w:rsid w:val="00A47B69"/>
    <w:rsid w:val="00A50299"/>
    <w:rsid w:val="00A5072F"/>
    <w:rsid w:val="00A50814"/>
    <w:rsid w:val="00A50BBF"/>
    <w:rsid w:val="00A53519"/>
    <w:rsid w:val="00A53768"/>
    <w:rsid w:val="00A538F6"/>
    <w:rsid w:val="00A5510E"/>
    <w:rsid w:val="00A559F4"/>
    <w:rsid w:val="00A56547"/>
    <w:rsid w:val="00A570E0"/>
    <w:rsid w:val="00A573EB"/>
    <w:rsid w:val="00A57E46"/>
    <w:rsid w:val="00A606A0"/>
    <w:rsid w:val="00A61263"/>
    <w:rsid w:val="00A614AD"/>
    <w:rsid w:val="00A61886"/>
    <w:rsid w:val="00A61C03"/>
    <w:rsid w:val="00A6252E"/>
    <w:rsid w:val="00A62CA1"/>
    <w:rsid w:val="00A63028"/>
    <w:rsid w:val="00A63D89"/>
    <w:rsid w:val="00A64E02"/>
    <w:rsid w:val="00A65177"/>
    <w:rsid w:val="00A6670F"/>
    <w:rsid w:val="00A66E04"/>
    <w:rsid w:val="00A671B3"/>
    <w:rsid w:val="00A671C5"/>
    <w:rsid w:val="00A70D06"/>
    <w:rsid w:val="00A71338"/>
    <w:rsid w:val="00A71DE3"/>
    <w:rsid w:val="00A72317"/>
    <w:rsid w:val="00A7413B"/>
    <w:rsid w:val="00A7490E"/>
    <w:rsid w:val="00A76063"/>
    <w:rsid w:val="00A76622"/>
    <w:rsid w:val="00A771BF"/>
    <w:rsid w:val="00A77451"/>
    <w:rsid w:val="00A81953"/>
    <w:rsid w:val="00A819CF"/>
    <w:rsid w:val="00A83976"/>
    <w:rsid w:val="00A84421"/>
    <w:rsid w:val="00A861F3"/>
    <w:rsid w:val="00A87116"/>
    <w:rsid w:val="00A90AE7"/>
    <w:rsid w:val="00A90D73"/>
    <w:rsid w:val="00A90DB1"/>
    <w:rsid w:val="00A9147B"/>
    <w:rsid w:val="00A91B25"/>
    <w:rsid w:val="00A91BA8"/>
    <w:rsid w:val="00A91EF1"/>
    <w:rsid w:val="00A91EF2"/>
    <w:rsid w:val="00A9313C"/>
    <w:rsid w:val="00A9325C"/>
    <w:rsid w:val="00A95FDC"/>
    <w:rsid w:val="00A96FC6"/>
    <w:rsid w:val="00A977F5"/>
    <w:rsid w:val="00A97B61"/>
    <w:rsid w:val="00A97C8C"/>
    <w:rsid w:val="00AA009C"/>
    <w:rsid w:val="00AA01DA"/>
    <w:rsid w:val="00AA1799"/>
    <w:rsid w:val="00AA19AB"/>
    <w:rsid w:val="00AA1E7C"/>
    <w:rsid w:val="00AA22D2"/>
    <w:rsid w:val="00AA28B7"/>
    <w:rsid w:val="00AA33ED"/>
    <w:rsid w:val="00AA40DA"/>
    <w:rsid w:val="00AA450C"/>
    <w:rsid w:val="00AA52AB"/>
    <w:rsid w:val="00AA5FA1"/>
    <w:rsid w:val="00AA5FC7"/>
    <w:rsid w:val="00AA66DA"/>
    <w:rsid w:val="00AA6F25"/>
    <w:rsid w:val="00AB02A6"/>
    <w:rsid w:val="00AB02F0"/>
    <w:rsid w:val="00AB1287"/>
    <w:rsid w:val="00AB1CE8"/>
    <w:rsid w:val="00AB2378"/>
    <w:rsid w:val="00AB2FD8"/>
    <w:rsid w:val="00AB3B42"/>
    <w:rsid w:val="00AB3D7C"/>
    <w:rsid w:val="00AB411F"/>
    <w:rsid w:val="00AB4748"/>
    <w:rsid w:val="00AB48EA"/>
    <w:rsid w:val="00AB5F8D"/>
    <w:rsid w:val="00AB6504"/>
    <w:rsid w:val="00AB6700"/>
    <w:rsid w:val="00AB6DFC"/>
    <w:rsid w:val="00AB719A"/>
    <w:rsid w:val="00AB760A"/>
    <w:rsid w:val="00AC020F"/>
    <w:rsid w:val="00AC3DB7"/>
    <w:rsid w:val="00AC3E88"/>
    <w:rsid w:val="00AC55F6"/>
    <w:rsid w:val="00AC6040"/>
    <w:rsid w:val="00AC68FB"/>
    <w:rsid w:val="00AC776E"/>
    <w:rsid w:val="00AC7899"/>
    <w:rsid w:val="00AD052B"/>
    <w:rsid w:val="00AD072B"/>
    <w:rsid w:val="00AD1907"/>
    <w:rsid w:val="00AD28D7"/>
    <w:rsid w:val="00AD345D"/>
    <w:rsid w:val="00AD3499"/>
    <w:rsid w:val="00AD3DFD"/>
    <w:rsid w:val="00AD41A2"/>
    <w:rsid w:val="00AD4658"/>
    <w:rsid w:val="00AD50EB"/>
    <w:rsid w:val="00AD692E"/>
    <w:rsid w:val="00AD752F"/>
    <w:rsid w:val="00AD79CF"/>
    <w:rsid w:val="00AE2987"/>
    <w:rsid w:val="00AE2C1C"/>
    <w:rsid w:val="00AE3044"/>
    <w:rsid w:val="00AE55BC"/>
    <w:rsid w:val="00AE62BD"/>
    <w:rsid w:val="00AE686D"/>
    <w:rsid w:val="00AE6B27"/>
    <w:rsid w:val="00AF0F96"/>
    <w:rsid w:val="00AF187F"/>
    <w:rsid w:val="00AF21D7"/>
    <w:rsid w:val="00AF28EB"/>
    <w:rsid w:val="00AF4912"/>
    <w:rsid w:val="00AF4C12"/>
    <w:rsid w:val="00AF5125"/>
    <w:rsid w:val="00AF576F"/>
    <w:rsid w:val="00AF5771"/>
    <w:rsid w:val="00AF5B57"/>
    <w:rsid w:val="00AF765C"/>
    <w:rsid w:val="00AF7E8C"/>
    <w:rsid w:val="00B002FF"/>
    <w:rsid w:val="00B00BC8"/>
    <w:rsid w:val="00B00ED5"/>
    <w:rsid w:val="00B01233"/>
    <w:rsid w:val="00B014B0"/>
    <w:rsid w:val="00B014FC"/>
    <w:rsid w:val="00B01978"/>
    <w:rsid w:val="00B02BF0"/>
    <w:rsid w:val="00B036AE"/>
    <w:rsid w:val="00B03AB4"/>
    <w:rsid w:val="00B04E75"/>
    <w:rsid w:val="00B05139"/>
    <w:rsid w:val="00B05B91"/>
    <w:rsid w:val="00B06C98"/>
    <w:rsid w:val="00B06F64"/>
    <w:rsid w:val="00B070EE"/>
    <w:rsid w:val="00B077CC"/>
    <w:rsid w:val="00B07953"/>
    <w:rsid w:val="00B07E04"/>
    <w:rsid w:val="00B14565"/>
    <w:rsid w:val="00B1522C"/>
    <w:rsid w:val="00B15A30"/>
    <w:rsid w:val="00B15BB2"/>
    <w:rsid w:val="00B167A8"/>
    <w:rsid w:val="00B16BB6"/>
    <w:rsid w:val="00B173EF"/>
    <w:rsid w:val="00B179AF"/>
    <w:rsid w:val="00B17C03"/>
    <w:rsid w:val="00B2214D"/>
    <w:rsid w:val="00B22C8E"/>
    <w:rsid w:val="00B2413C"/>
    <w:rsid w:val="00B2439F"/>
    <w:rsid w:val="00B244AB"/>
    <w:rsid w:val="00B24EAE"/>
    <w:rsid w:val="00B25F0D"/>
    <w:rsid w:val="00B26F4E"/>
    <w:rsid w:val="00B27408"/>
    <w:rsid w:val="00B27A45"/>
    <w:rsid w:val="00B33837"/>
    <w:rsid w:val="00B33D0F"/>
    <w:rsid w:val="00B33EB7"/>
    <w:rsid w:val="00B34AFC"/>
    <w:rsid w:val="00B404DA"/>
    <w:rsid w:val="00B42B00"/>
    <w:rsid w:val="00B42C20"/>
    <w:rsid w:val="00B430A6"/>
    <w:rsid w:val="00B4456A"/>
    <w:rsid w:val="00B449CF"/>
    <w:rsid w:val="00B44F31"/>
    <w:rsid w:val="00B4536C"/>
    <w:rsid w:val="00B46612"/>
    <w:rsid w:val="00B4779A"/>
    <w:rsid w:val="00B477BC"/>
    <w:rsid w:val="00B51759"/>
    <w:rsid w:val="00B532D7"/>
    <w:rsid w:val="00B539EB"/>
    <w:rsid w:val="00B54C43"/>
    <w:rsid w:val="00B56CB7"/>
    <w:rsid w:val="00B576A2"/>
    <w:rsid w:val="00B576E1"/>
    <w:rsid w:val="00B5788F"/>
    <w:rsid w:val="00B579E9"/>
    <w:rsid w:val="00B6030D"/>
    <w:rsid w:val="00B608F1"/>
    <w:rsid w:val="00B60F79"/>
    <w:rsid w:val="00B616CC"/>
    <w:rsid w:val="00B62D61"/>
    <w:rsid w:val="00B62DFF"/>
    <w:rsid w:val="00B63B0E"/>
    <w:rsid w:val="00B63B4A"/>
    <w:rsid w:val="00B63BC0"/>
    <w:rsid w:val="00B63C1C"/>
    <w:rsid w:val="00B644F5"/>
    <w:rsid w:val="00B65108"/>
    <w:rsid w:val="00B655B7"/>
    <w:rsid w:val="00B67335"/>
    <w:rsid w:val="00B673CA"/>
    <w:rsid w:val="00B67530"/>
    <w:rsid w:val="00B67637"/>
    <w:rsid w:val="00B67D51"/>
    <w:rsid w:val="00B67DAA"/>
    <w:rsid w:val="00B708BE"/>
    <w:rsid w:val="00B7117A"/>
    <w:rsid w:val="00B71CF5"/>
    <w:rsid w:val="00B72053"/>
    <w:rsid w:val="00B72554"/>
    <w:rsid w:val="00B72CD8"/>
    <w:rsid w:val="00B75D3F"/>
    <w:rsid w:val="00B7622C"/>
    <w:rsid w:val="00B77723"/>
    <w:rsid w:val="00B80D4A"/>
    <w:rsid w:val="00B815D3"/>
    <w:rsid w:val="00B82848"/>
    <w:rsid w:val="00B842B1"/>
    <w:rsid w:val="00B843A1"/>
    <w:rsid w:val="00B846D5"/>
    <w:rsid w:val="00B84939"/>
    <w:rsid w:val="00B84B71"/>
    <w:rsid w:val="00B84C5C"/>
    <w:rsid w:val="00B85496"/>
    <w:rsid w:val="00B85B26"/>
    <w:rsid w:val="00B85B45"/>
    <w:rsid w:val="00B8641F"/>
    <w:rsid w:val="00B86680"/>
    <w:rsid w:val="00B866F2"/>
    <w:rsid w:val="00B86DF5"/>
    <w:rsid w:val="00B8748B"/>
    <w:rsid w:val="00B903DC"/>
    <w:rsid w:val="00B90DED"/>
    <w:rsid w:val="00B90E41"/>
    <w:rsid w:val="00B91818"/>
    <w:rsid w:val="00B91ABA"/>
    <w:rsid w:val="00B91BB2"/>
    <w:rsid w:val="00B9272E"/>
    <w:rsid w:val="00B93616"/>
    <w:rsid w:val="00B93C77"/>
    <w:rsid w:val="00B95108"/>
    <w:rsid w:val="00B9550D"/>
    <w:rsid w:val="00B95A21"/>
    <w:rsid w:val="00BA0A76"/>
    <w:rsid w:val="00BA43CA"/>
    <w:rsid w:val="00BA5470"/>
    <w:rsid w:val="00BA5574"/>
    <w:rsid w:val="00BA5716"/>
    <w:rsid w:val="00BA723A"/>
    <w:rsid w:val="00BB03B0"/>
    <w:rsid w:val="00BB0423"/>
    <w:rsid w:val="00BB05E1"/>
    <w:rsid w:val="00BB0D30"/>
    <w:rsid w:val="00BB16E8"/>
    <w:rsid w:val="00BB37C2"/>
    <w:rsid w:val="00BB3D9F"/>
    <w:rsid w:val="00BB45C2"/>
    <w:rsid w:val="00BB6384"/>
    <w:rsid w:val="00BB689B"/>
    <w:rsid w:val="00BB6ECF"/>
    <w:rsid w:val="00BB74B3"/>
    <w:rsid w:val="00BB777A"/>
    <w:rsid w:val="00BC069F"/>
    <w:rsid w:val="00BC112E"/>
    <w:rsid w:val="00BC1765"/>
    <w:rsid w:val="00BC3D0A"/>
    <w:rsid w:val="00BC4DE7"/>
    <w:rsid w:val="00BC5454"/>
    <w:rsid w:val="00BC66B0"/>
    <w:rsid w:val="00BC7E24"/>
    <w:rsid w:val="00BD001B"/>
    <w:rsid w:val="00BD0922"/>
    <w:rsid w:val="00BD11AD"/>
    <w:rsid w:val="00BD1718"/>
    <w:rsid w:val="00BD213D"/>
    <w:rsid w:val="00BD219A"/>
    <w:rsid w:val="00BD2BA0"/>
    <w:rsid w:val="00BD2C42"/>
    <w:rsid w:val="00BD35D1"/>
    <w:rsid w:val="00BD4ABE"/>
    <w:rsid w:val="00BD4D0B"/>
    <w:rsid w:val="00BD4E09"/>
    <w:rsid w:val="00BD6EF9"/>
    <w:rsid w:val="00BD754C"/>
    <w:rsid w:val="00BE00B9"/>
    <w:rsid w:val="00BE1DCE"/>
    <w:rsid w:val="00BE26F8"/>
    <w:rsid w:val="00BE27F0"/>
    <w:rsid w:val="00BE389A"/>
    <w:rsid w:val="00BE3FE8"/>
    <w:rsid w:val="00BE4483"/>
    <w:rsid w:val="00BE67B6"/>
    <w:rsid w:val="00BE72FD"/>
    <w:rsid w:val="00BE7978"/>
    <w:rsid w:val="00BE7A3B"/>
    <w:rsid w:val="00BF0287"/>
    <w:rsid w:val="00BF0424"/>
    <w:rsid w:val="00BF0D99"/>
    <w:rsid w:val="00BF1EF8"/>
    <w:rsid w:val="00BF23E6"/>
    <w:rsid w:val="00BF2DE5"/>
    <w:rsid w:val="00BF3789"/>
    <w:rsid w:val="00BF3A62"/>
    <w:rsid w:val="00BF3AC2"/>
    <w:rsid w:val="00BF3CC9"/>
    <w:rsid w:val="00BF3F7C"/>
    <w:rsid w:val="00BF4A77"/>
    <w:rsid w:val="00BF4BB5"/>
    <w:rsid w:val="00BF4C49"/>
    <w:rsid w:val="00BF5A01"/>
    <w:rsid w:val="00BF6261"/>
    <w:rsid w:val="00BF6338"/>
    <w:rsid w:val="00BF6B67"/>
    <w:rsid w:val="00BF6D56"/>
    <w:rsid w:val="00BF77E0"/>
    <w:rsid w:val="00C00BA9"/>
    <w:rsid w:val="00C00D03"/>
    <w:rsid w:val="00C0117F"/>
    <w:rsid w:val="00C011DE"/>
    <w:rsid w:val="00C01DFC"/>
    <w:rsid w:val="00C0282B"/>
    <w:rsid w:val="00C02C6E"/>
    <w:rsid w:val="00C03096"/>
    <w:rsid w:val="00C0319F"/>
    <w:rsid w:val="00C03CA1"/>
    <w:rsid w:val="00C040C6"/>
    <w:rsid w:val="00C040DD"/>
    <w:rsid w:val="00C0585C"/>
    <w:rsid w:val="00C06484"/>
    <w:rsid w:val="00C067E0"/>
    <w:rsid w:val="00C07C46"/>
    <w:rsid w:val="00C1008A"/>
    <w:rsid w:val="00C1025D"/>
    <w:rsid w:val="00C10889"/>
    <w:rsid w:val="00C10B9C"/>
    <w:rsid w:val="00C10C74"/>
    <w:rsid w:val="00C11379"/>
    <w:rsid w:val="00C12D93"/>
    <w:rsid w:val="00C12EE2"/>
    <w:rsid w:val="00C139DE"/>
    <w:rsid w:val="00C13B55"/>
    <w:rsid w:val="00C159D5"/>
    <w:rsid w:val="00C175C9"/>
    <w:rsid w:val="00C2060B"/>
    <w:rsid w:val="00C216E7"/>
    <w:rsid w:val="00C223EE"/>
    <w:rsid w:val="00C23520"/>
    <w:rsid w:val="00C24A09"/>
    <w:rsid w:val="00C25082"/>
    <w:rsid w:val="00C25923"/>
    <w:rsid w:val="00C265D4"/>
    <w:rsid w:val="00C275FC"/>
    <w:rsid w:val="00C27A31"/>
    <w:rsid w:val="00C27ABE"/>
    <w:rsid w:val="00C30D84"/>
    <w:rsid w:val="00C317A7"/>
    <w:rsid w:val="00C32E75"/>
    <w:rsid w:val="00C33AEC"/>
    <w:rsid w:val="00C360C2"/>
    <w:rsid w:val="00C36658"/>
    <w:rsid w:val="00C36A66"/>
    <w:rsid w:val="00C36F2E"/>
    <w:rsid w:val="00C3707E"/>
    <w:rsid w:val="00C37804"/>
    <w:rsid w:val="00C379F5"/>
    <w:rsid w:val="00C40BD1"/>
    <w:rsid w:val="00C40BFB"/>
    <w:rsid w:val="00C410D2"/>
    <w:rsid w:val="00C4151C"/>
    <w:rsid w:val="00C41B6E"/>
    <w:rsid w:val="00C42A78"/>
    <w:rsid w:val="00C42FED"/>
    <w:rsid w:val="00C437D6"/>
    <w:rsid w:val="00C43D50"/>
    <w:rsid w:val="00C46578"/>
    <w:rsid w:val="00C46BED"/>
    <w:rsid w:val="00C47234"/>
    <w:rsid w:val="00C473D4"/>
    <w:rsid w:val="00C47E91"/>
    <w:rsid w:val="00C5175D"/>
    <w:rsid w:val="00C51782"/>
    <w:rsid w:val="00C54473"/>
    <w:rsid w:val="00C55BD7"/>
    <w:rsid w:val="00C55D94"/>
    <w:rsid w:val="00C57582"/>
    <w:rsid w:val="00C60792"/>
    <w:rsid w:val="00C608EF"/>
    <w:rsid w:val="00C612BB"/>
    <w:rsid w:val="00C612BF"/>
    <w:rsid w:val="00C6207E"/>
    <w:rsid w:val="00C6331D"/>
    <w:rsid w:val="00C637EF"/>
    <w:rsid w:val="00C63995"/>
    <w:rsid w:val="00C63D6B"/>
    <w:rsid w:val="00C6451B"/>
    <w:rsid w:val="00C64FAE"/>
    <w:rsid w:val="00C651A9"/>
    <w:rsid w:val="00C655FF"/>
    <w:rsid w:val="00C66344"/>
    <w:rsid w:val="00C67255"/>
    <w:rsid w:val="00C674F7"/>
    <w:rsid w:val="00C678E8"/>
    <w:rsid w:val="00C7052B"/>
    <w:rsid w:val="00C70759"/>
    <w:rsid w:val="00C71096"/>
    <w:rsid w:val="00C71296"/>
    <w:rsid w:val="00C718DA"/>
    <w:rsid w:val="00C71FEF"/>
    <w:rsid w:val="00C745D7"/>
    <w:rsid w:val="00C75520"/>
    <w:rsid w:val="00C75867"/>
    <w:rsid w:val="00C75A3B"/>
    <w:rsid w:val="00C76D8C"/>
    <w:rsid w:val="00C7702A"/>
    <w:rsid w:val="00C773C8"/>
    <w:rsid w:val="00C8016F"/>
    <w:rsid w:val="00C80A25"/>
    <w:rsid w:val="00C81707"/>
    <w:rsid w:val="00C81F9C"/>
    <w:rsid w:val="00C82002"/>
    <w:rsid w:val="00C827FA"/>
    <w:rsid w:val="00C82930"/>
    <w:rsid w:val="00C83700"/>
    <w:rsid w:val="00C846CD"/>
    <w:rsid w:val="00C846DC"/>
    <w:rsid w:val="00C8531E"/>
    <w:rsid w:val="00C8574F"/>
    <w:rsid w:val="00C85B6C"/>
    <w:rsid w:val="00C85F12"/>
    <w:rsid w:val="00C85FEF"/>
    <w:rsid w:val="00C86BFE"/>
    <w:rsid w:val="00C86D8A"/>
    <w:rsid w:val="00C876DA"/>
    <w:rsid w:val="00C900B0"/>
    <w:rsid w:val="00C9080B"/>
    <w:rsid w:val="00C90EDE"/>
    <w:rsid w:val="00C90EF9"/>
    <w:rsid w:val="00C91231"/>
    <w:rsid w:val="00C92949"/>
    <w:rsid w:val="00C9312F"/>
    <w:rsid w:val="00C9343E"/>
    <w:rsid w:val="00C93A15"/>
    <w:rsid w:val="00C942B0"/>
    <w:rsid w:val="00C94792"/>
    <w:rsid w:val="00C94B3E"/>
    <w:rsid w:val="00C95484"/>
    <w:rsid w:val="00C95ED6"/>
    <w:rsid w:val="00C96379"/>
    <w:rsid w:val="00C96C2A"/>
    <w:rsid w:val="00C97697"/>
    <w:rsid w:val="00CA1FB0"/>
    <w:rsid w:val="00CA24D1"/>
    <w:rsid w:val="00CA3131"/>
    <w:rsid w:val="00CA39CC"/>
    <w:rsid w:val="00CA4319"/>
    <w:rsid w:val="00CA4743"/>
    <w:rsid w:val="00CA4931"/>
    <w:rsid w:val="00CB0171"/>
    <w:rsid w:val="00CB138F"/>
    <w:rsid w:val="00CB13E0"/>
    <w:rsid w:val="00CB28F9"/>
    <w:rsid w:val="00CB3796"/>
    <w:rsid w:val="00CB40BB"/>
    <w:rsid w:val="00CB4407"/>
    <w:rsid w:val="00CB546A"/>
    <w:rsid w:val="00CB54F3"/>
    <w:rsid w:val="00CB679F"/>
    <w:rsid w:val="00CB69E2"/>
    <w:rsid w:val="00CB7571"/>
    <w:rsid w:val="00CB76B8"/>
    <w:rsid w:val="00CB7703"/>
    <w:rsid w:val="00CB783B"/>
    <w:rsid w:val="00CC0304"/>
    <w:rsid w:val="00CC03A6"/>
    <w:rsid w:val="00CC09D5"/>
    <w:rsid w:val="00CC16C1"/>
    <w:rsid w:val="00CC188E"/>
    <w:rsid w:val="00CC1A30"/>
    <w:rsid w:val="00CC1CF4"/>
    <w:rsid w:val="00CC26DD"/>
    <w:rsid w:val="00CC2803"/>
    <w:rsid w:val="00CC2DEA"/>
    <w:rsid w:val="00CC33F6"/>
    <w:rsid w:val="00CC3DA0"/>
    <w:rsid w:val="00CC414E"/>
    <w:rsid w:val="00CC4C7D"/>
    <w:rsid w:val="00CC4EB4"/>
    <w:rsid w:val="00CC612C"/>
    <w:rsid w:val="00CC6483"/>
    <w:rsid w:val="00CC6D19"/>
    <w:rsid w:val="00CC707F"/>
    <w:rsid w:val="00CC7244"/>
    <w:rsid w:val="00CC7643"/>
    <w:rsid w:val="00CC79CD"/>
    <w:rsid w:val="00CD0C57"/>
    <w:rsid w:val="00CD1841"/>
    <w:rsid w:val="00CD1BF1"/>
    <w:rsid w:val="00CD3397"/>
    <w:rsid w:val="00CD3742"/>
    <w:rsid w:val="00CD3ED0"/>
    <w:rsid w:val="00CD4EAC"/>
    <w:rsid w:val="00CD68D8"/>
    <w:rsid w:val="00CD68DD"/>
    <w:rsid w:val="00CD7860"/>
    <w:rsid w:val="00CD78D4"/>
    <w:rsid w:val="00CD7B8B"/>
    <w:rsid w:val="00CD7C6C"/>
    <w:rsid w:val="00CE1B74"/>
    <w:rsid w:val="00CE2B04"/>
    <w:rsid w:val="00CE2C5E"/>
    <w:rsid w:val="00CE58EB"/>
    <w:rsid w:val="00CE598F"/>
    <w:rsid w:val="00CE776A"/>
    <w:rsid w:val="00CE7BA9"/>
    <w:rsid w:val="00CF1035"/>
    <w:rsid w:val="00CF35B2"/>
    <w:rsid w:val="00CF38D4"/>
    <w:rsid w:val="00CF3B2D"/>
    <w:rsid w:val="00CF4440"/>
    <w:rsid w:val="00CF4A6C"/>
    <w:rsid w:val="00CF5139"/>
    <w:rsid w:val="00CF53DA"/>
    <w:rsid w:val="00CF5F82"/>
    <w:rsid w:val="00CF7593"/>
    <w:rsid w:val="00CF769B"/>
    <w:rsid w:val="00CF7BC4"/>
    <w:rsid w:val="00D01ED0"/>
    <w:rsid w:val="00D0214C"/>
    <w:rsid w:val="00D03B01"/>
    <w:rsid w:val="00D05DF4"/>
    <w:rsid w:val="00D0633C"/>
    <w:rsid w:val="00D10722"/>
    <w:rsid w:val="00D10ECF"/>
    <w:rsid w:val="00D11628"/>
    <w:rsid w:val="00D119F3"/>
    <w:rsid w:val="00D126AE"/>
    <w:rsid w:val="00D13FBB"/>
    <w:rsid w:val="00D14BDD"/>
    <w:rsid w:val="00D14CAA"/>
    <w:rsid w:val="00D159F8"/>
    <w:rsid w:val="00D169DD"/>
    <w:rsid w:val="00D17CFB"/>
    <w:rsid w:val="00D21D57"/>
    <w:rsid w:val="00D226B9"/>
    <w:rsid w:val="00D23437"/>
    <w:rsid w:val="00D24056"/>
    <w:rsid w:val="00D2459A"/>
    <w:rsid w:val="00D24859"/>
    <w:rsid w:val="00D24CD7"/>
    <w:rsid w:val="00D24F0D"/>
    <w:rsid w:val="00D256BE"/>
    <w:rsid w:val="00D25FAE"/>
    <w:rsid w:val="00D263E2"/>
    <w:rsid w:val="00D26685"/>
    <w:rsid w:val="00D27131"/>
    <w:rsid w:val="00D2763A"/>
    <w:rsid w:val="00D30044"/>
    <w:rsid w:val="00D3136C"/>
    <w:rsid w:val="00D3156A"/>
    <w:rsid w:val="00D31BBD"/>
    <w:rsid w:val="00D32B83"/>
    <w:rsid w:val="00D34857"/>
    <w:rsid w:val="00D35575"/>
    <w:rsid w:val="00D3592A"/>
    <w:rsid w:val="00D35D7A"/>
    <w:rsid w:val="00D404B1"/>
    <w:rsid w:val="00D40987"/>
    <w:rsid w:val="00D41E5C"/>
    <w:rsid w:val="00D41F65"/>
    <w:rsid w:val="00D429F6"/>
    <w:rsid w:val="00D434B0"/>
    <w:rsid w:val="00D43988"/>
    <w:rsid w:val="00D44700"/>
    <w:rsid w:val="00D45781"/>
    <w:rsid w:val="00D45F05"/>
    <w:rsid w:val="00D46856"/>
    <w:rsid w:val="00D46E91"/>
    <w:rsid w:val="00D4707E"/>
    <w:rsid w:val="00D47867"/>
    <w:rsid w:val="00D47DC6"/>
    <w:rsid w:val="00D47DD6"/>
    <w:rsid w:val="00D47EAF"/>
    <w:rsid w:val="00D51345"/>
    <w:rsid w:val="00D529E7"/>
    <w:rsid w:val="00D52AEB"/>
    <w:rsid w:val="00D52D7F"/>
    <w:rsid w:val="00D53034"/>
    <w:rsid w:val="00D53AAB"/>
    <w:rsid w:val="00D55A05"/>
    <w:rsid w:val="00D56584"/>
    <w:rsid w:val="00D570C2"/>
    <w:rsid w:val="00D5747C"/>
    <w:rsid w:val="00D57FC6"/>
    <w:rsid w:val="00D608A7"/>
    <w:rsid w:val="00D60C34"/>
    <w:rsid w:val="00D61A9F"/>
    <w:rsid w:val="00D61EDD"/>
    <w:rsid w:val="00D62023"/>
    <w:rsid w:val="00D628AF"/>
    <w:rsid w:val="00D6294B"/>
    <w:rsid w:val="00D62DE2"/>
    <w:rsid w:val="00D63FE8"/>
    <w:rsid w:val="00D651ED"/>
    <w:rsid w:val="00D65A4D"/>
    <w:rsid w:val="00D66697"/>
    <w:rsid w:val="00D67ACA"/>
    <w:rsid w:val="00D67F69"/>
    <w:rsid w:val="00D71103"/>
    <w:rsid w:val="00D71F66"/>
    <w:rsid w:val="00D72F91"/>
    <w:rsid w:val="00D744F4"/>
    <w:rsid w:val="00D74504"/>
    <w:rsid w:val="00D74639"/>
    <w:rsid w:val="00D74B64"/>
    <w:rsid w:val="00D75269"/>
    <w:rsid w:val="00D76D56"/>
    <w:rsid w:val="00D7798C"/>
    <w:rsid w:val="00D809B7"/>
    <w:rsid w:val="00D813B0"/>
    <w:rsid w:val="00D81A57"/>
    <w:rsid w:val="00D82112"/>
    <w:rsid w:val="00D82A4C"/>
    <w:rsid w:val="00D84AD4"/>
    <w:rsid w:val="00D84DC2"/>
    <w:rsid w:val="00D8557B"/>
    <w:rsid w:val="00D85682"/>
    <w:rsid w:val="00D85683"/>
    <w:rsid w:val="00D9008C"/>
    <w:rsid w:val="00D90190"/>
    <w:rsid w:val="00D906CB"/>
    <w:rsid w:val="00D90F5A"/>
    <w:rsid w:val="00D90F8A"/>
    <w:rsid w:val="00D90FBE"/>
    <w:rsid w:val="00D91614"/>
    <w:rsid w:val="00D91621"/>
    <w:rsid w:val="00D91785"/>
    <w:rsid w:val="00D92148"/>
    <w:rsid w:val="00D93A5F"/>
    <w:rsid w:val="00D9553A"/>
    <w:rsid w:val="00D9637F"/>
    <w:rsid w:val="00D964CF"/>
    <w:rsid w:val="00D96E07"/>
    <w:rsid w:val="00D9740F"/>
    <w:rsid w:val="00D9788C"/>
    <w:rsid w:val="00D97BA1"/>
    <w:rsid w:val="00D97DE0"/>
    <w:rsid w:val="00DA021F"/>
    <w:rsid w:val="00DA0721"/>
    <w:rsid w:val="00DA09FC"/>
    <w:rsid w:val="00DA0F0A"/>
    <w:rsid w:val="00DA2068"/>
    <w:rsid w:val="00DA2766"/>
    <w:rsid w:val="00DA4D0E"/>
    <w:rsid w:val="00DA59D2"/>
    <w:rsid w:val="00DA6F05"/>
    <w:rsid w:val="00DB1E5B"/>
    <w:rsid w:val="00DB2B7E"/>
    <w:rsid w:val="00DB2C0B"/>
    <w:rsid w:val="00DB2FA1"/>
    <w:rsid w:val="00DB2FDD"/>
    <w:rsid w:val="00DB3F6D"/>
    <w:rsid w:val="00DB481E"/>
    <w:rsid w:val="00DB532C"/>
    <w:rsid w:val="00DB5719"/>
    <w:rsid w:val="00DB624E"/>
    <w:rsid w:val="00DB6CE7"/>
    <w:rsid w:val="00DB6E6E"/>
    <w:rsid w:val="00DC02EA"/>
    <w:rsid w:val="00DC0B6F"/>
    <w:rsid w:val="00DC0C31"/>
    <w:rsid w:val="00DC0CC8"/>
    <w:rsid w:val="00DC12B7"/>
    <w:rsid w:val="00DC1CA6"/>
    <w:rsid w:val="00DC20CF"/>
    <w:rsid w:val="00DC29FD"/>
    <w:rsid w:val="00DC4284"/>
    <w:rsid w:val="00DC5D6C"/>
    <w:rsid w:val="00DC63F9"/>
    <w:rsid w:val="00DC6CDC"/>
    <w:rsid w:val="00DC7896"/>
    <w:rsid w:val="00DC7E69"/>
    <w:rsid w:val="00DD0F25"/>
    <w:rsid w:val="00DD1CCB"/>
    <w:rsid w:val="00DD3316"/>
    <w:rsid w:val="00DD5E57"/>
    <w:rsid w:val="00DD713B"/>
    <w:rsid w:val="00DE2965"/>
    <w:rsid w:val="00DE2DAE"/>
    <w:rsid w:val="00DE3385"/>
    <w:rsid w:val="00DE3F64"/>
    <w:rsid w:val="00DE4638"/>
    <w:rsid w:val="00DE4651"/>
    <w:rsid w:val="00DE707D"/>
    <w:rsid w:val="00DE7265"/>
    <w:rsid w:val="00DE7525"/>
    <w:rsid w:val="00DE7F4A"/>
    <w:rsid w:val="00DF0443"/>
    <w:rsid w:val="00DF141E"/>
    <w:rsid w:val="00DF2353"/>
    <w:rsid w:val="00DF2EFF"/>
    <w:rsid w:val="00DF3140"/>
    <w:rsid w:val="00DF31E2"/>
    <w:rsid w:val="00DF3AB2"/>
    <w:rsid w:val="00DF3BF8"/>
    <w:rsid w:val="00DF482F"/>
    <w:rsid w:val="00DF4F92"/>
    <w:rsid w:val="00DF6ABE"/>
    <w:rsid w:val="00DF73BA"/>
    <w:rsid w:val="00DF75FF"/>
    <w:rsid w:val="00DF7EC9"/>
    <w:rsid w:val="00E00755"/>
    <w:rsid w:val="00E00898"/>
    <w:rsid w:val="00E016B0"/>
    <w:rsid w:val="00E027AE"/>
    <w:rsid w:val="00E02892"/>
    <w:rsid w:val="00E02DC0"/>
    <w:rsid w:val="00E0328D"/>
    <w:rsid w:val="00E033E0"/>
    <w:rsid w:val="00E03478"/>
    <w:rsid w:val="00E03DE3"/>
    <w:rsid w:val="00E060D9"/>
    <w:rsid w:val="00E0628E"/>
    <w:rsid w:val="00E06460"/>
    <w:rsid w:val="00E07011"/>
    <w:rsid w:val="00E073CF"/>
    <w:rsid w:val="00E078E4"/>
    <w:rsid w:val="00E1129B"/>
    <w:rsid w:val="00E126AC"/>
    <w:rsid w:val="00E1314F"/>
    <w:rsid w:val="00E1393D"/>
    <w:rsid w:val="00E13B59"/>
    <w:rsid w:val="00E159D9"/>
    <w:rsid w:val="00E17F53"/>
    <w:rsid w:val="00E20EA7"/>
    <w:rsid w:val="00E21350"/>
    <w:rsid w:val="00E2142C"/>
    <w:rsid w:val="00E224CF"/>
    <w:rsid w:val="00E22700"/>
    <w:rsid w:val="00E23266"/>
    <w:rsid w:val="00E24D01"/>
    <w:rsid w:val="00E25124"/>
    <w:rsid w:val="00E260CD"/>
    <w:rsid w:val="00E26141"/>
    <w:rsid w:val="00E261F8"/>
    <w:rsid w:val="00E26C82"/>
    <w:rsid w:val="00E30131"/>
    <w:rsid w:val="00E31EB9"/>
    <w:rsid w:val="00E324AD"/>
    <w:rsid w:val="00E32B5F"/>
    <w:rsid w:val="00E3342D"/>
    <w:rsid w:val="00E335D3"/>
    <w:rsid w:val="00E33683"/>
    <w:rsid w:val="00E33734"/>
    <w:rsid w:val="00E350AE"/>
    <w:rsid w:val="00E37514"/>
    <w:rsid w:val="00E376F8"/>
    <w:rsid w:val="00E378B3"/>
    <w:rsid w:val="00E37B4E"/>
    <w:rsid w:val="00E411DD"/>
    <w:rsid w:val="00E413F7"/>
    <w:rsid w:val="00E414E0"/>
    <w:rsid w:val="00E41666"/>
    <w:rsid w:val="00E41A1D"/>
    <w:rsid w:val="00E427F9"/>
    <w:rsid w:val="00E429C2"/>
    <w:rsid w:val="00E44CD4"/>
    <w:rsid w:val="00E45B91"/>
    <w:rsid w:val="00E468D0"/>
    <w:rsid w:val="00E469F6"/>
    <w:rsid w:val="00E46C0E"/>
    <w:rsid w:val="00E46C57"/>
    <w:rsid w:val="00E46DCC"/>
    <w:rsid w:val="00E479BB"/>
    <w:rsid w:val="00E5064A"/>
    <w:rsid w:val="00E50B49"/>
    <w:rsid w:val="00E5176B"/>
    <w:rsid w:val="00E51B19"/>
    <w:rsid w:val="00E51ED4"/>
    <w:rsid w:val="00E51FCF"/>
    <w:rsid w:val="00E52291"/>
    <w:rsid w:val="00E528BA"/>
    <w:rsid w:val="00E5366B"/>
    <w:rsid w:val="00E54365"/>
    <w:rsid w:val="00E5481C"/>
    <w:rsid w:val="00E565C2"/>
    <w:rsid w:val="00E566C0"/>
    <w:rsid w:val="00E56E9E"/>
    <w:rsid w:val="00E57075"/>
    <w:rsid w:val="00E57FF6"/>
    <w:rsid w:val="00E60269"/>
    <w:rsid w:val="00E60C32"/>
    <w:rsid w:val="00E6142A"/>
    <w:rsid w:val="00E61591"/>
    <w:rsid w:val="00E620D7"/>
    <w:rsid w:val="00E627F6"/>
    <w:rsid w:val="00E62F47"/>
    <w:rsid w:val="00E636FE"/>
    <w:rsid w:val="00E63F1D"/>
    <w:rsid w:val="00E63FBE"/>
    <w:rsid w:val="00E646D5"/>
    <w:rsid w:val="00E663CF"/>
    <w:rsid w:val="00E66E48"/>
    <w:rsid w:val="00E67794"/>
    <w:rsid w:val="00E70006"/>
    <w:rsid w:val="00E71E05"/>
    <w:rsid w:val="00E72A86"/>
    <w:rsid w:val="00E737ED"/>
    <w:rsid w:val="00E73AA8"/>
    <w:rsid w:val="00E73D0E"/>
    <w:rsid w:val="00E73FFE"/>
    <w:rsid w:val="00E748FE"/>
    <w:rsid w:val="00E75A9D"/>
    <w:rsid w:val="00E760E6"/>
    <w:rsid w:val="00E77D05"/>
    <w:rsid w:val="00E80CD2"/>
    <w:rsid w:val="00E81B8E"/>
    <w:rsid w:val="00E81ED7"/>
    <w:rsid w:val="00E821B1"/>
    <w:rsid w:val="00E824B5"/>
    <w:rsid w:val="00E82EA8"/>
    <w:rsid w:val="00E83077"/>
    <w:rsid w:val="00E834C3"/>
    <w:rsid w:val="00E8377F"/>
    <w:rsid w:val="00E83C6C"/>
    <w:rsid w:val="00E83F8B"/>
    <w:rsid w:val="00E84340"/>
    <w:rsid w:val="00E85A86"/>
    <w:rsid w:val="00E85E4A"/>
    <w:rsid w:val="00E8685A"/>
    <w:rsid w:val="00E906BB"/>
    <w:rsid w:val="00E91DF6"/>
    <w:rsid w:val="00E9222C"/>
    <w:rsid w:val="00E9223A"/>
    <w:rsid w:val="00E9247E"/>
    <w:rsid w:val="00E92CBB"/>
    <w:rsid w:val="00E941ED"/>
    <w:rsid w:val="00E9426B"/>
    <w:rsid w:val="00E9558B"/>
    <w:rsid w:val="00E95D1B"/>
    <w:rsid w:val="00E9634F"/>
    <w:rsid w:val="00E97131"/>
    <w:rsid w:val="00E976DF"/>
    <w:rsid w:val="00E977CA"/>
    <w:rsid w:val="00EA020F"/>
    <w:rsid w:val="00EA084D"/>
    <w:rsid w:val="00EA2076"/>
    <w:rsid w:val="00EA2684"/>
    <w:rsid w:val="00EA2EFA"/>
    <w:rsid w:val="00EA4EB2"/>
    <w:rsid w:val="00EA50D6"/>
    <w:rsid w:val="00EA5714"/>
    <w:rsid w:val="00EA5FFF"/>
    <w:rsid w:val="00EA61AE"/>
    <w:rsid w:val="00EA7662"/>
    <w:rsid w:val="00EA78BB"/>
    <w:rsid w:val="00EB016F"/>
    <w:rsid w:val="00EB0D72"/>
    <w:rsid w:val="00EB33F4"/>
    <w:rsid w:val="00EB3B9C"/>
    <w:rsid w:val="00EB40A2"/>
    <w:rsid w:val="00EB4C04"/>
    <w:rsid w:val="00EB5735"/>
    <w:rsid w:val="00EB6DE3"/>
    <w:rsid w:val="00EB7068"/>
    <w:rsid w:val="00EB71EA"/>
    <w:rsid w:val="00EB76E3"/>
    <w:rsid w:val="00EC1406"/>
    <w:rsid w:val="00EC24FA"/>
    <w:rsid w:val="00EC2677"/>
    <w:rsid w:val="00EC2759"/>
    <w:rsid w:val="00EC3653"/>
    <w:rsid w:val="00EC36F2"/>
    <w:rsid w:val="00EC3893"/>
    <w:rsid w:val="00EC44F4"/>
    <w:rsid w:val="00EC4F33"/>
    <w:rsid w:val="00EC515B"/>
    <w:rsid w:val="00EC593C"/>
    <w:rsid w:val="00EC59E9"/>
    <w:rsid w:val="00EC703B"/>
    <w:rsid w:val="00ED00C8"/>
    <w:rsid w:val="00ED05A1"/>
    <w:rsid w:val="00ED0FD0"/>
    <w:rsid w:val="00ED1295"/>
    <w:rsid w:val="00ED1E66"/>
    <w:rsid w:val="00ED2C57"/>
    <w:rsid w:val="00ED3EA0"/>
    <w:rsid w:val="00ED43EE"/>
    <w:rsid w:val="00ED4852"/>
    <w:rsid w:val="00ED5238"/>
    <w:rsid w:val="00ED5BD8"/>
    <w:rsid w:val="00ED6E95"/>
    <w:rsid w:val="00ED765D"/>
    <w:rsid w:val="00ED7DF8"/>
    <w:rsid w:val="00EE115D"/>
    <w:rsid w:val="00EE125B"/>
    <w:rsid w:val="00EE1322"/>
    <w:rsid w:val="00EE1F2C"/>
    <w:rsid w:val="00EE2C84"/>
    <w:rsid w:val="00EE303E"/>
    <w:rsid w:val="00EE4C7E"/>
    <w:rsid w:val="00EE4F62"/>
    <w:rsid w:val="00EE556D"/>
    <w:rsid w:val="00EE5CA2"/>
    <w:rsid w:val="00EE6184"/>
    <w:rsid w:val="00EE67C5"/>
    <w:rsid w:val="00EE6B7D"/>
    <w:rsid w:val="00EE7A2C"/>
    <w:rsid w:val="00EF0165"/>
    <w:rsid w:val="00EF06C8"/>
    <w:rsid w:val="00EF2240"/>
    <w:rsid w:val="00EF27A0"/>
    <w:rsid w:val="00EF37B8"/>
    <w:rsid w:val="00EF4C1A"/>
    <w:rsid w:val="00EF5A77"/>
    <w:rsid w:val="00EF5FA1"/>
    <w:rsid w:val="00EF6556"/>
    <w:rsid w:val="00EF7829"/>
    <w:rsid w:val="00EF7AA0"/>
    <w:rsid w:val="00F0319D"/>
    <w:rsid w:val="00F03AB8"/>
    <w:rsid w:val="00F03EE3"/>
    <w:rsid w:val="00F03F22"/>
    <w:rsid w:val="00F04181"/>
    <w:rsid w:val="00F0502D"/>
    <w:rsid w:val="00F06165"/>
    <w:rsid w:val="00F069FD"/>
    <w:rsid w:val="00F11683"/>
    <w:rsid w:val="00F11964"/>
    <w:rsid w:val="00F11E45"/>
    <w:rsid w:val="00F12D86"/>
    <w:rsid w:val="00F1310D"/>
    <w:rsid w:val="00F13B04"/>
    <w:rsid w:val="00F13B05"/>
    <w:rsid w:val="00F1433D"/>
    <w:rsid w:val="00F14355"/>
    <w:rsid w:val="00F14630"/>
    <w:rsid w:val="00F15860"/>
    <w:rsid w:val="00F15AF2"/>
    <w:rsid w:val="00F15C87"/>
    <w:rsid w:val="00F16A3B"/>
    <w:rsid w:val="00F2025E"/>
    <w:rsid w:val="00F207FC"/>
    <w:rsid w:val="00F20E0C"/>
    <w:rsid w:val="00F21290"/>
    <w:rsid w:val="00F24174"/>
    <w:rsid w:val="00F26B48"/>
    <w:rsid w:val="00F307CC"/>
    <w:rsid w:val="00F30BBA"/>
    <w:rsid w:val="00F30E1D"/>
    <w:rsid w:val="00F3138D"/>
    <w:rsid w:val="00F31630"/>
    <w:rsid w:val="00F32291"/>
    <w:rsid w:val="00F3266E"/>
    <w:rsid w:val="00F336A6"/>
    <w:rsid w:val="00F33F6B"/>
    <w:rsid w:val="00F33FA7"/>
    <w:rsid w:val="00F34C99"/>
    <w:rsid w:val="00F357A9"/>
    <w:rsid w:val="00F35AD0"/>
    <w:rsid w:val="00F37ADF"/>
    <w:rsid w:val="00F41BC0"/>
    <w:rsid w:val="00F4396C"/>
    <w:rsid w:val="00F439BB"/>
    <w:rsid w:val="00F43AAD"/>
    <w:rsid w:val="00F44637"/>
    <w:rsid w:val="00F449D7"/>
    <w:rsid w:val="00F44E79"/>
    <w:rsid w:val="00F4554B"/>
    <w:rsid w:val="00F45F51"/>
    <w:rsid w:val="00F46124"/>
    <w:rsid w:val="00F461AE"/>
    <w:rsid w:val="00F4774D"/>
    <w:rsid w:val="00F47DA8"/>
    <w:rsid w:val="00F47F9E"/>
    <w:rsid w:val="00F512E1"/>
    <w:rsid w:val="00F5184B"/>
    <w:rsid w:val="00F51B88"/>
    <w:rsid w:val="00F528C8"/>
    <w:rsid w:val="00F52F12"/>
    <w:rsid w:val="00F534D3"/>
    <w:rsid w:val="00F5372A"/>
    <w:rsid w:val="00F541A7"/>
    <w:rsid w:val="00F5421D"/>
    <w:rsid w:val="00F55025"/>
    <w:rsid w:val="00F55994"/>
    <w:rsid w:val="00F55E4F"/>
    <w:rsid w:val="00F55E73"/>
    <w:rsid w:val="00F601A0"/>
    <w:rsid w:val="00F60DF3"/>
    <w:rsid w:val="00F62052"/>
    <w:rsid w:val="00F62057"/>
    <w:rsid w:val="00F6290E"/>
    <w:rsid w:val="00F63816"/>
    <w:rsid w:val="00F64273"/>
    <w:rsid w:val="00F6488F"/>
    <w:rsid w:val="00F65545"/>
    <w:rsid w:val="00F6557B"/>
    <w:rsid w:val="00F66BBA"/>
    <w:rsid w:val="00F678A4"/>
    <w:rsid w:val="00F67C01"/>
    <w:rsid w:val="00F67F82"/>
    <w:rsid w:val="00F707CB"/>
    <w:rsid w:val="00F7114B"/>
    <w:rsid w:val="00F71D71"/>
    <w:rsid w:val="00F721EF"/>
    <w:rsid w:val="00F726B2"/>
    <w:rsid w:val="00F72AC2"/>
    <w:rsid w:val="00F74123"/>
    <w:rsid w:val="00F74168"/>
    <w:rsid w:val="00F742F1"/>
    <w:rsid w:val="00F7484F"/>
    <w:rsid w:val="00F74CD7"/>
    <w:rsid w:val="00F75D2F"/>
    <w:rsid w:val="00F76037"/>
    <w:rsid w:val="00F76E30"/>
    <w:rsid w:val="00F776A4"/>
    <w:rsid w:val="00F77724"/>
    <w:rsid w:val="00F77839"/>
    <w:rsid w:val="00F77927"/>
    <w:rsid w:val="00F82640"/>
    <w:rsid w:val="00F840CA"/>
    <w:rsid w:val="00F86A7A"/>
    <w:rsid w:val="00F91164"/>
    <w:rsid w:val="00F91AC7"/>
    <w:rsid w:val="00F92B0F"/>
    <w:rsid w:val="00F95CD7"/>
    <w:rsid w:val="00F95EE6"/>
    <w:rsid w:val="00F969AB"/>
    <w:rsid w:val="00F96A4C"/>
    <w:rsid w:val="00FA1855"/>
    <w:rsid w:val="00FA1BCF"/>
    <w:rsid w:val="00FA2180"/>
    <w:rsid w:val="00FA414D"/>
    <w:rsid w:val="00FA4E31"/>
    <w:rsid w:val="00FA4EB4"/>
    <w:rsid w:val="00FA5580"/>
    <w:rsid w:val="00FA5A78"/>
    <w:rsid w:val="00FA5CC7"/>
    <w:rsid w:val="00FA66E5"/>
    <w:rsid w:val="00FA688E"/>
    <w:rsid w:val="00FA6AAC"/>
    <w:rsid w:val="00FA6CBC"/>
    <w:rsid w:val="00FA6D48"/>
    <w:rsid w:val="00FA7305"/>
    <w:rsid w:val="00FA7AF0"/>
    <w:rsid w:val="00FA7EC0"/>
    <w:rsid w:val="00FB02DB"/>
    <w:rsid w:val="00FB06B1"/>
    <w:rsid w:val="00FB1FBE"/>
    <w:rsid w:val="00FB2F4A"/>
    <w:rsid w:val="00FB3509"/>
    <w:rsid w:val="00FB49CE"/>
    <w:rsid w:val="00FB5AEC"/>
    <w:rsid w:val="00FB778D"/>
    <w:rsid w:val="00FB7A63"/>
    <w:rsid w:val="00FC02C4"/>
    <w:rsid w:val="00FC072E"/>
    <w:rsid w:val="00FC201D"/>
    <w:rsid w:val="00FC2DD6"/>
    <w:rsid w:val="00FC4BB4"/>
    <w:rsid w:val="00FC551E"/>
    <w:rsid w:val="00FC5790"/>
    <w:rsid w:val="00FC5BC1"/>
    <w:rsid w:val="00FC6A31"/>
    <w:rsid w:val="00FD039F"/>
    <w:rsid w:val="00FD03C8"/>
    <w:rsid w:val="00FD12BF"/>
    <w:rsid w:val="00FD1989"/>
    <w:rsid w:val="00FD1995"/>
    <w:rsid w:val="00FD19EF"/>
    <w:rsid w:val="00FD25E1"/>
    <w:rsid w:val="00FD2BB3"/>
    <w:rsid w:val="00FD2F5D"/>
    <w:rsid w:val="00FD3410"/>
    <w:rsid w:val="00FD3EA1"/>
    <w:rsid w:val="00FD4645"/>
    <w:rsid w:val="00FD5B5D"/>
    <w:rsid w:val="00FD5E1C"/>
    <w:rsid w:val="00FD5F39"/>
    <w:rsid w:val="00FD5FFD"/>
    <w:rsid w:val="00FD68E8"/>
    <w:rsid w:val="00FD6F4F"/>
    <w:rsid w:val="00FD70AC"/>
    <w:rsid w:val="00FE1880"/>
    <w:rsid w:val="00FE2BDE"/>
    <w:rsid w:val="00FE3F8E"/>
    <w:rsid w:val="00FE4004"/>
    <w:rsid w:val="00FE47ED"/>
    <w:rsid w:val="00FE50F0"/>
    <w:rsid w:val="00FE5FB0"/>
    <w:rsid w:val="00FE60D6"/>
    <w:rsid w:val="00FE61DC"/>
    <w:rsid w:val="00FE6E79"/>
    <w:rsid w:val="00FF081E"/>
    <w:rsid w:val="00FF145C"/>
    <w:rsid w:val="00FF1558"/>
    <w:rsid w:val="00FF19A4"/>
    <w:rsid w:val="00FF26EE"/>
    <w:rsid w:val="00FF28E1"/>
    <w:rsid w:val="00FF47A3"/>
    <w:rsid w:val="00FF4AB2"/>
    <w:rsid w:val="00FF5586"/>
    <w:rsid w:val="00FF7F3A"/>
    <w:rsid w:val="01062CE5"/>
    <w:rsid w:val="01094132"/>
    <w:rsid w:val="0119548C"/>
    <w:rsid w:val="01264FE9"/>
    <w:rsid w:val="0140551C"/>
    <w:rsid w:val="01592C1D"/>
    <w:rsid w:val="015E4ACC"/>
    <w:rsid w:val="01657CDA"/>
    <w:rsid w:val="016A6360"/>
    <w:rsid w:val="017340C6"/>
    <w:rsid w:val="017659F6"/>
    <w:rsid w:val="0179546C"/>
    <w:rsid w:val="01860EC1"/>
    <w:rsid w:val="018A0E13"/>
    <w:rsid w:val="01AA2F83"/>
    <w:rsid w:val="01B16AD4"/>
    <w:rsid w:val="01BD0368"/>
    <w:rsid w:val="01BF166D"/>
    <w:rsid w:val="01C436B3"/>
    <w:rsid w:val="01C506B1"/>
    <w:rsid w:val="01C50FF8"/>
    <w:rsid w:val="01CA5480"/>
    <w:rsid w:val="01D14E0A"/>
    <w:rsid w:val="01D45D8F"/>
    <w:rsid w:val="01D92217"/>
    <w:rsid w:val="01E6152D"/>
    <w:rsid w:val="01EC6E3D"/>
    <w:rsid w:val="01F1314A"/>
    <w:rsid w:val="01F77248"/>
    <w:rsid w:val="020A77FD"/>
    <w:rsid w:val="0219797C"/>
    <w:rsid w:val="02222C98"/>
    <w:rsid w:val="022C1CA1"/>
    <w:rsid w:val="02316129"/>
    <w:rsid w:val="02320327"/>
    <w:rsid w:val="0236755F"/>
    <w:rsid w:val="02493D31"/>
    <w:rsid w:val="02497F4C"/>
    <w:rsid w:val="02705C0D"/>
    <w:rsid w:val="02783976"/>
    <w:rsid w:val="028832B4"/>
    <w:rsid w:val="028945B9"/>
    <w:rsid w:val="02990FD0"/>
    <w:rsid w:val="029F4054"/>
    <w:rsid w:val="02A13AD9"/>
    <w:rsid w:val="02A81B3F"/>
    <w:rsid w:val="02AA6CEC"/>
    <w:rsid w:val="02B06127"/>
    <w:rsid w:val="02C22194"/>
    <w:rsid w:val="02C62D99"/>
    <w:rsid w:val="02CC42EB"/>
    <w:rsid w:val="02CD2724"/>
    <w:rsid w:val="02CD5FA7"/>
    <w:rsid w:val="02EF3F5D"/>
    <w:rsid w:val="02F17460"/>
    <w:rsid w:val="02F516EA"/>
    <w:rsid w:val="03063B82"/>
    <w:rsid w:val="030C4EB2"/>
    <w:rsid w:val="030E4812"/>
    <w:rsid w:val="030F52BB"/>
    <w:rsid w:val="031226B6"/>
    <w:rsid w:val="0317189E"/>
    <w:rsid w:val="031A2823"/>
    <w:rsid w:val="031E1A60"/>
    <w:rsid w:val="03215DBB"/>
    <w:rsid w:val="03271B39"/>
    <w:rsid w:val="034339E7"/>
    <w:rsid w:val="03506580"/>
    <w:rsid w:val="03537505"/>
    <w:rsid w:val="03575F0B"/>
    <w:rsid w:val="035B108E"/>
    <w:rsid w:val="03631D1E"/>
    <w:rsid w:val="0368414D"/>
    <w:rsid w:val="03713232"/>
    <w:rsid w:val="03810BB8"/>
    <w:rsid w:val="03A65C8A"/>
    <w:rsid w:val="03A91626"/>
    <w:rsid w:val="03B55C13"/>
    <w:rsid w:val="03B77229"/>
    <w:rsid w:val="03B84CAB"/>
    <w:rsid w:val="03CA6F85"/>
    <w:rsid w:val="03CD7E2F"/>
    <w:rsid w:val="03CE13CD"/>
    <w:rsid w:val="03D8775E"/>
    <w:rsid w:val="03DB4E5F"/>
    <w:rsid w:val="03E925C6"/>
    <w:rsid w:val="03EB50FA"/>
    <w:rsid w:val="03EF3B00"/>
    <w:rsid w:val="03FD4168"/>
    <w:rsid w:val="0400509F"/>
    <w:rsid w:val="04064726"/>
    <w:rsid w:val="041D49CF"/>
    <w:rsid w:val="04325DDF"/>
    <w:rsid w:val="044A5D8C"/>
    <w:rsid w:val="045F50B9"/>
    <w:rsid w:val="04802556"/>
    <w:rsid w:val="04842A29"/>
    <w:rsid w:val="04942090"/>
    <w:rsid w:val="04A57DAB"/>
    <w:rsid w:val="04AA7AB6"/>
    <w:rsid w:val="04AB1CB5"/>
    <w:rsid w:val="04AE64BD"/>
    <w:rsid w:val="04C5452F"/>
    <w:rsid w:val="04C94AE8"/>
    <w:rsid w:val="04CA75A4"/>
    <w:rsid w:val="04E0340F"/>
    <w:rsid w:val="04EC5FA1"/>
    <w:rsid w:val="04EE14DD"/>
    <w:rsid w:val="04F12429"/>
    <w:rsid w:val="04F3592C"/>
    <w:rsid w:val="0504144A"/>
    <w:rsid w:val="050E00BB"/>
    <w:rsid w:val="0510745B"/>
    <w:rsid w:val="051538E2"/>
    <w:rsid w:val="052109FA"/>
    <w:rsid w:val="052466F7"/>
    <w:rsid w:val="05277080"/>
    <w:rsid w:val="05295E06"/>
    <w:rsid w:val="053640A8"/>
    <w:rsid w:val="054B3D3B"/>
    <w:rsid w:val="0566574C"/>
    <w:rsid w:val="05711A7E"/>
    <w:rsid w:val="05721228"/>
    <w:rsid w:val="05754C01"/>
    <w:rsid w:val="059020FF"/>
    <w:rsid w:val="05AA322D"/>
    <w:rsid w:val="05B437EC"/>
    <w:rsid w:val="05BD438C"/>
    <w:rsid w:val="05BE25F3"/>
    <w:rsid w:val="05C50AD2"/>
    <w:rsid w:val="05C74A0B"/>
    <w:rsid w:val="05CC1B2B"/>
    <w:rsid w:val="05DB0A70"/>
    <w:rsid w:val="05E25786"/>
    <w:rsid w:val="05FD5DDE"/>
    <w:rsid w:val="06062903"/>
    <w:rsid w:val="06254DA5"/>
    <w:rsid w:val="062F3136"/>
    <w:rsid w:val="063903AF"/>
    <w:rsid w:val="063C6BC8"/>
    <w:rsid w:val="063D30A2"/>
    <w:rsid w:val="06582C75"/>
    <w:rsid w:val="065F787C"/>
    <w:rsid w:val="06766D74"/>
    <w:rsid w:val="067F34E3"/>
    <w:rsid w:val="06813E39"/>
    <w:rsid w:val="06875D43"/>
    <w:rsid w:val="068E0F51"/>
    <w:rsid w:val="06A24031"/>
    <w:rsid w:val="06D8500E"/>
    <w:rsid w:val="06D85DD9"/>
    <w:rsid w:val="06F131F4"/>
    <w:rsid w:val="06F32E73"/>
    <w:rsid w:val="07093DF6"/>
    <w:rsid w:val="070E4054"/>
    <w:rsid w:val="07147000"/>
    <w:rsid w:val="071830B3"/>
    <w:rsid w:val="07256B46"/>
    <w:rsid w:val="072D77D5"/>
    <w:rsid w:val="073700E5"/>
    <w:rsid w:val="074E7EBC"/>
    <w:rsid w:val="07576256"/>
    <w:rsid w:val="076A6181"/>
    <w:rsid w:val="076B1838"/>
    <w:rsid w:val="0775217C"/>
    <w:rsid w:val="07913C76"/>
    <w:rsid w:val="079C594E"/>
    <w:rsid w:val="07A44131"/>
    <w:rsid w:val="07B0452B"/>
    <w:rsid w:val="07B567B5"/>
    <w:rsid w:val="07B75887"/>
    <w:rsid w:val="07BB6140"/>
    <w:rsid w:val="07DB536F"/>
    <w:rsid w:val="07DD0873"/>
    <w:rsid w:val="07DF17F7"/>
    <w:rsid w:val="07F510D7"/>
    <w:rsid w:val="0810327C"/>
    <w:rsid w:val="081D5FCD"/>
    <w:rsid w:val="08257D6D"/>
    <w:rsid w:val="0829121F"/>
    <w:rsid w:val="08362206"/>
    <w:rsid w:val="0841229E"/>
    <w:rsid w:val="084D0D93"/>
    <w:rsid w:val="08613E95"/>
    <w:rsid w:val="08814C04"/>
    <w:rsid w:val="08980E61"/>
    <w:rsid w:val="089922AB"/>
    <w:rsid w:val="089E0931"/>
    <w:rsid w:val="08B408D6"/>
    <w:rsid w:val="08B60169"/>
    <w:rsid w:val="08B96F5C"/>
    <w:rsid w:val="08E623AA"/>
    <w:rsid w:val="08E97AAB"/>
    <w:rsid w:val="09064E5D"/>
    <w:rsid w:val="090C0F64"/>
    <w:rsid w:val="092F2631"/>
    <w:rsid w:val="09367BAA"/>
    <w:rsid w:val="093C7535"/>
    <w:rsid w:val="094A20CE"/>
    <w:rsid w:val="094B7B50"/>
    <w:rsid w:val="09554A11"/>
    <w:rsid w:val="09697100"/>
    <w:rsid w:val="096F7DED"/>
    <w:rsid w:val="098147A7"/>
    <w:rsid w:val="099730C7"/>
    <w:rsid w:val="09BB7B68"/>
    <w:rsid w:val="09D76B8A"/>
    <w:rsid w:val="09DA536D"/>
    <w:rsid w:val="09E047C0"/>
    <w:rsid w:val="09EA0953"/>
    <w:rsid w:val="09F0285C"/>
    <w:rsid w:val="09F04A5A"/>
    <w:rsid w:val="0A033A7B"/>
    <w:rsid w:val="0A0B0E87"/>
    <w:rsid w:val="0A0B5D1C"/>
    <w:rsid w:val="0A0E788E"/>
    <w:rsid w:val="0A2055A9"/>
    <w:rsid w:val="0A2C4C3F"/>
    <w:rsid w:val="0A316B49"/>
    <w:rsid w:val="0A3367C8"/>
    <w:rsid w:val="0A370A52"/>
    <w:rsid w:val="0A3F1C1F"/>
    <w:rsid w:val="0A552200"/>
    <w:rsid w:val="0A57392E"/>
    <w:rsid w:val="0A5B3CD2"/>
    <w:rsid w:val="0A65029C"/>
    <w:rsid w:val="0A656B0D"/>
    <w:rsid w:val="0A755404"/>
    <w:rsid w:val="0A904964"/>
    <w:rsid w:val="0A9642EF"/>
    <w:rsid w:val="0A9D543E"/>
    <w:rsid w:val="0AAD6492"/>
    <w:rsid w:val="0AB3623A"/>
    <w:rsid w:val="0ABD2EA9"/>
    <w:rsid w:val="0AD61855"/>
    <w:rsid w:val="0AE15667"/>
    <w:rsid w:val="0AF017B6"/>
    <w:rsid w:val="0AF7560D"/>
    <w:rsid w:val="0AF83ACB"/>
    <w:rsid w:val="0AFE7196"/>
    <w:rsid w:val="0AFF0F3A"/>
    <w:rsid w:val="0B0A2FA9"/>
    <w:rsid w:val="0B0C59B6"/>
    <w:rsid w:val="0B1C1BCC"/>
    <w:rsid w:val="0B251294"/>
    <w:rsid w:val="0B264AD7"/>
    <w:rsid w:val="0B2A7843"/>
    <w:rsid w:val="0B2B5A29"/>
    <w:rsid w:val="0B371BB9"/>
    <w:rsid w:val="0B3E7F80"/>
    <w:rsid w:val="0B441E89"/>
    <w:rsid w:val="0B4A1814"/>
    <w:rsid w:val="0B4C4D17"/>
    <w:rsid w:val="0B546DBE"/>
    <w:rsid w:val="0B626EBA"/>
    <w:rsid w:val="0B686E11"/>
    <w:rsid w:val="0B6A7B4A"/>
    <w:rsid w:val="0B7600D9"/>
    <w:rsid w:val="0B81776F"/>
    <w:rsid w:val="0B82242C"/>
    <w:rsid w:val="0B875DF5"/>
    <w:rsid w:val="0B8F3202"/>
    <w:rsid w:val="0B960791"/>
    <w:rsid w:val="0BA96E44"/>
    <w:rsid w:val="0BBE240E"/>
    <w:rsid w:val="0BC23D3D"/>
    <w:rsid w:val="0BC87EE4"/>
    <w:rsid w:val="0BC95390"/>
    <w:rsid w:val="0BDC3301"/>
    <w:rsid w:val="0BE20A8D"/>
    <w:rsid w:val="0BE77114"/>
    <w:rsid w:val="0BEE2322"/>
    <w:rsid w:val="0BF83A12"/>
    <w:rsid w:val="0BFD70B9"/>
    <w:rsid w:val="0C0D591F"/>
    <w:rsid w:val="0C165A64"/>
    <w:rsid w:val="0C1E7DBD"/>
    <w:rsid w:val="0C200572"/>
    <w:rsid w:val="0C2314F7"/>
    <w:rsid w:val="0C23295A"/>
    <w:rsid w:val="0C2974B8"/>
    <w:rsid w:val="0C30080D"/>
    <w:rsid w:val="0C302D8B"/>
    <w:rsid w:val="0C452D30"/>
    <w:rsid w:val="0C4A6AA6"/>
    <w:rsid w:val="0C537AC8"/>
    <w:rsid w:val="0C6E7EB2"/>
    <w:rsid w:val="0C817312"/>
    <w:rsid w:val="0C846098"/>
    <w:rsid w:val="0C922E30"/>
    <w:rsid w:val="0C9D0D41"/>
    <w:rsid w:val="0CA15669"/>
    <w:rsid w:val="0CA72980"/>
    <w:rsid w:val="0CB35563"/>
    <w:rsid w:val="0CB42FE4"/>
    <w:rsid w:val="0CB778E4"/>
    <w:rsid w:val="0CBE38F4"/>
    <w:rsid w:val="0CCB568C"/>
    <w:rsid w:val="0CD2239F"/>
    <w:rsid w:val="0CE62330"/>
    <w:rsid w:val="0CED2245"/>
    <w:rsid w:val="0CF031C9"/>
    <w:rsid w:val="0CF42FA8"/>
    <w:rsid w:val="0D0230E3"/>
    <w:rsid w:val="0D0D38A1"/>
    <w:rsid w:val="0D150C2B"/>
    <w:rsid w:val="0D213998"/>
    <w:rsid w:val="0D241CB5"/>
    <w:rsid w:val="0D26201E"/>
    <w:rsid w:val="0D2A42A8"/>
    <w:rsid w:val="0D337136"/>
    <w:rsid w:val="0D341917"/>
    <w:rsid w:val="0D42194E"/>
    <w:rsid w:val="0D5450EC"/>
    <w:rsid w:val="0D5B6E48"/>
    <w:rsid w:val="0D692839"/>
    <w:rsid w:val="0D701199"/>
    <w:rsid w:val="0D903DB9"/>
    <w:rsid w:val="0DB611B3"/>
    <w:rsid w:val="0DBF259D"/>
    <w:rsid w:val="0DCE1532"/>
    <w:rsid w:val="0DD9182A"/>
    <w:rsid w:val="0DEC0AE2"/>
    <w:rsid w:val="0DEC6564"/>
    <w:rsid w:val="0DED7254"/>
    <w:rsid w:val="0DFF5DFB"/>
    <w:rsid w:val="0E026509"/>
    <w:rsid w:val="0E034839"/>
    <w:rsid w:val="0E067EE8"/>
    <w:rsid w:val="0E1402A4"/>
    <w:rsid w:val="0E172C2B"/>
    <w:rsid w:val="0E1F5B89"/>
    <w:rsid w:val="0E323023"/>
    <w:rsid w:val="0E34475A"/>
    <w:rsid w:val="0E3869E3"/>
    <w:rsid w:val="0E3E08ED"/>
    <w:rsid w:val="0E424CB6"/>
    <w:rsid w:val="0E4A68FE"/>
    <w:rsid w:val="0E511B0C"/>
    <w:rsid w:val="0E5543E8"/>
    <w:rsid w:val="0E5618CA"/>
    <w:rsid w:val="0E597F67"/>
    <w:rsid w:val="0E5C209B"/>
    <w:rsid w:val="0E6F3512"/>
    <w:rsid w:val="0E7D5E53"/>
    <w:rsid w:val="0E8222DB"/>
    <w:rsid w:val="0EA1730C"/>
    <w:rsid w:val="0EA41FF0"/>
    <w:rsid w:val="0EAC1011"/>
    <w:rsid w:val="0EB8392C"/>
    <w:rsid w:val="0EB949B3"/>
    <w:rsid w:val="0EBD0E3B"/>
    <w:rsid w:val="0EC407C6"/>
    <w:rsid w:val="0ED0443B"/>
    <w:rsid w:val="0ED30F3E"/>
    <w:rsid w:val="0EF37117"/>
    <w:rsid w:val="0F0373B1"/>
    <w:rsid w:val="0F0D443D"/>
    <w:rsid w:val="0F183AD3"/>
    <w:rsid w:val="0F1A0DB4"/>
    <w:rsid w:val="0F2133A0"/>
    <w:rsid w:val="0F2365E1"/>
    <w:rsid w:val="0F273A62"/>
    <w:rsid w:val="0F357F79"/>
    <w:rsid w:val="0F5E3A6B"/>
    <w:rsid w:val="0F665DD1"/>
    <w:rsid w:val="0F7F6CFB"/>
    <w:rsid w:val="0F864B0D"/>
    <w:rsid w:val="0F883D87"/>
    <w:rsid w:val="0F93599B"/>
    <w:rsid w:val="0F97147E"/>
    <w:rsid w:val="0F9C6838"/>
    <w:rsid w:val="0FA15F0B"/>
    <w:rsid w:val="0FAA3E38"/>
    <w:rsid w:val="0FAE784A"/>
    <w:rsid w:val="0FB10C06"/>
    <w:rsid w:val="0FBC0D5E"/>
    <w:rsid w:val="0FC5389A"/>
    <w:rsid w:val="0FD22C29"/>
    <w:rsid w:val="0FDC3811"/>
    <w:rsid w:val="0FEB540B"/>
    <w:rsid w:val="0FEF02B3"/>
    <w:rsid w:val="0FF52429"/>
    <w:rsid w:val="0FF878BE"/>
    <w:rsid w:val="10170173"/>
    <w:rsid w:val="10281712"/>
    <w:rsid w:val="102D5B9A"/>
    <w:rsid w:val="10446301"/>
    <w:rsid w:val="10453240"/>
    <w:rsid w:val="105B1B61"/>
    <w:rsid w:val="10711530"/>
    <w:rsid w:val="1080431F"/>
    <w:rsid w:val="10991A79"/>
    <w:rsid w:val="109A4323"/>
    <w:rsid w:val="109E1350"/>
    <w:rsid w:val="10A6675D"/>
    <w:rsid w:val="10A77A62"/>
    <w:rsid w:val="10BB2E7F"/>
    <w:rsid w:val="10DD7F3C"/>
    <w:rsid w:val="10E44043"/>
    <w:rsid w:val="10F37B65"/>
    <w:rsid w:val="10F47B61"/>
    <w:rsid w:val="10F51D5F"/>
    <w:rsid w:val="11017C65"/>
    <w:rsid w:val="110F3B45"/>
    <w:rsid w:val="110F618C"/>
    <w:rsid w:val="11122CA5"/>
    <w:rsid w:val="111C7A20"/>
    <w:rsid w:val="111E5122"/>
    <w:rsid w:val="1139301B"/>
    <w:rsid w:val="114F6F76"/>
    <w:rsid w:val="115E5F0B"/>
    <w:rsid w:val="116E3FA7"/>
    <w:rsid w:val="11714F2C"/>
    <w:rsid w:val="117B32BD"/>
    <w:rsid w:val="117D4CA2"/>
    <w:rsid w:val="1186384C"/>
    <w:rsid w:val="119F522F"/>
    <w:rsid w:val="11BA36CB"/>
    <w:rsid w:val="11C833BC"/>
    <w:rsid w:val="11D648D0"/>
    <w:rsid w:val="11E07DBF"/>
    <w:rsid w:val="11EF08F0"/>
    <w:rsid w:val="11F47704"/>
    <w:rsid w:val="11F70688"/>
    <w:rsid w:val="11F93B8B"/>
    <w:rsid w:val="12065420"/>
    <w:rsid w:val="120A3E26"/>
    <w:rsid w:val="12213A4B"/>
    <w:rsid w:val="123639F0"/>
    <w:rsid w:val="1243639D"/>
    <w:rsid w:val="12463C8B"/>
    <w:rsid w:val="12583BA5"/>
    <w:rsid w:val="126923A6"/>
    <w:rsid w:val="1270704D"/>
    <w:rsid w:val="12833AF0"/>
    <w:rsid w:val="12841571"/>
    <w:rsid w:val="128C3A29"/>
    <w:rsid w:val="128D0B7C"/>
    <w:rsid w:val="129B1196"/>
    <w:rsid w:val="129B7B9C"/>
    <w:rsid w:val="12A32D1F"/>
    <w:rsid w:val="12A44024"/>
    <w:rsid w:val="12AF45B4"/>
    <w:rsid w:val="12AF7E37"/>
    <w:rsid w:val="12C744E4"/>
    <w:rsid w:val="12D335F1"/>
    <w:rsid w:val="12D547F3"/>
    <w:rsid w:val="12D62275"/>
    <w:rsid w:val="12E64161"/>
    <w:rsid w:val="12F9372E"/>
    <w:rsid w:val="12FC46B3"/>
    <w:rsid w:val="12FD7F36"/>
    <w:rsid w:val="130C274F"/>
    <w:rsid w:val="131020C8"/>
    <w:rsid w:val="13180760"/>
    <w:rsid w:val="1331710B"/>
    <w:rsid w:val="134273A6"/>
    <w:rsid w:val="1344612C"/>
    <w:rsid w:val="134925B4"/>
    <w:rsid w:val="134C3071"/>
    <w:rsid w:val="13692AE8"/>
    <w:rsid w:val="137B2A03"/>
    <w:rsid w:val="13806E8A"/>
    <w:rsid w:val="1381490C"/>
    <w:rsid w:val="138463D2"/>
    <w:rsid w:val="13872098"/>
    <w:rsid w:val="138F74A5"/>
    <w:rsid w:val="13A12C42"/>
    <w:rsid w:val="13B00719"/>
    <w:rsid w:val="13B079DA"/>
    <w:rsid w:val="13BE5F5E"/>
    <w:rsid w:val="13CB3B5C"/>
    <w:rsid w:val="13D07F0E"/>
    <w:rsid w:val="13D65CDD"/>
    <w:rsid w:val="13E3112D"/>
    <w:rsid w:val="14197409"/>
    <w:rsid w:val="141A7089"/>
    <w:rsid w:val="141F1312"/>
    <w:rsid w:val="142741A0"/>
    <w:rsid w:val="1428639F"/>
    <w:rsid w:val="142E06DA"/>
    <w:rsid w:val="14324730"/>
    <w:rsid w:val="14386639"/>
    <w:rsid w:val="143C503F"/>
    <w:rsid w:val="14503CE0"/>
    <w:rsid w:val="1456146C"/>
    <w:rsid w:val="145D2E42"/>
    <w:rsid w:val="14632D00"/>
    <w:rsid w:val="146F7429"/>
    <w:rsid w:val="14782CA6"/>
    <w:rsid w:val="147A61A9"/>
    <w:rsid w:val="147D38AA"/>
    <w:rsid w:val="148235B5"/>
    <w:rsid w:val="14856738"/>
    <w:rsid w:val="148854BE"/>
    <w:rsid w:val="148E434D"/>
    <w:rsid w:val="1498665A"/>
    <w:rsid w:val="14997957"/>
    <w:rsid w:val="149A59CD"/>
    <w:rsid w:val="14A260CC"/>
    <w:rsid w:val="14A46FED"/>
    <w:rsid w:val="14AB1989"/>
    <w:rsid w:val="14B43A04"/>
    <w:rsid w:val="14B63CB5"/>
    <w:rsid w:val="14C07817"/>
    <w:rsid w:val="14C66BD8"/>
    <w:rsid w:val="14CF6EF5"/>
    <w:rsid w:val="14D84172"/>
    <w:rsid w:val="14DF00CB"/>
    <w:rsid w:val="14F43D91"/>
    <w:rsid w:val="14F904F2"/>
    <w:rsid w:val="15016082"/>
    <w:rsid w:val="151C4634"/>
    <w:rsid w:val="151D3936"/>
    <w:rsid w:val="151D7BB0"/>
    <w:rsid w:val="15307C8F"/>
    <w:rsid w:val="15435BF2"/>
    <w:rsid w:val="154767F6"/>
    <w:rsid w:val="1551146D"/>
    <w:rsid w:val="1554390E"/>
    <w:rsid w:val="15582070"/>
    <w:rsid w:val="155C679B"/>
    <w:rsid w:val="157405BF"/>
    <w:rsid w:val="157B37CD"/>
    <w:rsid w:val="158D1367"/>
    <w:rsid w:val="158D36E7"/>
    <w:rsid w:val="15952A1D"/>
    <w:rsid w:val="15A12E2D"/>
    <w:rsid w:val="15B25EA5"/>
    <w:rsid w:val="15B6012F"/>
    <w:rsid w:val="15C80049"/>
    <w:rsid w:val="15D43E5C"/>
    <w:rsid w:val="15D84D71"/>
    <w:rsid w:val="15E00F73"/>
    <w:rsid w:val="15EA5FFF"/>
    <w:rsid w:val="15F525BF"/>
    <w:rsid w:val="15FE4439"/>
    <w:rsid w:val="1616144D"/>
    <w:rsid w:val="162064D9"/>
    <w:rsid w:val="16252961"/>
    <w:rsid w:val="162A486A"/>
    <w:rsid w:val="162D1072"/>
    <w:rsid w:val="1634517A"/>
    <w:rsid w:val="163868AA"/>
    <w:rsid w:val="163B0388"/>
    <w:rsid w:val="163B09C1"/>
    <w:rsid w:val="163F6D8E"/>
    <w:rsid w:val="165434B0"/>
    <w:rsid w:val="165C45E3"/>
    <w:rsid w:val="16931028"/>
    <w:rsid w:val="16A07B82"/>
    <w:rsid w:val="16A15219"/>
    <w:rsid w:val="16A7071E"/>
    <w:rsid w:val="16A909BC"/>
    <w:rsid w:val="16AB3EBF"/>
    <w:rsid w:val="16AE28C5"/>
    <w:rsid w:val="16B52250"/>
    <w:rsid w:val="16BA2E55"/>
    <w:rsid w:val="16BB69D2"/>
    <w:rsid w:val="16DC7F11"/>
    <w:rsid w:val="16DF0E96"/>
    <w:rsid w:val="16E97227"/>
    <w:rsid w:val="16F06BB2"/>
    <w:rsid w:val="16FC4850"/>
    <w:rsid w:val="1716356E"/>
    <w:rsid w:val="172D3193"/>
    <w:rsid w:val="17333191"/>
    <w:rsid w:val="173502F7"/>
    <w:rsid w:val="173C119A"/>
    <w:rsid w:val="174662BC"/>
    <w:rsid w:val="174C3A48"/>
    <w:rsid w:val="1758370A"/>
    <w:rsid w:val="175B0957"/>
    <w:rsid w:val="176221FA"/>
    <w:rsid w:val="177F74FC"/>
    <w:rsid w:val="177F771A"/>
    <w:rsid w:val="178E1F33"/>
    <w:rsid w:val="179A59C4"/>
    <w:rsid w:val="179B1249"/>
    <w:rsid w:val="179D2618"/>
    <w:rsid w:val="179F7C4F"/>
    <w:rsid w:val="17A6314B"/>
    <w:rsid w:val="17BD0F96"/>
    <w:rsid w:val="17BD6337"/>
    <w:rsid w:val="17D168E0"/>
    <w:rsid w:val="17DE2FB7"/>
    <w:rsid w:val="17E111F6"/>
    <w:rsid w:val="17EA0FC8"/>
    <w:rsid w:val="17FD7FE9"/>
    <w:rsid w:val="18021EF2"/>
    <w:rsid w:val="180453F5"/>
    <w:rsid w:val="18101208"/>
    <w:rsid w:val="18155336"/>
    <w:rsid w:val="18247EA8"/>
    <w:rsid w:val="182F6239"/>
    <w:rsid w:val="183B2497"/>
    <w:rsid w:val="183C1D65"/>
    <w:rsid w:val="183E395E"/>
    <w:rsid w:val="1841525A"/>
    <w:rsid w:val="185C48CC"/>
    <w:rsid w:val="18607BAA"/>
    <w:rsid w:val="18616AF4"/>
    <w:rsid w:val="186E51A7"/>
    <w:rsid w:val="187D763D"/>
    <w:rsid w:val="188517E2"/>
    <w:rsid w:val="188531C2"/>
    <w:rsid w:val="18912A5B"/>
    <w:rsid w:val="189439DF"/>
    <w:rsid w:val="18A06AAB"/>
    <w:rsid w:val="18A31A7B"/>
    <w:rsid w:val="18A41246"/>
    <w:rsid w:val="18B25205"/>
    <w:rsid w:val="18B30A11"/>
    <w:rsid w:val="18B4176E"/>
    <w:rsid w:val="18B9039C"/>
    <w:rsid w:val="18BA720C"/>
    <w:rsid w:val="18E36FE2"/>
    <w:rsid w:val="18EC78F1"/>
    <w:rsid w:val="18F75C82"/>
    <w:rsid w:val="19143D87"/>
    <w:rsid w:val="19224548"/>
    <w:rsid w:val="19250D50"/>
    <w:rsid w:val="19337334"/>
    <w:rsid w:val="19372E89"/>
    <w:rsid w:val="193844ED"/>
    <w:rsid w:val="19456448"/>
    <w:rsid w:val="19492209"/>
    <w:rsid w:val="19543E1D"/>
    <w:rsid w:val="19601E2E"/>
    <w:rsid w:val="196B01BF"/>
    <w:rsid w:val="19791440"/>
    <w:rsid w:val="19853B35"/>
    <w:rsid w:val="199B6790"/>
    <w:rsid w:val="19EB7814"/>
    <w:rsid w:val="19EE0799"/>
    <w:rsid w:val="1A1409D8"/>
    <w:rsid w:val="1A1C3866"/>
    <w:rsid w:val="1A2B27FC"/>
    <w:rsid w:val="1A36183A"/>
    <w:rsid w:val="1A512A3C"/>
    <w:rsid w:val="1A61220B"/>
    <w:rsid w:val="1A6C1067"/>
    <w:rsid w:val="1A764D21"/>
    <w:rsid w:val="1A7A6436"/>
    <w:rsid w:val="1A7C1301"/>
    <w:rsid w:val="1A7E2606"/>
    <w:rsid w:val="1A896419"/>
    <w:rsid w:val="1AA56C42"/>
    <w:rsid w:val="1AA6374C"/>
    <w:rsid w:val="1AA646C4"/>
    <w:rsid w:val="1AA64AAD"/>
    <w:rsid w:val="1AB236CF"/>
    <w:rsid w:val="1AB75BA5"/>
    <w:rsid w:val="1ABA3364"/>
    <w:rsid w:val="1AC30B01"/>
    <w:rsid w:val="1AC76EFF"/>
    <w:rsid w:val="1AF45AC8"/>
    <w:rsid w:val="1AF96485"/>
    <w:rsid w:val="1AFF32F8"/>
    <w:rsid w:val="1B267688"/>
    <w:rsid w:val="1B2B104C"/>
    <w:rsid w:val="1B3D393E"/>
    <w:rsid w:val="1B3F6E41"/>
    <w:rsid w:val="1B412344"/>
    <w:rsid w:val="1B415BC7"/>
    <w:rsid w:val="1B485552"/>
    <w:rsid w:val="1B612879"/>
    <w:rsid w:val="1B6437FD"/>
    <w:rsid w:val="1B672584"/>
    <w:rsid w:val="1B822DAD"/>
    <w:rsid w:val="1B83082F"/>
    <w:rsid w:val="1B874C2E"/>
    <w:rsid w:val="1B996256"/>
    <w:rsid w:val="1BA942F2"/>
    <w:rsid w:val="1BAD23D6"/>
    <w:rsid w:val="1BBA4792"/>
    <w:rsid w:val="1BC12F10"/>
    <w:rsid w:val="1BCA4827"/>
    <w:rsid w:val="1BCA6A25"/>
    <w:rsid w:val="1BCB44A6"/>
    <w:rsid w:val="1BE31D2D"/>
    <w:rsid w:val="1BF74147"/>
    <w:rsid w:val="1C042883"/>
    <w:rsid w:val="1C091D8D"/>
    <w:rsid w:val="1C0E6215"/>
    <w:rsid w:val="1C0F5DA0"/>
    <w:rsid w:val="1C127B48"/>
    <w:rsid w:val="1C1439A1"/>
    <w:rsid w:val="1C2071AA"/>
    <w:rsid w:val="1C2A5B45"/>
    <w:rsid w:val="1C3041CB"/>
    <w:rsid w:val="1C3F4862"/>
    <w:rsid w:val="1C4E7668"/>
    <w:rsid w:val="1C584C30"/>
    <w:rsid w:val="1C6411A2"/>
    <w:rsid w:val="1C685081"/>
    <w:rsid w:val="1C6E5335"/>
    <w:rsid w:val="1C7217BC"/>
    <w:rsid w:val="1C7266AB"/>
    <w:rsid w:val="1C7C6848"/>
    <w:rsid w:val="1C7E55CF"/>
    <w:rsid w:val="1C816553"/>
    <w:rsid w:val="1C964CCC"/>
    <w:rsid w:val="1CA3450A"/>
    <w:rsid w:val="1CA92C52"/>
    <w:rsid w:val="1CB07F9C"/>
    <w:rsid w:val="1CB47CD2"/>
    <w:rsid w:val="1CB96D69"/>
    <w:rsid w:val="1CBB1BB0"/>
    <w:rsid w:val="1CBF6038"/>
    <w:rsid w:val="1CC34A3E"/>
    <w:rsid w:val="1CCA43C9"/>
    <w:rsid w:val="1CD55FDE"/>
    <w:rsid w:val="1CDF0AEB"/>
    <w:rsid w:val="1CE60476"/>
    <w:rsid w:val="1CFC261A"/>
    <w:rsid w:val="1D0609AB"/>
    <w:rsid w:val="1D0E1AFA"/>
    <w:rsid w:val="1D1125BF"/>
    <w:rsid w:val="1D1F6C3E"/>
    <w:rsid w:val="1D414461"/>
    <w:rsid w:val="1D444093"/>
    <w:rsid w:val="1D5133A9"/>
    <w:rsid w:val="1D584F32"/>
    <w:rsid w:val="1D60233E"/>
    <w:rsid w:val="1D682FCE"/>
    <w:rsid w:val="1D6A2C4E"/>
    <w:rsid w:val="1D783268"/>
    <w:rsid w:val="1D795467"/>
    <w:rsid w:val="1D84707B"/>
    <w:rsid w:val="1D947315"/>
    <w:rsid w:val="1D9973D7"/>
    <w:rsid w:val="1DB033C2"/>
    <w:rsid w:val="1DB4564C"/>
    <w:rsid w:val="1DC63086"/>
    <w:rsid w:val="1DC745C9"/>
    <w:rsid w:val="1DCB6E15"/>
    <w:rsid w:val="1DD1564A"/>
    <w:rsid w:val="1DD65800"/>
    <w:rsid w:val="1DD66F53"/>
    <w:rsid w:val="1DDB1C88"/>
    <w:rsid w:val="1DE53802"/>
    <w:rsid w:val="1E077654"/>
    <w:rsid w:val="1E0E6FDF"/>
    <w:rsid w:val="1E20277C"/>
    <w:rsid w:val="1E543ED0"/>
    <w:rsid w:val="1E5A5DD9"/>
    <w:rsid w:val="1E6A6074"/>
    <w:rsid w:val="1E7F5B46"/>
    <w:rsid w:val="1E8355D6"/>
    <w:rsid w:val="1E9217B7"/>
    <w:rsid w:val="1E94380D"/>
    <w:rsid w:val="1E9639D8"/>
    <w:rsid w:val="1E995A04"/>
    <w:rsid w:val="1EA304EC"/>
    <w:rsid w:val="1EB05E1B"/>
    <w:rsid w:val="1EC36481"/>
    <w:rsid w:val="1EDD568A"/>
    <w:rsid w:val="1EE61241"/>
    <w:rsid w:val="1EE74B10"/>
    <w:rsid w:val="1F0274EC"/>
    <w:rsid w:val="1F11621D"/>
    <w:rsid w:val="1F1E0DB0"/>
    <w:rsid w:val="1F28556D"/>
    <w:rsid w:val="1F3364BE"/>
    <w:rsid w:val="1F3D038C"/>
    <w:rsid w:val="1F4618E3"/>
    <w:rsid w:val="1F5225D5"/>
    <w:rsid w:val="1F5627F9"/>
    <w:rsid w:val="1F5C4703"/>
    <w:rsid w:val="1F5D2184"/>
    <w:rsid w:val="1F607885"/>
    <w:rsid w:val="1F6178EC"/>
    <w:rsid w:val="1F772117"/>
    <w:rsid w:val="1F7C524B"/>
    <w:rsid w:val="1F7E7B7F"/>
    <w:rsid w:val="1FA72B2B"/>
    <w:rsid w:val="1FA97878"/>
    <w:rsid w:val="1FB652E4"/>
    <w:rsid w:val="1FB94A9C"/>
    <w:rsid w:val="1FBB743B"/>
    <w:rsid w:val="1FC16625"/>
    <w:rsid w:val="1FCD7E18"/>
    <w:rsid w:val="1FCE593B"/>
    <w:rsid w:val="1FDC04D4"/>
    <w:rsid w:val="1FDD6465"/>
    <w:rsid w:val="1FF531F9"/>
    <w:rsid w:val="1FF76AFF"/>
    <w:rsid w:val="20075626"/>
    <w:rsid w:val="20076D9A"/>
    <w:rsid w:val="202253C5"/>
    <w:rsid w:val="2026764F"/>
    <w:rsid w:val="20303E66"/>
    <w:rsid w:val="203565E4"/>
    <w:rsid w:val="20387569"/>
    <w:rsid w:val="20387F1D"/>
    <w:rsid w:val="203A62EF"/>
    <w:rsid w:val="204608E4"/>
    <w:rsid w:val="204B6589"/>
    <w:rsid w:val="204C58D5"/>
    <w:rsid w:val="20504C0F"/>
    <w:rsid w:val="20561081"/>
    <w:rsid w:val="20795DD4"/>
    <w:rsid w:val="208B7ADE"/>
    <w:rsid w:val="20A44300"/>
    <w:rsid w:val="20A7550C"/>
    <w:rsid w:val="20BE4604"/>
    <w:rsid w:val="20CB0B5B"/>
    <w:rsid w:val="20CC6E0D"/>
    <w:rsid w:val="20CF69FF"/>
    <w:rsid w:val="20D00552"/>
    <w:rsid w:val="20ED5D93"/>
    <w:rsid w:val="20F2221A"/>
    <w:rsid w:val="20F361AD"/>
    <w:rsid w:val="20F644A4"/>
    <w:rsid w:val="21171155"/>
    <w:rsid w:val="214964AC"/>
    <w:rsid w:val="214F751D"/>
    <w:rsid w:val="215F4DCD"/>
    <w:rsid w:val="21690F5F"/>
    <w:rsid w:val="216D6ACE"/>
    <w:rsid w:val="21791B17"/>
    <w:rsid w:val="217A73A2"/>
    <w:rsid w:val="217E6031"/>
    <w:rsid w:val="218C4997"/>
    <w:rsid w:val="218D7E9A"/>
    <w:rsid w:val="21927E1B"/>
    <w:rsid w:val="21B07155"/>
    <w:rsid w:val="21B6105F"/>
    <w:rsid w:val="21D0113C"/>
    <w:rsid w:val="21D841C9"/>
    <w:rsid w:val="21D972CA"/>
    <w:rsid w:val="21DE69A0"/>
    <w:rsid w:val="220B1F99"/>
    <w:rsid w:val="220E3C6C"/>
    <w:rsid w:val="220F4F71"/>
    <w:rsid w:val="22110474"/>
    <w:rsid w:val="22151078"/>
    <w:rsid w:val="2218232D"/>
    <w:rsid w:val="22197A7E"/>
    <w:rsid w:val="22287EDC"/>
    <w:rsid w:val="2234192D"/>
    <w:rsid w:val="224621A6"/>
    <w:rsid w:val="224927CC"/>
    <w:rsid w:val="224E6C54"/>
    <w:rsid w:val="225F01F3"/>
    <w:rsid w:val="226F2A0B"/>
    <w:rsid w:val="22902F40"/>
    <w:rsid w:val="22946A32"/>
    <w:rsid w:val="22985DCE"/>
    <w:rsid w:val="22A763E9"/>
    <w:rsid w:val="22AE1DE0"/>
    <w:rsid w:val="22B26EF4"/>
    <w:rsid w:val="22BC5F2E"/>
    <w:rsid w:val="22C32496"/>
    <w:rsid w:val="22C53076"/>
    <w:rsid w:val="22D03D2A"/>
    <w:rsid w:val="22E1799D"/>
    <w:rsid w:val="22E643FB"/>
    <w:rsid w:val="22F66168"/>
    <w:rsid w:val="23030C8F"/>
    <w:rsid w:val="230526E3"/>
    <w:rsid w:val="230D3FEF"/>
    <w:rsid w:val="231A0439"/>
    <w:rsid w:val="233A6C5C"/>
    <w:rsid w:val="234609E6"/>
    <w:rsid w:val="2363459D"/>
    <w:rsid w:val="236B742B"/>
    <w:rsid w:val="23761F39"/>
    <w:rsid w:val="23780CBF"/>
    <w:rsid w:val="237925CB"/>
    <w:rsid w:val="239B00EF"/>
    <w:rsid w:val="239B2179"/>
    <w:rsid w:val="239D347E"/>
    <w:rsid w:val="23A25897"/>
    <w:rsid w:val="23B00E19"/>
    <w:rsid w:val="23B5213B"/>
    <w:rsid w:val="23B81C58"/>
    <w:rsid w:val="23BA71AA"/>
    <w:rsid w:val="23C60419"/>
    <w:rsid w:val="23DD466A"/>
    <w:rsid w:val="23DF0736"/>
    <w:rsid w:val="23E2706A"/>
    <w:rsid w:val="23E97736"/>
    <w:rsid w:val="23FB5A15"/>
    <w:rsid w:val="23FC3497"/>
    <w:rsid w:val="23FF34B3"/>
    <w:rsid w:val="24171AC2"/>
    <w:rsid w:val="241B04C9"/>
    <w:rsid w:val="24275EEE"/>
    <w:rsid w:val="2432130F"/>
    <w:rsid w:val="244D419B"/>
    <w:rsid w:val="24564C49"/>
    <w:rsid w:val="245F12E5"/>
    <w:rsid w:val="246733D2"/>
    <w:rsid w:val="24683E4B"/>
    <w:rsid w:val="24696049"/>
    <w:rsid w:val="247321DC"/>
    <w:rsid w:val="247D056D"/>
    <w:rsid w:val="248D6697"/>
    <w:rsid w:val="24975894"/>
    <w:rsid w:val="249D3020"/>
    <w:rsid w:val="249F0722"/>
    <w:rsid w:val="24A378CD"/>
    <w:rsid w:val="24A567BE"/>
    <w:rsid w:val="24A75B2E"/>
    <w:rsid w:val="24AE0D3C"/>
    <w:rsid w:val="24C50961"/>
    <w:rsid w:val="24C51B61"/>
    <w:rsid w:val="24D37C77"/>
    <w:rsid w:val="24DE730D"/>
    <w:rsid w:val="250A712C"/>
    <w:rsid w:val="250D0D56"/>
    <w:rsid w:val="250E483C"/>
    <w:rsid w:val="2510555E"/>
    <w:rsid w:val="25317B57"/>
    <w:rsid w:val="253A61FE"/>
    <w:rsid w:val="254237AE"/>
    <w:rsid w:val="25437031"/>
    <w:rsid w:val="254F5042"/>
    <w:rsid w:val="25644FE8"/>
    <w:rsid w:val="25702FF9"/>
    <w:rsid w:val="257419FF"/>
    <w:rsid w:val="257C6E0B"/>
    <w:rsid w:val="258117EC"/>
    <w:rsid w:val="259E3EC8"/>
    <w:rsid w:val="25AE4162"/>
    <w:rsid w:val="25BE697B"/>
    <w:rsid w:val="25CC7E8F"/>
    <w:rsid w:val="25CD1194"/>
    <w:rsid w:val="25CF0E14"/>
    <w:rsid w:val="25E06B30"/>
    <w:rsid w:val="25E642BC"/>
    <w:rsid w:val="2602777D"/>
    <w:rsid w:val="260470EF"/>
    <w:rsid w:val="26132909"/>
    <w:rsid w:val="26164DFC"/>
    <w:rsid w:val="261C0F13"/>
    <w:rsid w:val="262707EE"/>
    <w:rsid w:val="26315635"/>
    <w:rsid w:val="26361ABD"/>
    <w:rsid w:val="2637EC4E"/>
    <w:rsid w:val="263F494B"/>
    <w:rsid w:val="26461D57"/>
    <w:rsid w:val="26567D26"/>
    <w:rsid w:val="26601AA8"/>
    <w:rsid w:val="2666008D"/>
    <w:rsid w:val="268663C4"/>
    <w:rsid w:val="26A036EA"/>
    <w:rsid w:val="26A06F6E"/>
    <w:rsid w:val="26A37EF2"/>
    <w:rsid w:val="26B7254D"/>
    <w:rsid w:val="26B80BBD"/>
    <w:rsid w:val="26BB5599"/>
    <w:rsid w:val="26E30CDC"/>
    <w:rsid w:val="26E455E0"/>
    <w:rsid w:val="26F70A5D"/>
    <w:rsid w:val="26FA2AFF"/>
    <w:rsid w:val="26FE7307"/>
    <w:rsid w:val="27365509"/>
    <w:rsid w:val="273A7D00"/>
    <w:rsid w:val="273E110E"/>
    <w:rsid w:val="27406B3E"/>
    <w:rsid w:val="27416AF7"/>
    <w:rsid w:val="274A7A9B"/>
    <w:rsid w:val="274E2589"/>
    <w:rsid w:val="2753074B"/>
    <w:rsid w:val="27620233"/>
    <w:rsid w:val="2764252F"/>
    <w:rsid w:val="27906876"/>
    <w:rsid w:val="279B21C1"/>
    <w:rsid w:val="27B60CB4"/>
    <w:rsid w:val="27CA1ED3"/>
    <w:rsid w:val="27D21965"/>
    <w:rsid w:val="27DB2225"/>
    <w:rsid w:val="27E32A7D"/>
    <w:rsid w:val="27EE6FF6"/>
    <w:rsid w:val="27EF4CF1"/>
    <w:rsid w:val="280D16C3"/>
    <w:rsid w:val="280F4BC6"/>
    <w:rsid w:val="282940B5"/>
    <w:rsid w:val="282C1F78"/>
    <w:rsid w:val="282F697C"/>
    <w:rsid w:val="283E4105"/>
    <w:rsid w:val="284705A3"/>
    <w:rsid w:val="284A1528"/>
    <w:rsid w:val="28645955"/>
    <w:rsid w:val="286C4F60"/>
    <w:rsid w:val="287967F4"/>
    <w:rsid w:val="287C2FFC"/>
    <w:rsid w:val="28894890"/>
    <w:rsid w:val="288A082C"/>
    <w:rsid w:val="28971627"/>
    <w:rsid w:val="28A42EBB"/>
    <w:rsid w:val="28A90A70"/>
    <w:rsid w:val="28AB478C"/>
    <w:rsid w:val="28BA534D"/>
    <w:rsid w:val="28C3596E"/>
    <w:rsid w:val="28DD7CC7"/>
    <w:rsid w:val="28E042F5"/>
    <w:rsid w:val="28EB280F"/>
    <w:rsid w:val="28EE2036"/>
    <w:rsid w:val="28F31788"/>
    <w:rsid w:val="28FB5AC8"/>
    <w:rsid w:val="29020CD6"/>
    <w:rsid w:val="29050252"/>
    <w:rsid w:val="2907735C"/>
    <w:rsid w:val="29120F71"/>
    <w:rsid w:val="293C148D"/>
    <w:rsid w:val="29423CBE"/>
    <w:rsid w:val="2949123D"/>
    <w:rsid w:val="295347DC"/>
    <w:rsid w:val="29635FF7"/>
    <w:rsid w:val="29986C4B"/>
    <w:rsid w:val="29A27BCA"/>
    <w:rsid w:val="29B21648"/>
    <w:rsid w:val="29EA31D2"/>
    <w:rsid w:val="29FD43F1"/>
    <w:rsid w:val="2A0A1509"/>
    <w:rsid w:val="2A151A98"/>
    <w:rsid w:val="2A273037"/>
    <w:rsid w:val="2A2C466D"/>
    <w:rsid w:val="2A3D1958"/>
    <w:rsid w:val="2A486EBA"/>
    <w:rsid w:val="2A4F0978"/>
    <w:rsid w:val="2A671C6C"/>
    <w:rsid w:val="2A727FC6"/>
    <w:rsid w:val="2A82464A"/>
    <w:rsid w:val="2A833DD6"/>
    <w:rsid w:val="2A9071E3"/>
    <w:rsid w:val="2AA06817"/>
    <w:rsid w:val="2AA30402"/>
    <w:rsid w:val="2AA45E84"/>
    <w:rsid w:val="2AA50EFC"/>
    <w:rsid w:val="2AAB7A0D"/>
    <w:rsid w:val="2ADC1861"/>
    <w:rsid w:val="2ADC37FD"/>
    <w:rsid w:val="2ADD3A5F"/>
    <w:rsid w:val="2AE31701"/>
    <w:rsid w:val="2AE568ED"/>
    <w:rsid w:val="2AFA28CA"/>
    <w:rsid w:val="2AFC45C9"/>
    <w:rsid w:val="2B0513A0"/>
    <w:rsid w:val="2B102FB5"/>
    <w:rsid w:val="2B133D68"/>
    <w:rsid w:val="2B165896"/>
    <w:rsid w:val="2B1C20E8"/>
    <w:rsid w:val="2B286DA2"/>
    <w:rsid w:val="2B2B15E0"/>
    <w:rsid w:val="2B3A3DF9"/>
    <w:rsid w:val="2B3C72FC"/>
    <w:rsid w:val="2B455A0D"/>
    <w:rsid w:val="2B5272A1"/>
    <w:rsid w:val="2B657FC6"/>
    <w:rsid w:val="2B6C58CD"/>
    <w:rsid w:val="2B751B93"/>
    <w:rsid w:val="2B780DF1"/>
    <w:rsid w:val="2B795E66"/>
    <w:rsid w:val="2B7B6DE1"/>
    <w:rsid w:val="2B8766FB"/>
    <w:rsid w:val="2B971F94"/>
    <w:rsid w:val="2B9F159F"/>
    <w:rsid w:val="2BA22524"/>
    <w:rsid w:val="2BA769AB"/>
    <w:rsid w:val="2BAB0C35"/>
    <w:rsid w:val="2BAF3DB8"/>
    <w:rsid w:val="2BB145F2"/>
    <w:rsid w:val="2BB74A47"/>
    <w:rsid w:val="2BC12DD8"/>
    <w:rsid w:val="2BC404DA"/>
    <w:rsid w:val="2BD36576"/>
    <w:rsid w:val="2BE04587"/>
    <w:rsid w:val="2BE4447B"/>
    <w:rsid w:val="2BE55328"/>
    <w:rsid w:val="2BED7120"/>
    <w:rsid w:val="2BEE242F"/>
    <w:rsid w:val="2BF517CC"/>
    <w:rsid w:val="2C01033F"/>
    <w:rsid w:val="2C023BA0"/>
    <w:rsid w:val="2C0304C9"/>
    <w:rsid w:val="2C1A6CEA"/>
    <w:rsid w:val="2C264CFB"/>
    <w:rsid w:val="2C291005"/>
    <w:rsid w:val="2C291503"/>
    <w:rsid w:val="2C2D4686"/>
    <w:rsid w:val="2C2D7F09"/>
    <w:rsid w:val="2C2E04E6"/>
    <w:rsid w:val="2C2E598B"/>
    <w:rsid w:val="2C370819"/>
    <w:rsid w:val="2C401128"/>
    <w:rsid w:val="2C451D2D"/>
    <w:rsid w:val="2C51711B"/>
    <w:rsid w:val="2C6435C6"/>
    <w:rsid w:val="2C742D57"/>
    <w:rsid w:val="2C761602"/>
    <w:rsid w:val="2C7C7C88"/>
    <w:rsid w:val="2C7F4490"/>
    <w:rsid w:val="2C8C703D"/>
    <w:rsid w:val="2CCC458F"/>
    <w:rsid w:val="2CCF6E52"/>
    <w:rsid w:val="2CD64E9F"/>
    <w:rsid w:val="2CEA7529"/>
    <w:rsid w:val="2CF85053"/>
    <w:rsid w:val="2CFC01C9"/>
    <w:rsid w:val="2CFE4173"/>
    <w:rsid w:val="2D073CEF"/>
    <w:rsid w:val="2D0B5532"/>
    <w:rsid w:val="2D141100"/>
    <w:rsid w:val="2D1E6662"/>
    <w:rsid w:val="2D33589C"/>
    <w:rsid w:val="2D3E35CA"/>
    <w:rsid w:val="2D473ED9"/>
    <w:rsid w:val="2D4B705C"/>
    <w:rsid w:val="2D5B72F6"/>
    <w:rsid w:val="2D5E3AFE"/>
    <w:rsid w:val="2D643749"/>
    <w:rsid w:val="2D645A08"/>
    <w:rsid w:val="2D6A6F0E"/>
    <w:rsid w:val="2D700CFC"/>
    <w:rsid w:val="2D702450"/>
    <w:rsid w:val="2D832A39"/>
    <w:rsid w:val="2D894942"/>
    <w:rsid w:val="2D8E0DCA"/>
    <w:rsid w:val="2D946557"/>
    <w:rsid w:val="2D9E1065"/>
    <w:rsid w:val="2DB24674"/>
    <w:rsid w:val="2DC31316"/>
    <w:rsid w:val="2DCF1834"/>
    <w:rsid w:val="2DFF7E04"/>
    <w:rsid w:val="2E051D0E"/>
    <w:rsid w:val="2E2F0953"/>
    <w:rsid w:val="2E454CF5"/>
    <w:rsid w:val="2E5C271C"/>
    <w:rsid w:val="2E7F3BD6"/>
    <w:rsid w:val="2E8F63EE"/>
    <w:rsid w:val="2E97127C"/>
    <w:rsid w:val="2EAC599E"/>
    <w:rsid w:val="2EBA06F2"/>
    <w:rsid w:val="2EC02441"/>
    <w:rsid w:val="2ED5428E"/>
    <w:rsid w:val="2EDC0415"/>
    <w:rsid w:val="2EE23C7A"/>
    <w:rsid w:val="2EE351E2"/>
    <w:rsid w:val="2EE4137C"/>
    <w:rsid w:val="2F0363AD"/>
    <w:rsid w:val="2F062BB5"/>
    <w:rsid w:val="2F0D6CBD"/>
    <w:rsid w:val="2F112905"/>
    <w:rsid w:val="2F127420"/>
    <w:rsid w:val="2F165DE5"/>
    <w:rsid w:val="2F4A23A5"/>
    <w:rsid w:val="2F5527C5"/>
    <w:rsid w:val="2F5B483E"/>
    <w:rsid w:val="2F673ED3"/>
    <w:rsid w:val="2F6928F3"/>
    <w:rsid w:val="2F6C1E8E"/>
    <w:rsid w:val="2F814A7D"/>
    <w:rsid w:val="2F83700A"/>
    <w:rsid w:val="2F850386"/>
    <w:rsid w:val="2F9572C7"/>
    <w:rsid w:val="2FA6143A"/>
    <w:rsid w:val="2FAE6846"/>
    <w:rsid w:val="2FB7197F"/>
    <w:rsid w:val="2FBF039B"/>
    <w:rsid w:val="2FC94E71"/>
    <w:rsid w:val="2FD81693"/>
    <w:rsid w:val="2FDE6606"/>
    <w:rsid w:val="2FE931A8"/>
    <w:rsid w:val="2FF225BA"/>
    <w:rsid w:val="2FF61FFB"/>
    <w:rsid w:val="2FFD7CE8"/>
    <w:rsid w:val="2FFD8D13"/>
    <w:rsid w:val="30020929"/>
    <w:rsid w:val="300E18AC"/>
    <w:rsid w:val="30121DEE"/>
    <w:rsid w:val="301F5880"/>
    <w:rsid w:val="30336A9F"/>
    <w:rsid w:val="30381231"/>
    <w:rsid w:val="30441D58"/>
    <w:rsid w:val="305C56E5"/>
    <w:rsid w:val="3060796F"/>
    <w:rsid w:val="306B0B36"/>
    <w:rsid w:val="30960400"/>
    <w:rsid w:val="309D3F50"/>
    <w:rsid w:val="309F1652"/>
    <w:rsid w:val="30BE33DD"/>
    <w:rsid w:val="30C4537D"/>
    <w:rsid w:val="30C521D8"/>
    <w:rsid w:val="30CA112B"/>
    <w:rsid w:val="30CB701E"/>
    <w:rsid w:val="30DB6D4E"/>
    <w:rsid w:val="30E852C9"/>
    <w:rsid w:val="30EB624E"/>
    <w:rsid w:val="30F04840"/>
    <w:rsid w:val="30F80DE7"/>
    <w:rsid w:val="30FA42EA"/>
    <w:rsid w:val="30FC3F6A"/>
    <w:rsid w:val="31013DE1"/>
    <w:rsid w:val="31041376"/>
    <w:rsid w:val="310C56F2"/>
    <w:rsid w:val="31231C2B"/>
    <w:rsid w:val="312C5FC6"/>
    <w:rsid w:val="31326468"/>
    <w:rsid w:val="313661D4"/>
    <w:rsid w:val="3138634D"/>
    <w:rsid w:val="31514CF8"/>
    <w:rsid w:val="315471D8"/>
    <w:rsid w:val="31592105"/>
    <w:rsid w:val="31634C13"/>
    <w:rsid w:val="31946A67"/>
    <w:rsid w:val="31A6397F"/>
    <w:rsid w:val="31B66C1B"/>
    <w:rsid w:val="31B7469D"/>
    <w:rsid w:val="31CA62EC"/>
    <w:rsid w:val="31D46512"/>
    <w:rsid w:val="31F476C7"/>
    <w:rsid w:val="31FD353C"/>
    <w:rsid w:val="320D2EAD"/>
    <w:rsid w:val="320F431C"/>
    <w:rsid w:val="320F4DEA"/>
    <w:rsid w:val="321118B3"/>
    <w:rsid w:val="321502BA"/>
    <w:rsid w:val="322425CE"/>
    <w:rsid w:val="322C3653"/>
    <w:rsid w:val="322F51E9"/>
    <w:rsid w:val="323352EB"/>
    <w:rsid w:val="324E3917"/>
    <w:rsid w:val="325767A5"/>
    <w:rsid w:val="32691F42"/>
    <w:rsid w:val="32745651"/>
    <w:rsid w:val="327D1179"/>
    <w:rsid w:val="328B7EF8"/>
    <w:rsid w:val="32992A91"/>
    <w:rsid w:val="329D3696"/>
    <w:rsid w:val="32AE418A"/>
    <w:rsid w:val="32AE71B3"/>
    <w:rsid w:val="32B141A6"/>
    <w:rsid w:val="32C600DD"/>
    <w:rsid w:val="32CA23A0"/>
    <w:rsid w:val="32CE54EA"/>
    <w:rsid w:val="32CE6B16"/>
    <w:rsid w:val="32DA6D7E"/>
    <w:rsid w:val="32E00C87"/>
    <w:rsid w:val="32EC251B"/>
    <w:rsid w:val="32ED471A"/>
    <w:rsid w:val="32EE518C"/>
    <w:rsid w:val="33087DBE"/>
    <w:rsid w:val="330E0E5D"/>
    <w:rsid w:val="33196863"/>
    <w:rsid w:val="3333740C"/>
    <w:rsid w:val="33493EB1"/>
    <w:rsid w:val="334E0C89"/>
    <w:rsid w:val="335E6981"/>
    <w:rsid w:val="33604A58"/>
    <w:rsid w:val="33605193"/>
    <w:rsid w:val="33683669"/>
    <w:rsid w:val="336B368B"/>
    <w:rsid w:val="33711B3C"/>
    <w:rsid w:val="337820FF"/>
    <w:rsid w:val="339A00B5"/>
    <w:rsid w:val="339E233F"/>
    <w:rsid w:val="339F1FBF"/>
    <w:rsid w:val="33A02192"/>
    <w:rsid w:val="33A41CCA"/>
    <w:rsid w:val="33B61BE4"/>
    <w:rsid w:val="33C2127A"/>
    <w:rsid w:val="33C36CFB"/>
    <w:rsid w:val="33CD696D"/>
    <w:rsid w:val="33D25C91"/>
    <w:rsid w:val="33D31514"/>
    <w:rsid w:val="33D716F4"/>
    <w:rsid w:val="33E5126E"/>
    <w:rsid w:val="33EB4ED1"/>
    <w:rsid w:val="33F971D5"/>
    <w:rsid w:val="33FC3171"/>
    <w:rsid w:val="340032DD"/>
    <w:rsid w:val="340771D4"/>
    <w:rsid w:val="34091CF5"/>
    <w:rsid w:val="34111D69"/>
    <w:rsid w:val="341A770A"/>
    <w:rsid w:val="341E6110"/>
    <w:rsid w:val="341F4B10"/>
    <w:rsid w:val="341F5D90"/>
    <w:rsid w:val="34262F80"/>
    <w:rsid w:val="342F71B0"/>
    <w:rsid w:val="3432152E"/>
    <w:rsid w:val="343A12C2"/>
    <w:rsid w:val="343C56C0"/>
    <w:rsid w:val="344F5656"/>
    <w:rsid w:val="345A26F2"/>
    <w:rsid w:val="346B7857"/>
    <w:rsid w:val="346F1E7D"/>
    <w:rsid w:val="34700C14"/>
    <w:rsid w:val="349D4460"/>
    <w:rsid w:val="34A6114A"/>
    <w:rsid w:val="34A845B2"/>
    <w:rsid w:val="34AC2D80"/>
    <w:rsid w:val="34B15EB8"/>
    <w:rsid w:val="34B800A1"/>
    <w:rsid w:val="34BA5F8F"/>
    <w:rsid w:val="34C752A4"/>
    <w:rsid w:val="34CE04B2"/>
    <w:rsid w:val="34DA64C3"/>
    <w:rsid w:val="34E757BD"/>
    <w:rsid w:val="34EB1FE1"/>
    <w:rsid w:val="34EC7728"/>
    <w:rsid w:val="34EC7A62"/>
    <w:rsid w:val="350B657B"/>
    <w:rsid w:val="350B6C92"/>
    <w:rsid w:val="352630BF"/>
    <w:rsid w:val="35277AB9"/>
    <w:rsid w:val="35277C74"/>
    <w:rsid w:val="35315C00"/>
    <w:rsid w:val="35324954"/>
    <w:rsid w:val="355439A1"/>
    <w:rsid w:val="356D608D"/>
    <w:rsid w:val="35771BC5"/>
    <w:rsid w:val="35825067"/>
    <w:rsid w:val="35871E5F"/>
    <w:rsid w:val="358A17B9"/>
    <w:rsid w:val="359314F5"/>
    <w:rsid w:val="35A85C17"/>
    <w:rsid w:val="35A92676"/>
    <w:rsid w:val="35CC7E8F"/>
    <w:rsid w:val="35CE0847"/>
    <w:rsid w:val="35D61BDE"/>
    <w:rsid w:val="35E46E9C"/>
    <w:rsid w:val="35E477C0"/>
    <w:rsid w:val="35EB1B84"/>
    <w:rsid w:val="35ED5087"/>
    <w:rsid w:val="35F86D02"/>
    <w:rsid w:val="35FA439C"/>
    <w:rsid w:val="36037B66"/>
    <w:rsid w:val="360B20BE"/>
    <w:rsid w:val="363673FD"/>
    <w:rsid w:val="363A1903"/>
    <w:rsid w:val="365537B1"/>
    <w:rsid w:val="366D225D"/>
    <w:rsid w:val="366F435B"/>
    <w:rsid w:val="36750AA8"/>
    <w:rsid w:val="36767569"/>
    <w:rsid w:val="367904EE"/>
    <w:rsid w:val="367D10F2"/>
    <w:rsid w:val="367D3ED6"/>
    <w:rsid w:val="36933296"/>
    <w:rsid w:val="36951422"/>
    <w:rsid w:val="36A2002D"/>
    <w:rsid w:val="36A77D38"/>
    <w:rsid w:val="36A9323B"/>
    <w:rsid w:val="36AA0CBD"/>
    <w:rsid w:val="36BC3397"/>
    <w:rsid w:val="36BE0933"/>
    <w:rsid w:val="36CC24F7"/>
    <w:rsid w:val="36D00EFD"/>
    <w:rsid w:val="36E421A0"/>
    <w:rsid w:val="36ED7BA0"/>
    <w:rsid w:val="36F6333B"/>
    <w:rsid w:val="36F75539"/>
    <w:rsid w:val="36FE2945"/>
    <w:rsid w:val="36FF1D44"/>
    <w:rsid w:val="37067ABA"/>
    <w:rsid w:val="3710265D"/>
    <w:rsid w:val="37122F70"/>
    <w:rsid w:val="371812F1"/>
    <w:rsid w:val="371F6223"/>
    <w:rsid w:val="3720417F"/>
    <w:rsid w:val="372C7F91"/>
    <w:rsid w:val="372F4799"/>
    <w:rsid w:val="373508A1"/>
    <w:rsid w:val="37384A52"/>
    <w:rsid w:val="373919BF"/>
    <w:rsid w:val="373E7E7C"/>
    <w:rsid w:val="373F4A34"/>
    <w:rsid w:val="374146B4"/>
    <w:rsid w:val="374A7542"/>
    <w:rsid w:val="37564659"/>
    <w:rsid w:val="3762046C"/>
    <w:rsid w:val="37640948"/>
    <w:rsid w:val="378828AA"/>
    <w:rsid w:val="37A13EFE"/>
    <w:rsid w:val="37A44758"/>
    <w:rsid w:val="37BB437D"/>
    <w:rsid w:val="37C44B04"/>
    <w:rsid w:val="37EF4C44"/>
    <w:rsid w:val="37F863E1"/>
    <w:rsid w:val="37FA70CD"/>
    <w:rsid w:val="37FB7365"/>
    <w:rsid w:val="380140FB"/>
    <w:rsid w:val="38037FF5"/>
    <w:rsid w:val="38091EFE"/>
    <w:rsid w:val="381A7C1A"/>
    <w:rsid w:val="381F62A0"/>
    <w:rsid w:val="38301DBE"/>
    <w:rsid w:val="383813C8"/>
    <w:rsid w:val="383B234D"/>
    <w:rsid w:val="383C7DCF"/>
    <w:rsid w:val="384C621D"/>
    <w:rsid w:val="38563F34"/>
    <w:rsid w:val="3856677A"/>
    <w:rsid w:val="386D1C23"/>
    <w:rsid w:val="38770A8F"/>
    <w:rsid w:val="38833DC6"/>
    <w:rsid w:val="389030DC"/>
    <w:rsid w:val="38985A08"/>
    <w:rsid w:val="389926E7"/>
    <w:rsid w:val="389D10ED"/>
    <w:rsid w:val="389F2071"/>
    <w:rsid w:val="38C2712E"/>
    <w:rsid w:val="38CE0B9A"/>
    <w:rsid w:val="38E13633"/>
    <w:rsid w:val="38E35C4F"/>
    <w:rsid w:val="38EB6E2C"/>
    <w:rsid w:val="3908401F"/>
    <w:rsid w:val="393712EB"/>
    <w:rsid w:val="39453E84"/>
    <w:rsid w:val="394A250A"/>
    <w:rsid w:val="39662698"/>
    <w:rsid w:val="396C3D44"/>
    <w:rsid w:val="397101CC"/>
    <w:rsid w:val="3996298A"/>
    <w:rsid w:val="39964B88"/>
    <w:rsid w:val="399E3D25"/>
    <w:rsid w:val="39A1679C"/>
    <w:rsid w:val="39B20C35"/>
    <w:rsid w:val="39B79676"/>
    <w:rsid w:val="39B82B3E"/>
    <w:rsid w:val="39CD19AF"/>
    <w:rsid w:val="39D349ED"/>
    <w:rsid w:val="39DE2D7E"/>
    <w:rsid w:val="39E720E4"/>
    <w:rsid w:val="39E7368D"/>
    <w:rsid w:val="39F4309F"/>
    <w:rsid w:val="39F60425"/>
    <w:rsid w:val="39F628F8"/>
    <w:rsid w:val="3A1B67E7"/>
    <w:rsid w:val="3A1D02E4"/>
    <w:rsid w:val="3A1F5EFF"/>
    <w:rsid w:val="3A281EF8"/>
    <w:rsid w:val="3A7022ED"/>
    <w:rsid w:val="3A8C23C1"/>
    <w:rsid w:val="3A956CA9"/>
    <w:rsid w:val="3A9934B1"/>
    <w:rsid w:val="3A9E1B37"/>
    <w:rsid w:val="3AA16DFC"/>
    <w:rsid w:val="3AAB2E5D"/>
    <w:rsid w:val="3ABE36F1"/>
    <w:rsid w:val="3AC5307C"/>
    <w:rsid w:val="3AC961FF"/>
    <w:rsid w:val="3ADE2921"/>
    <w:rsid w:val="3AE016A7"/>
    <w:rsid w:val="3AE071C4"/>
    <w:rsid w:val="3AE43CB3"/>
    <w:rsid w:val="3AEB098A"/>
    <w:rsid w:val="3AF11EE4"/>
    <w:rsid w:val="3AFA2251"/>
    <w:rsid w:val="3B10327D"/>
    <w:rsid w:val="3B337E2C"/>
    <w:rsid w:val="3B3F1D27"/>
    <w:rsid w:val="3B7B5928"/>
    <w:rsid w:val="3B8C3DBC"/>
    <w:rsid w:val="3B9001C6"/>
    <w:rsid w:val="3B915C47"/>
    <w:rsid w:val="3B957ED1"/>
    <w:rsid w:val="3BA371E7"/>
    <w:rsid w:val="3BA64AD4"/>
    <w:rsid w:val="3BAC7AF6"/>
    <w:rsid w:val="3BB85B07"/>
    <w:rsid w:val="3BCA77AD"/>
    <w:rsid w:val="3BD10C2F"/>
    <w:rsid w:val="3BD949C0"/>
    <w:rsid w:val="3BE35F62"/>
    <w:rsid w:val="3BF5596C"/>
    <w:rsid w:val="3BF70E6F"/>
    <w:rsid w:val="3C0B7795"/>
    <w:rsid w:val="3C19241A"/>
    <w:rsid w:val="3C1E6B30"/>
    <w:rsid w:val="3C2A4B41"/>
    <w:rsid w:val="3C744574"/>
    <w:rsid w:val="3C7A4FD9"/>
    <w:rsid w:val="3C9035EC"/>
    <w:rsid w:val="3CA53CDB"/>
    <w:rsid w:val="3CB12907"/>
    <w:rsid w:val="3CBA674C"/>
    <w:rsid w:val="3CD47558"/>
    <w:rsid w:val="3CD704DD"/>
    <w:rsid w:val="3CE1686E"/>
    <w:rsid w:val="3D0407DA"/>
    <w:rsid w:val="3D0422A6"/>
    <w:rsid w:val="3D1B3AA0"/>
    <w:rsid w:val="3D1C31D0"/>
    <w:rsid w:val="3D342151"/>
    <w:rsid w:val="3D42560E"/>
    <w:rsid w:val="3D456592"/>
    <w:rsid w:val="3D471A96"/>
    <w:rsid w:val="3D595233"/>
    <w:rsid w:val="3D5A265A"/>
    <w:rsid w:val="3D655631"/>
    <w:rsid w:val="3D6D6452"/>
    <w:rsid w:val="3D734E6A"/>
    <w:rsid w:val="3D7570E2"/>
    <w:rsid w:val="3D7824A0"/>
    <w:rsid w:val="3D7858AE"/>
    <w:rsid w:val="3D793569"/>
    <w:rsid w:val="3D8418FA"/>
    <w:rsid w:val="3D8F2870"/>
    <w:rsid w:val="3D924493"/>
    <w:rsid w:val="3D9C4C29"/>
    <w:rsid w:val="3D9C6FA1"/>
    <w:rsid w:val="3D9E1FBB"/>
    <w:rsid w:val="3DA0122B"/>
    <w:rsid w:val="3DB755CD"/>
    <w:rsid w:val="3DBB67CF"/>
    <w:rsid w:val="3DBEBCD0"/>
    <w:rsid w:val="3DC115C9"/>
    <w:rsid w:val="3DC448E2"/>
    <w:rsid w:val="3DCE0A75"/>
    <w:rsid w:val="3DCF64F7"/>
    <w:rsid w:val="3DD3167A"/>
    <w:rsid w:val="3DD3624A"/>
    <w:rsid w:val="3DFC02BF"/>
    <w:rsid w:val="3E0C635B"/>
    <w:rsid w:val="3E0F1573"/>
    <w:rsid w:val="3E143C55"/>
    <w:rsid w:val="3E1B52F1"/>
    <w:rsid w:val="3E1C2D73"/>
    <w:rsid w:val="3E36391C"/>
    <w:rsid w:val="3E4E4846"/>
    <w:rsid w:val="3E5B2140"/>
    <w:rsid w:val="3E5D4E61"/>
    <w:rsid w:val="3E844D20"/>
    <w:rsid w:val="3E9571B9"/>
    <w:rsid w:val="3EA9184F"/>
    <w:rsid w:val="3EBE31DD"/>
    <w:rsid w:val="3EDE519D"/>
    <w:rsid w:val="3EE7FA93"/>
    <w:rsid w:val="3EF21FED"/>
    <w:rsid w:val="3EF67EB8"/>
    <w:rsid w:val="3EF717DC"/>
    <w:rsid w:val="3EFC23E1"/>
    <w:rsid w:val="3F112386"/>
    <w:rsid w:val="3F1F291C"/>
    <w:rsid w:val="3F210422"/>
    <w:rsid w:val="3F225EA4"/>
    <w:rsid w:val="3F3B4910"/>
    <w:rsid w:val="3F3D48DC"/>
    <w:rsid w:val="3F4225CA"/>
    <w:rsid w:val="3F492B80"/>
    <w:rsid w:val="3F65658D"/>
    <w:rsid w:val="3F663E5C"/>
    <w:rsid w:val="3F6BD6E4"/>
    <w:rsid w:val="3F8B2050"/>
    <w:rsid w:val="3F9C44E8"/>
    <w:rsid w:val="3FA23E73"/>
    <w:rsid w:val="3FA85D7D"/>
    <w:rsid w:val="3FB2668C"/>
    <w:rsid w:val="3FC37466"/>
    <w:rsid w:val="3FC76631"/>
    <w:rsid w:val="3FEF1D74"/>
    <w:rsid w:val="3FFF3281"/>
    <w:rsid w:val="400E6DA6"/>
    <w:rsid w:val="403219F9"/>
    <w:rsid w:val="40352EF8"/>
    <w:rsid w:val="403719AB"/>
    <w:rsid w:val="40495906"/>
    <w:rsid w:val="40520794"/>
    <w:rsid w:val="40734145"/>
    <w:rsid w:val="40803861"/>
    <w:rsid w:val="408731EC"/>
    <w:rsid w:val="409B1E8D"/>
    <w:rsid w:val="40A522A6"/>
    <w:rsid w:val="40A567D3"/>
    <w:rsid w:val="40AD3096"/>
    <w:rsid w:val="40AE30AC"/>
    <w:rsid w:val="40AF442B"/>
    <w:rsid w:val="40C81A57"/>
    <w:rsid w:val="40CB045E"/>
    <w:rsid w:val="40CC7ACB"/>
    <w:rsid w:val="40CE44AA"/>
    <w:rsid w:val="40D2147E"/>
    <w:rsid w:val="40D74270"/>
    <w:rsid w:val="40F04B06"/>
    <w:rsid w:val="41130852"/>
    <w:rsid w:val="41187E7E"/>
    <w:rsid w:val="411E2466"/>
    <w:rsid w:val="412F4B71"/>
    <w:rsid w:val="41321107"/>
    <w:rsid w:val="41336B88"/>
    <w:rsid w:val="41415E9E"/>
    <w:rsid w:val="41443B0A"/>
    <w:rsid w:val="41487E00"/>
    <w:rsid w:val="41553397"/>
    <w:rsid w:val="415C5012"/>
    <w:rsid w:val="416405D4"/>
    <w:rsid w:val="4172666D"/>
    <w:rsid w:val="4188562C"/>
    <w:rsid w:val="419F0436"/>
    <w:rsid w:val="41A05068"/>
    <w:rsid w:val="41A710C5"/>
    <w:rsid w:val="41A963A5"/>
    <w:rsid w:val="41C21036"/>
    <w:rsid w:val="41E04AAA"/>
    <w:rsid w:val="41EC1C34"/>
    <w:rsid w:val="41EC3DB8"/>
    <w:rsid w:val="41EE4AAE"/>
    <w:rsid w:val="41F9564C"/>
    <w:rsid w:val="420226D9"/>
    <w:rsid w:val="420713FA"/>
    <w:rsid w:val="42084862"/>
    <w:rsid w:val="42087E65"/>
    <w:rsid w:val="420F003F"/>
    <w:rsid w:val="42162288"/>
    <w:rsid w:val="421C3283"/>
    <w:rsid w:val="421E2009"/>
    <w:rsid w:val="423441AD"/>
    <w:rsid w:val="42660F50"/>
    <w:rsid w:val="42702D0D"/>
    <w:rsid w:val="42733C91"/>
    <w:rsid w:val="42772697"/>
    <w:rsid w:val="42A32262"/>
    <w:rsid w:val="42A605A8"/>
    <w:rsid w:val="42B34A7B"/>
    <w:rsid w:val="42C27294"/>
    <w:rsid w:val="42D32DB1"/>
    <w:rsid w:val="42DF0DC2"/>
    <w:rsid w:val="42F8776E"/>
    <w:rsid w:val="431C51A2"/>
    <w:rsid w:val="43243AB5"/>
    <w:rsid w:val="433F0E4B"/>
    <w:rsid w:val="433F20E0"/>
    <w:rsid w:val="434155E3"/>
    <w:rsid w:val="434A083C"/>
    <w:rsid w:val="434A3CF5"/>
    <w:rsid w:val="4351587E"/>
    <w:rsid w:val="435E7112"/>
    <w:rsid w:val="43625B18"/>
    <w:rsid w:val="437101AA"/>
    <w:rsid w:val="43874CAE"/>
    <w:rsid w:val="43A66231"/>
    <w:rsid w:val="43BE3CB3"/>
    <w:rsid w:val="43BF1735"/>
    <w:rsid w:val="43C42339"/>
    <w:rsid w:val="43D922DF"/>
    <w:rsid w:val="43EA2579"/>
    <w:rsid w:val="43EC5A7C"/>
    <w:rsid w:val="43EE6A01"/>
    <w:rsid w:val="43F6451D"/>
    <w:rsid w:val="43FF251E"/>
    <w:rsid w:val="440A5C22"/>
    <w:rsid w:val="441B2D48"/>
    <w:rsid w:val="442858E1"/>
    <w:rsid w:val="442A5561"/>
    <w:rsid w:val="442D4230"/>
    <w:rsid w:val="444E229E"/>
    <w:rsid w:val="44565AD2"/>
    <w:rsid w:val="445960B0"/>
    <w:rsid w:val="446E05D4"/>
    <w:rsid w:val="446E4D51"/>
    <w:rsid w:val="447424DD"/>
    <w:rsid w:val="447E4FEB"/>
    <w:rsid w:val="448103AF"/>
    <w:rsid w:val="4488337C"/>
    <w:rsid w:val="44AD5B3A"/>
    <w:rsid w:val="44B06ABF"/>
    <w:rsid w:val="44B14540"/>
    <w:rsid w:val="44C37CDE"/>
    <w:rsid w:val="44CA2EEC"/>
    <w:rsid w:val="44CB50EA"/>
    <w:rsid w:val="44D04DF5"/>
    <w:rsid w:val="44DC497B"/>
    <w:rsid w:val="44E80B61"/>
    <w:rsid w:val="44EA4606"/>
    <w:rsid w:val="44ED6924"/>
    <w:rsid w:val="44F55F2E"/>
    <w:rsid w:val="44F77233"/>
    <w:rsid w:val="44FD6FED"/>
    <w:rsid w:val="45161CE6"/>
    <w:rsid w:val="451A3F70"/>
    <w:rsid w:val="45243E5F"/>
    <w:rsid w:val="454C2BE4"/>
    <w:rsid w:val="454F78C2"/>
    <w:rsid w:val="455475CD"/>
    <w:rsid w:val="4555504E"/>
    <w:rsid w:val="456055DE"/>
    <w:rsid w:val="45674F69"/>
    <w:rsid w:val="4574179F"/>
    <w:rsid w:val="457F2C28"/>
    <w:rsid w:val="45833866"/>
    <w:rsid w:val="4587329F"/>
    <w:rsid w:val="45892025"/>
    <w:rsid w:val="45976E0E"/>
    <w:rsid w:val="45A75552"/>
    <w:rsid w:val="45C7356C"/>
    <w:rsid w:val="45C83D08"/>
    <w:rsid w:val="45C967EE"/>
    <w:rsid w:val="45F4304A"/>
    <w:rsid w:val="46010231"/>
    <w:rsid w:val="4603646C"/>
    <w:rsid w:val="460460EC"/>
    <w:rsid w:val="460A7FF5"/>
    <w:rsid w:val="460F447D"/>
    <w:rsid w:val="461374AA"/>
    <w:rsid w:val="462B3DAD"/>
    <w:rsid w:val="462D14AE"/>
    <w:rsid w:val="46302433"/>
    <w:rsid w:val="46325936"/>
    <w:rsid w:val="463B4047"/>
    <w:rsid w:val="463D76E9"/>
    <w:rsid w:val="46446C2F"/>
    <w:rsid w:val="465374F0"/>
    <w:rsid w:val="465410D6"/>
    <w:rsid w:val="465429F3"/>
    <w:rsid w:val="46554BF1"/>
    <w:rsid w:val="465B237E"/>
    <w:rsid w:val="465E7A7F"/>
    <w:rsid w:val="466B6D95"/>
    <w:rsid w:val="466C009A"/>
    <w:rsid w:val="4683443C"/>
    <w:rsid w:val="46860C43"/>
    <w:rsid w:val="468A3DC6"/>
    <w:rsid w:val="46955500"/>
    <w:rsid w:val="46CB20CB"/>
    <w:rsid w:val="46CF48BB"/>
    <w:rsid w:val="46D1667A"/>
    <w:rsid w:val="46EA7C39"/>
    <w:rsid w:val="46ED3E6B"/>
    <w:rsid w:val="46F43DE6"/>
    <w:rsid w:val="46F843FA"/>
    <w:rsid w:val="46FB0C02"/>
    <w:rsid w:val="46FE1F75"/>
    <w:rsid w:val="4705784A"/>
    <w:rsid w:val="4706229C"/>
    <w:rsid w:val="471F593F"/>
    <w:rsid w:val="47221481"/>
    <w:rsid w:val="47385AC7"/>
    <w:rsid w:val="473C7EF9"/>
    <w:rsid w:val="47423575"/>
    <w:rsid w:val="474749BE"/>
    <w:rsid w:val="476105A6"/>
    <w:rsid w:val="476619AF"/>
    <w:rsid w:val="476959A3"/>
    <w:rsid w:val="47723ABC"/>
    <w:rsid w:val="477E4D16"/>
    <w:rsid w:val="478E39F4"/>
    <w:rsid w:val="479123FB"/>
    <w:rsid w:val="479E5E8D"/>
    <w:rsid w:val="47A824CD"/>
    <w:rsid w:val="47AE3F29"/>
    <w:rsid w:val="47B916EB"/>
    <w:rsid w:val="47C27346"/>
    <w:rsid w:val="47D32E64"/>
    <w:rsid w:val="47D86EF7"/>
    <w:rsid w:val="47E75388"/>
    <w:rsid w:val="47EC180F"/>
    <w:rsid w:val="47F17E95"/>
    <w:rsid w:val="47F3119A"/>
    <w:rsid w:val="47FF71AB"/>
    <w:rsid w:val="480F7403"/>
    <w:rsid w:val="481248F2"/>
    <w:rsid w:val="4812579A"/>
    <w:rsid w:val="48126BBA"/>
    <w:rsid w:val="482B34F2"/>
    <w:rsid w:val="48345CA7"/>
    <w:rsid w:val="48365107"/>
    <w:rsid w:val="485559BC"/>
    <w:rsid w:val="485C7545"/>
    <w:rsid w:val="486F2CE2"/>
    <w:rsid w:val="48742EFF"/>
    <w:rsid w:val="487565D5"/>
    <w:rsid w:val="4888168E"/>
    <w:rsid w:val="4889710F"/>
    <w:rsid w:val="489B28AD"/>
    <w:rsid w:val="48BD40E6"/>
    <w:rsid w:val="48C714C1"/>
    <w:rsid w:val="48C76BF4"/>
    <w:rsid w:val="48CA5643"/>
    <w:rsid w:val="48CF7884"/>
    <w:rsid w:val="48D74C90"/>
    <w:rsid w:val="48DD6133"/>
    <w:rsid w:val="48F17A38"/>
    <w:rsid w:val="48FB0348"/>
    <w:rsid w:val="49022474"/>
    <w:rsid w:val="491D1B81"/>
    <w:rsid w:val="492B471A"/>
    <w:rsid w:val="492F531F"/>
    <w:rsid w:val="493051B6"/>
    <w:rsid w:val="493319DD"/>
    <w:rsid w:val="496D2C05"/>
    <w:rsid w:val="496E0687"/>
    <w:rsid w:val="49735095"/>
    <w:rsid w:val="497B799C"/>
    <w:rsid w:val="497D594C"/>
    <w:rsid w:val="499279B0"/>
    <w:rsid w:val="49B12382"/>
    <w:rsid w:val="49C47F53"/>
    <w:rsid w:val="49D66DB1"/>
    <w:rsid w:val="49E95DD2"/>
    <w:rsid w:val="49ED69D6"/>
    <w:rsid w:val="49F15983"/>
    <w:rsid w:val="4A080885"/>
    <w:rsid w:val="4A0C260D"/>
    <w:rsid w:val="4A121445"/>
    <w:rsid w:val="4A125911"/>
    <w:rsid w:val="4A144698"/>
    <w:rsid w:val="4A2645B2"/>
    <w:rsid w:val="4A4467F7"/>
    <w:rsid w:val="4A49386D"/>
    <w:rsid w:val="4A643210"/>
    <w:rsid w:val="4A70372C"/>
    <w:rsid w:val="4A791E3E"/>
    <w:rsid w:val="4A824CCC"/>
    <w:rsid w:val="4A8C53A4"/>
    <w:rsid w:val="4A8C7696"/>
    <w:rsid w:val="4AAB5B1D"/>
    <w:rsid w:val="4AAE5E5A"/>
    <w:rsid w:val="4AB178EE"/>
    <w:rsid w:val="4AB712EB"/>
    <w:rsid w:val="4ACB2B41"/>
    <w:rsid w:val="4ACF4DCB"/>
    <w:rsid w:val="4AD124CC"/>
    <w:rsid w:val="4AD7381F"/>
    <w:rsid w:val="4AEB0E78"/>
    <w:rsid w:val="4AF9238C"/>
    <w:rsid w:val="4B064F25"/>
    <w:rsid w:val="4B1410CA"/>
    <w:rsid w:val="4B1A4B97"/>
    <w:rsid w:val="4B234855"/>
    <w:rsid w:val="4B244C2A"/>
    <w:rsid w:val="4B26325B"/>
    <w:rsid w:val="4B3A447A"/>
    <w:rsid w:val="4B711976"/>
    <w:rsid w:val="4B9063CB"/>
    <w:rsid w:val="4B932E33"/>
    <w:rsid w:val="4B9C5418"/>
    <w:rsid w:val="4BAE3273"/>
    <w:rsid w:val="4BB3064F"/>
    <w:rsid w:val="4BB308C1"/>
    <w:rsid w:val="4BB438E1"/>
    <w:rsid w:val="4BC97CE4"/>
    <w:rsid w:val="4BE0268A"/>
    <w:rsid w:val="4BE52395"/>
    <w:rsid w:val="4BE90D9B"/>
    <w:rsid w:val="4BEE5DFA"/>
    <w:rsid w:val="4C245D2B"/>
    <w:rsid w:val="4C2D6F06"/>
    <w:rsid w:val="4C2F1D20"/>
    <w:rsid w:val="4C35316B"/>
    <w:rsid w:val="4C426EAB"/>
    <w:rsid w:val="4C473333"/>
    <w:rsid w:val="4C60645B"/>
    <w:rsid w:val="4C6363E2"/>
    <w:rsid w:val="4C6373E0"/>
    <w:rsid w:val="4C843198"/>
    <w:rsid w:val="4C8756E3"/>
    <w:rsid w:val="4C906FAA"/>
    <w:rsid w:val="4C9124AD"/>
    <w:rsid w:val="4C9D5DF2"/>
    <w:rsid w:val="4CB052E1"/>
    <w:rsid w:val="4CC0557B"/>
    <w:rsid w:val="4CE126CD"/>
    <w:rsid w:val="4CE13531"/>
    <w:rsid w:val="4CF878D3"/>
    <w:rsid w:val="4CFC484E"/>
    <w:rsid w:val="4D120BCF"/>
    <w:rsid w:val="4D15298C"/>
    <w:rsid w:val="4D1A6524"/>
    <w:rsid w:val="4D383F40"/>
    <w:rsid w:val="4D3D03C8"/>
    <w:rsid w:val="4D3E25C6"/>
    <w:rsid w:val="4D4579D2"/>
    <w:rsid w:val="4D4A1C5C"/>
    <w:rsid w:val="4D4A29CA"/>
    <w:rsid w:val="4D4A3E5A"/>
    <w:rsid w:val="4D5B1B76"/>
    <w:rsid w:val="4D640287"/>
    <w:rsid w:val="4D686C8D"/>
    <w:rsid w:val="4D754257"/>
    <w:rsid w:val="4D7D7EAC"/>
    <w:rsid w:val="4D8308BE"/>
    <w:rsid w:val="4D8352B9"/>
    <w:rsid w:val="4D8B5F48"/>
    <w:rsid w:val="4D8F494F"/>
    <w:rsid w:val="4D942FD5"/>
    <w:rsid w:val="4D971D5B"/>
    <w:rsid w:val="4DA03ACE"/>
    <w:rsid w:val="4DA457ED"/>
    <w:rsid w:val="4DB53509"/>
    <w:rsid w:val="4DC45D22"/>
    <w:rsid w:val="4DC65865"/>
    <w:rsid w:val="4DCF149A"/>
    <w:rsid w:val="4DE3533E"/>
    <w:rsid w:val="4E046B0C"/>
    <w:rsid w:val="4E096817"/>
    <w:rsid w:val="4E0A74B2"/>
    <w:rsid w:val="4E0E741B"/>
    <w:rsid w:val="4E137126"/>
    <w:rsid w:val="4E1B4533"/>
    <w:rsid w:val="4E4B7280"/>
    <w:rsid w:val="4E4E4DBC"/>
    <w:rsid w:val="4E531708"/>
    <w:rsid w:val="4E566916"/>
    <w:rsid w:val="4E614CA7"/>
    <w:rsid w:val="4E6B55B6"/>
    <w:rsid w:val="4E6B77B5"/>
    <w:rsid w:val="4E6D29C4"/>
    <w:rsid w:val="4E781049"/>
    <w:rsid w:val="4E7F6455"/>
    <w:rsid w:val="4E81291C"/>
    <w:rsid w:val="4E891FB7"/>
    <w:rsid w:val="4E960E86"/>
    <w:rsid w:val="4E9D3807"/>
    <w:rsid w:val="4EB431A9"/>
    <w:rsid w:val="4EB804EC"/>
    <w:rsid w:val="4EC00544"/>
    <w:rsid w:val="4ECF52DB"/>
    <w:rsid w:val="4ED41F08"/>
    <w:rsid w:val="4EEC6BD8"/>
    <w:rsid w:val="4F032FBC"/>
    <w:rsid w:val="4F190BD2"/>
    <w:rsid w:val="4F1D2E5C"/>
    <w:rsid w:val="4F2214E2"/>
    <w:rsid w:val="4F290E6D"/>
    <w:rsid w:val="4F2D30F6"/>
    <w:rsid w:val="4F2E0B78"/>
    <w:rsid w:val="4F2E52F4"/>
    <w:rsid w:val="4F3007F7"/>
    <w:rsid w:val="4F331C54"/>
    <w:rsid w:val="4F3877A3"/>
    <w:rsid w:val="4F4A5A93"/>
    <w:rsid w:val="4F5E0042"/>
    <w:rsid w:val="4F5F5AC3"/>
    <w:rsid w:val="4F701229"/>
    <w:rsid w:val="4F760F6C"/>
    <w:rsid w:val="4F7B53F3"/>
    <w:rsid w:val="4F870321"/>
    <w:rsid w:val="4F9B372A"/>
    <w:rsid w:val="4FB3554D"/>
    <w:rsid w:val="4FC93EC8"/>
    <w:rsid w:val="4FDF2F1A"/>
    <w:rsid w:val="4FFB6684"/>
    <w:rsid w:val="500F5C67"/>
    <w:rsid w:val="501036E9"/>
    <w:rsid w:val="50206BD9"/>
    <w:rsid w:val="50290A0F"/>
    <w:rsid w:val="50345752"/>
    <w:rsid w:val="50406436"/>
    <w:rsid w:val="504925C9"/>
    <w:rsid w:val="50525621"/>
    <w:rsid w:val="505422DB"/>
    <w:rsid w:val="506D01FF"/>
    <w:rsid w:val="506E1504"/>
    <w:rsid w:val="506E5C81"/>
    <w:rsid w:val="50700DB5"/>
    <w:rsid w:val="50795316"/>
    <w:rsid w:val="50797895"/>
    <w:rsid w:val="508C2CB2"/>
    <w:rsid w:val="50914F3C"/>
    <w:rsid w:val="50B079EF"/>
    <w:rsid w:val="50BA02FE"/>
    <w:rsid w:val="50C4668F"/>
    <w:rsid w:val="50D151E7"/>
    <w:rsid w:val="50E15FBF"/>
    <w:rsid w:val="50E56BC4"/>
    <w:rsid w:val="50EF74D3"/>
    <w:rsid w:val="50F471DE"/>
    <w:rsid w:val="51054EFA"/>
    <w:rsid w:val="51057500"/>
    <w:rsid w:val="510647A8"/>
    <w:rsid w:val="512F7403"/>
    <w:rsid w:val="512F787D"/>
    <w:rsid w:val="51304926"/>
    <w:rsid w:val="51380BCD"/>
    <w:rsid w:val="513E6359"/>
    <w:rsid w:val="51423430"/>
    <w:rsid w:val="51424D5F"/>
    <w:rsid w:val="51571481"/>
    <w:rsid w:val="516F1041"/>
    <w:rsid w:val="517C45D5"/>
    <w:rsid w:val="517D38BF"/>
    <w:rsid w:val="51892F55"/>
    <w:rsid w:val="519028E0"/>
    <w:rsid w:val="519A7A59"/>
    <w:rsid w:val="519B0C71"/>
    <w:rsid w:val="51AE1E90"/>
    <w:rsid w:val="51B8362F"/>
    <w:rsid w:val="51E13E09"/>
    <w:rsid w:val="51E57DEC"/>
    <w:rsid w:val="51F54803"/>
    <w:rsid w:val="520039D2"/>
    <w:rsid w:val="52073823"/>
    <w:rsid w:val="521A11BF"/>
    <w:rsid w:val="52260855"/>
    <w:rsid w:val="52283D58"/>
    <w:rsid w:val="522B21E3"/>
    <w:rsid w:val="523A3618"/>
    <w:rsid w:val="523C29F9"/>
    <w:rsid w:val="524013FF"/>
    <w:rsid w:val="52466B8B"/>
    <w:rsid w:val="5252299E"/>
    <w:rsid w:val="52722DD0"/>
    <w:rsid w:val="527E5E6C"/>
    <w:rsid w:val="528540F2"/>
    <w:rsid w:val="52881FE7"/>
    <w:rsid w:val="528C01F9"/>
    <w:rsid w:val="529A4B46"/>
    <w:rsid w:val="52AD3FB1"/>
    <w:rsid w:val="52B04F36"/>
    <w:rsid w:val="52B471BF"/>
    <w:rsid w:val="52BE7978"/>
    <w:rsid w:val="52C439A5"/>
    <w:rsid w:val="52DB707F"/>
    <w:rsid w:val="52E3448B"/>
    <w:rsid w:val="52F46924"/>
    <w:rsid w:val="52FA40B1"/>
    <w:rsid w:val="52FB1D3C"/>
    <w:rsid w:val="53003007"/>
    <w:rsid w:val="53183661"/>
    <w:rsid w:val="53192DA1"/>
    <w:rsid w:val="531E5AFA"/>
    <w:rsid w:val="532B62CD"/>
    <w:rsid w:val="535F1857"/>
    <w:rsid w:val="537539FA"/>
    <w:rsid w:val="53763E48"/>
    <w:rsid w:val="5381780D"/>
    <w:rsid w:val="53851A96"/>
    <w:rsid w:val="53884C19"/>
    <w:rsid w:val="53994EB3"/>
    <w:rsid w:val="53A63401"/>
    <w:rsid w:val="53B37737"/>
    <w:rsid w:val="53BD2563"/>
    <w:rsid w:val="53BE52A6"/>
    <w:rsid w:val="53D9371F"/>
    <w:rsid w:val="53EA63F0"/>
    <w:rsid w:val="53EB4CBE"/>
    <w:rsid w:val="53EE5C42"/>
    <w:rsid w:val="53F555CD"/>
    <w:rsid w:val="53FA74D7"/>
    <w:rsid w:val="53FC7156"/>
    <w:rsid w:val="543E3443"/>
    <w:rsid w:val="543F3A1C"/>
    <w:rsid w:val="54417C4B"/>
    <w:rsid w:val="544908F7"/>
    <w:rsid w:val="54553068"/>
    <w:rsid w:val="545D3CF8"/>
    <w:rsid w:val="546D7EA6"/>
    <w:rsid w:val="54760805"/>
    <w:rsid w:val="547B54A6"/>
    <w:rsid w:val="549C125E"/>
    <w:rsid w:val="54AC14F8"/>
    <w:rsid w:val="54B63E2F"/>
    <w:rsid w:val="54BB6DA0"/>
    <w:rsid w:val="54C10E68"/>
    <w:rsid w:val="54C84D1D"/>
    <w:rsid w:val="54D75BC0"/>
    <w:rsid w:val="54D83641"/>
    <w:rsid w:val="54DD7AC9"/>
    <w:rsid w:val="54E37454"/>
    <w:rsid w:val="54E43168"/>
    <w:rsid w:val="54EE050B"/>
    <w:rsid w:val="550C4D95"/>
    <w:rsid w:val="550D0882"/>
    <w:rsid w:val="552E07CD"/>
    <w:rsid w:val="552E65CF"/>
    <w:rsid w:val="553009DE"/>
    <w:rsid w:val="5536145D"/>
    <w:rsid w:val="554561F4"/>
    <w:rsid w:val="55463C75"/>
    <w:rsid w:val="554D57FF"/>
    <w:rsid w:val="55515AAD"/>
    <w:rsid w:val="55537708"/>
    <w:rsid w:val="557B2E4B"/>
    <w:rsid w:val="557D3DCF"/>
    <w:rsid w:val="558C2159"/>
    <w:rsid w:val="558E6998"/>
    <w:rsid w:val="559823FB"/>
    <w:rsid w:val="55A3676E"/>
    <w:rsid w:val="55BC6458"/>
    <w:rsid w:val="55BE68F6"/>
    <w:rsid w:val="55E502FC"/>
    <w:rsid w:val="55E65CCB"/>
    <w:rsid w:val="55E93AE3"/>
    <w:rsid w:val="55ED7906"/>
    <w:rsid w:val="55FA4A1E"/>
    <w:rsid w:val="55FC7F21"/>
    <w:rsid w:val="56135180"/>
    <w:rsid w:val="56291A43"/>
    <w:rsid w:val="562D0EF4"/>
    <w:rsid w:val="563D6557"/>
    <w:rsid w:val="563F3595"/>
    <w:rsid w:val="564532CB"/>
    <w:rsid w:val="5646709B"/>
    <w:rsid w:val="5652663E"/>
    <w:rsid w:val="56532B2E"/>
    <w:rsid w:val="56535401"/>
    <w:rsid w:val="565902BA"/>
    <w:rsid w:val="565B46DA"/>
    <w:rsid w:val="56661B4F"/>
    <w:rsid w:val="56877445"/>
    <w:rsid w:val="56895C4E"/>
    <w:rsid w:val="568B1979"/>
    <w:rsid w:val="568F44C4"/>
    <w:rsid w:val="569C2CFB"/>
    <w:rsid w:val="56AE1F43"/>
    <w:rsid w:val="56B62BD2"/>
    <w:rsid w:val="56B87BAF"/>
    <w:rsid w:val="56C708EE"/>
    <w:rsid w:val="56C7506B"/>
    <w:rsid w:val="56C76DDE"/>
    <w:rsid w:val="56C82AED"/>
    <w:rsid w:val="56CA371D"/>
    <w:rsid w:val="56D457A6"/>
    <w:rsid w:val="56D62A43"/>
    <w:rsid w:val="56E12C15"/>
    <w:rsid w:val="56EE35DD"/>
    <w:rsid w:val="56FB1DE5"/>
    <w:rsid w:val="56FF69D4"/>
    <w:rsid w:val="57075E55"/>
    <w:rsid w:val="570D57DF"/>
    <w:rsid w:val="57276F7E"/>
    <w:rsid w:val="573B2E2C"/>
    <w:rsid w:val="574249AC"/>
    <w:rsid w:val="57506C80"/>
    <w:rsid w:val="576F648D"/>
    <w:rsid w:val="57722F85"/>
    <w:rsid w:val="577E6D98"/>
    <w:rsid w:val="57912473"/>
    <w:rsid w:val="579E0252"/>
    <w:rsid w:val="57A04D4E"/>
    <w:rsid w:val="57A56C58"/>
    <w:rsid w:val="57AE5369"/>
    <w:rsid w:val="57B07CAB"/>
    <w:rsid w:val="57D35934"/>
    <w:rsid w:val="57E148BE"/>
    <w:rsid w:val="57E96447"/>
    <w:rsid w:val="57EF0351"/>
    <w:rsid w:val="57F4510A"/>
    <w:rsid w:val="57FB5468"/>
    <w:rsid w:val="57FB7AFE"/>
    <w:rsid w:val="57FF132D"/>
    <w:rsid w:val="580529F7"/>
    <w:rsid w:val="580C6002"/>
    <w:rsid w:val="580F6687"/>
    <w:rsid w:val="58106307"/>
    <w:rsid w:val="58214C09"/>
    <w:rsid w:val="582E3475"/>
    <w:rsid w:val="58302F8F"/>
    <w:rsid w:val="58425BDC"/>
    <w:rsid w:val="58450D5F"/>
    <w:rsid w:val="584A2FE9"/>
    <w:rsid w:val="584D1232"/>
    <w:rsid w:val="58514B72"/>
    <w:rsid w:val="5860518C"/>
    <w:rsid w:val="58645D91"/>
    <w:rsid w:val="586B0F9F"/>
    <w:rsid w:val="5876152E"/>
    <w:rsid w:val="587C3438"/>
    <w:rsid w:val="587D49B7"/>
    <w:rsid w:val="58A93002"/>
    <w:rsid w:val="58AB3F87"/>
    <w:rsid w:val="58AC780A"/>
    <w:rsid w:val="58C35579"/>
    <w:rsid w:val="58D36B13"/>
    <w:rsid w:val="58DC1FC7"/>
    <w:rsid w:val="58DCDEEC"/>
    <w:rsid w:val="59024996"/>
    <w:rsid w:val="59163636"/>
    <w:rsid w:val="59257A04"/>
    <w:rsid w:val="592738D0"/>
    <w:rsid w:val="592D105D"/>
    <w:rsid w:val="5930483E"/>
    <w:rsid w:val="594D0770"/>
    <w:rsid w:val="596420D7"/>
    <w:rsid w:val="596B5854"/>
    <w:rsid w:val="59774954"/>
    <w:rsid w:val="597F0A4E"/>
    <w:rsid w:val="597F62A7"/>
    <w:rsid w:val="59803066"/>
    <w:rsid w:val="598C1076"/>
    <w:rsid w:val="59A96428"/>
    <w:rsid w:val="59B02744"/>
    <w:rsid w:val="59B05DB3"/>
    <w:rsid w:val="59B5040A"/>
    <w:rsid w:val="59BA5297"/>
    <w:rsid w:val="59C617BC"/>
    <w:rsid w:val="59D030BD"/>
    <w:rsid w:val="59D949F9"/>
    <w:rsid w:val="59DB4679"/>
    <w:rsid w:val="59DD4C92"/>
    <w:rsid w:val="59E00B01"/>
    <w:rsid w:val="59E507F0"/>
    <w:rsid w:val="59E62115"/>
    <w:rsid w:val="59EE2FE3"/>
    <w:rsid w:val="5A063515"/>
    <w:rsid w:val="5A1225D4"/>
    <w:rsid w:val="5A157F9D"/>
    <w:rsid w:val="5A1844DE"/>
    <w:rsid w:val="5A1D5A49"/>
    <w:rsid w:val="5A214DED"/>
    <w:rsid w:val="5A276CF7"/>
    <w:rsid w:val="5A3472F2"/>
    <w:rsid w:val="5A440BE4"/>
    <w:rsid w:val="5A490530"/>
    <w:rsid w:val="5A507EBB"/>
    <w:rsid w:val="5A554343"/>
    <w:rsid w:val="5A5C174F"/>
    <w:rsid w:val="5A805270"/>
    <w:rsid w:val="5A974794"/>
    <w:rsid w:val="5AA127E2"/>
    <w:rsid w:val="5AA3241F"/>
    <w:rsid w:val="5AA70426"/>
    <w:rsid w:val="5AAB4D51"/>
    <w:rsid w:val="5ABD2A6D"/>
    <w:rsid w:val="5ABF016F"/>
    <w:rsid w:val="5AD1390C"/>
    <w:rsid w:val="5AD34C11"/>
    <w:rsid w:val="5AE31628"/>
    <w:rsid w:val="5AE4733D"/>
    <w:rsid w:val="5AE738B1"/>
    <w:rsid w:val="5AF42BC7"/>
    <w:rsid w:val="5B073DE6"/>
    <w:rsid w:val="5B0C6070"/>
    <w:rsid w:val="5B1024F7"/>
    <w:rsid w:val="5B1E180D"/>
    <w:rsid w:val="5B397E38"/>
    <w:rsid w:val="5B48496A"/>
    <w:rsid w:val="5B5A5164"/>
    <w:rsid w:val="5B7966A3"/>
    <w:rsid w:val="5B7B6323"/>
    <w:rsid w:val="5B8E7542"/>
    <w:rsid w:val="5BA43FB8"/>
    <w:rsid w:val="5BC76551"/>
    <w:rsid w:val="5BC81896"/>
    <w:rsid w:val="5BF0225D"/>
    <w:rsid w:val="5BF030CD"/>
    <w:rsid w:val="5BFA4673"/>
    <w:rsid w:val="5C044F83"/>
    <w:rsid w:val="5C0B0191"/>
    <w:rsid w:val="5C0D3694"/>
    <w:rsid w:val="5C0E1115"/>
    <w:rsid w:val="5C0F0D95"/>
    <w:rsid w:val="5C127B1C"/>
    <w:rsid w:val="5C232C28"/>
    <w:rsid w:val="5C3744D8"/>
    <w:rsid w:val="5C3F18E4"/>
    <w:rsid w:val="5C433B6E"/>
    <w:rsid w:val="5C55730B"/>
    <w:rsid w:val="5C60789B"/>
    <w:rsid w:val="5C790656"/>
    <w:rsid w:val="5C7C59C9"/>
    <w:rsid w:val="5C87555C"/>
    <w:rsid w:val="5C9757F6"/>
    <w:rsid w:val="5CB376A5"/>
    <w:rsid w:val="5CB87492"/>
    <w:rsid w:val="5CD31049"/>
    <w:rsid w:val="5CE323F2"/>
    <w:rsid w:val="5CE53377"/>
    <w:rsid w:val="5CE60DF9"/>
    <w:rsid w:val="5CEC2D02"/>
    <w:rsid w:val="5CF43966"/>
    <w:rsid w:val="5D022358"/>
    <w:rsid w:val="5D0D6ABA"/>
    <w:rsid w:val="5D146445"/>
    <w:rsid w:val="5D2508DD"/>
    <w:rsid w:val="5D261BE2"/>
    <w:rsid w:val="5D2638F4"/>
    <w:rsid w:val="5D49561A"/>
    <w:rsid w:val="5D4B3DE5"/>
    <w:rsid w:val="5D54142D"/>
    <w:rsid w:val="5D7C4B6F"/>
    <w:rsid w:val="5D86659C"/>
    <w:rsid w:val="5D8E51F5"/>
    <w:rsid w:val="5D9E4D24"/>
    <w:rsid w:val="5DA520A0"/>
    <w:rsid w:val="5DAD1ABB"/>
    <w:rsid w:val="5DB5057A"/>
    <w:rsid w:val="5DBC017F"/>
    <w:rsid w:val="5DBD27BB"/>
    <w:rsid w:val="5DC1219E"/>
    <w:rsid w:val="5DC56D7E"/>
    <w:rsid w:val="5DCB1542"/>
    <w:rsid w:val="5DCD1FEF"/>
    <w:rsid w:val="5DCE32F5"/>
    <w:rsid w:val="5DD36379"/>
    <w:rsid w:val="5DD82D54"/>
    <w:rsid w:val="5DE775C1"/>
    <w:rsid w:val="5DF631B4"/>
    <w:rsid w:val="5E142764"/>
    <w:rsid w:val="5E3F48AD"/>
    <w:rsid w:val="5E4278C2"/>
    <w:rsid w:val="5E447AB7"/>
    <w:rsid w:val="5E4E6A82"/>
    <w:rsid w:val="5E4F2949"/>
    <w:rsid w:val="5E6230CD"/>
    <w:rsid w:val="5E687C70"/>
    <w:rsid w:val="5E6F7802"/>
    <w:rsid w:val="5E7B5585"/>
    <w:rsid w:val="5E85179E"/>
    <w:rsid w:val="5E880503"/>
    <w:rsid w:val="5E8F5931"/>
    <w:rsid w:val="5E9A7920"/>
    <w:rsid w:val="5EA0144F"/>
    <w:rsid w:val="5EAC2CE3"/>
    <w:rsid w:val="5EAD75B7"/>
    <w:rsid w:val="5EB9501C"/>
    <w:rsid w:val="5EBC25D6"/>
    <w:rsid w:val="5EBD517B"/>
    <w:rsid w:val="5EBE6C8B"/>
    <w:rsid w:val="5ED0419C"/>
    <w:rsid w:val="5EF4742E"/>
    <w:rsid w:val="5EFB2A62"/>
    <w:rsid w:val="5F07654A"/>
    <w:rsid w:val="5F0D4001"/>
    <w:rsid w:val="5F0D61FF"/>
    <w:rsid w:val="5F15360C"/>
    <w:rsid w:val="5F1B04DA"/>
    <w:rsid w:val="5F1C2F97"/>
    <w:rsid w:val="5F220723"/>
    <w:rsid w:val="5F2516A8"/>
    <w:rsid w:val="5F422E9E"/>
    <w:rsid w:val="5F4A481C"/>
    <w:rsid w:val="5F4B3AE6"/>
    <w:rsid w:val="5F5C0073"/>
    <w:rsid w:val="5F5D6897"/>
    <w:rsid w:val="5F6460BD"/>
    <w:rsid w:val="5F646C0E"/>
    <w:rsid w:val="5F693096"/>
    <w:rsid w:val="5F6E2DA1"/>
    <w:rsid w:val="5F736FB1"/>
    <w:rsid w:val="5F737229"/>
    <w:rsid w:val="5F765A9C"/>
    <w:rsid w:val="5F7907D7"/>
    <w:rsid w:val="5F796BB3"/>
    <w:rsid w:val="5F8A0ED9"/>
    <w:rsid w:val="5F9147A0"/>
    <w:rsid w:val="5F93775D"/>
    <w:rsid w:val="5FAB1581"/>
    <w:rsid w:val="5FBB27CD"/>
    <w:rsid w:val="5FCD2DBA"/>
    <w:rsid w:val="5FD45FC8"/>
    <w:rsid w:val="5FD65C48"/>
    <w:rsid w:val="5FD8114B"/>
    <w:rsid w:val="5FDB7B52"/>
    <w:rsid w:val="5FEFE672"/>
    <w:rsid w:val="5FF47206"/>
    <w:rsid w:val="5FF81680"/>
    <w:rsid w:val="60056797"/>
    <w:rsid w:val="600A2C1F"/>
    <w:rsid w:val="601B5879"/>
    <w:rsid w:val="60266CCC"/>
    <w:rsid w:val="60304923"/>
    <w:rsid w:val="6037026B"/>
    <w:rsid w:val="60472A84"/>
    <w:rsid w:val="604F208F"/>
    <w:rsid w:val="605F2329"/>
    <w:rsid w:val="60614C15"/>
    <w:rsid w:val="6067462D"/>
    <w:rsid w:val="60680A3A"/>
    <w:rsid w:val="60685184"/>
    <w:rsid w:val="606B7C88"/>
    <w:rsid w:val="607C3E58"/>
    <w:rsid w:val="608337E2"/>
    <w:rsid w:val="609F196E"/>
    <w:rsid w:val="60A73B8C"/>
    <w:rsid w:val="60B37BB5"/>
    <w:rsid w:val="60B77C69"/>
    <w:rsid w:val="60B8623B"/>
    <w:rsid w:val="60C66021"/>
    <w:rsid w:val="60CD295D"/>
    <w:rsid w:val="60D603D4"/>
    <w:rsid w:val="60D657EB"/>
    <w:rsid w:val="60DB54F6"/>
    <w:rsid w:val="61140B53"/>
    <w:rsid w:val="611543D6"/>
    <w:rsid w:val="611A1656"/>
    <w:rsid w:val="611C17E3"/>
    <w:rsid w:val="61325F05"/>
    <w:rsid w:val="61335B85"/>
    <w:rsid w:val="613A0D93"/>
    <w:rsid w:val="613B0C96"/>
    <w:rsid w:val="613D220F"/>
    <w:rsid w:val="61407419"/>
    <w:rsid w:val="614D1FB2"/>
    <w:rsid w:val="616042DE"/>
    <w:rsid w:val="616366D4"/>
    <w:rsid w:val="6169605F"/>
    <w:rsid w:val="6172510D"/>
    <w:rsid w:val="617E0582"/>
    <w:rsid w:val="61AC1612"/>
    <w:rsid w:val="61B96958"/>
    <w:rsid w:val="61BF2475"/>
    <w:rsid w:val="61CF1286"/>
    <w:rsid w:val="61D76693"/>
    <w:rsid w:val="61E7692D"/>
    <w:rsid w:val="62056A29"/>
    <w:rsid w:val="62111CEF"/>
    <w:rsid w:val="621F619D"/>
    <w:rsid w:val="62233DD5"/>
    <w:rsid w:val="622C73A1"/>
    <w:rsid w:val="62310026"/>
    <w:rsid w:val="62502AD9"/>
    <w:rsid w:val="6254011E"/>
    <w:rsid w:val="62670500"/>
    <w:rsid w:val="626963FA"/>
    <w:rsid w:val="627569C2"/>
    <w:rsid w:val="6277079A"/>
    <w:rsid w:val="62893F38"/>
    <w:rsid w:val="62912A28"/>
    <w:rsid w:val="62957D4A"/>
    <w:rsid w:val="629E645C"/>
    <w:rsid w:val="62A847ED"/>
    <w:rsid w:val="62AC46FF"/>
    <w:rsid w:val="62B250FC"/>
    <w:rsid w:val="62B527FD"/>
    <w:rsid w:val="62BC7C0A"/>
    <w:rsid w:val="62BF0DDF"/>
    <w:rsid w:val="62C36A08"/>
    <w:rsid w:val="62CC52AD"/>
    <w:rsid w:val="62D96BF5"/>
    <w:rsid w:val="62E04946"/>
    <w:rsid w:val="6300161E"/>
    <w:rsid w:val="63205730"/>
    <w:rsid w:val="63220C33"/>
    <w:rsid w:val="63261838"/>
    <w:rsid w:val="633013C5"/>
    <w:rsid w:val="63390858"/>
    <w:rsid w:val="633E4CE0"/>
    <w:rsid w:val="63525A79"/>
    <w:rsid w:val="63575504"/>
    <w:rsid w:val="63597924"/>
    <w:rsid w:val="635C5C2C"/>
    <w:rsid w:val="636935A6"/>
    <w:rsid w:val="636B6AA9"/>
    <w:rsid w:val="637628BB"/>
    <w:rsid w:val="63806A4E"/>
    <w:rsid w:val="638E7F62"/>
    <w:rsid w:val="63A05C7E"/>
    <w:rsid w:val="63AA400F"/>
    <w:rsid w:val="63AC2D96"/>
    <w:rsid w:val="63B50E95"/>
    <w:rsid w:val="63D11CD0"/>
    <w:rsid w:val="63F20516"/>
    <w:rsid w:val="63F8060D"/>
    <w:rsid w:val="641414C0"/>
    <w:rsid w:val="64160A5D"/>
    <w:rsid w:val="64171EE0"/>
    <w:rsid w:val="642E0B55"/>
    <w:rsid w:val="642E206A"/>
    <w:rsid w:val="64515E31"/>
    <w:rsid w:val="64537FFA"/>
    <w:rsid w:val="64552A1C"/>
    <w:rsid w:val="64570EE2"/>
    <w:rsid w:val="6457322E"/>
    <w:rsid w:val="646734C9"/>
    <w:rsid w:val="646B16CC"/>
    <w:rsid w:val="646E5F6F"/>
    <w:rsid w:val="6472185A"/>
    <w:rsid w:val="64900E0A"/>
    <w:rsid w:val="649C04A0"/>
    <w:rsid w:val="64B055E5"/>
    <w:rsid w:val="64BE0654"/>
    <w:rsid w:val="64BF1959"/>
    <w:rsid w:val="64C55A61"/>
    <w:rsid w:val="64CC1FBA"/>
    <w:rsid w:val="64D305FA"/>
    <w:rsid w:val="64DA0075"/>
    <w:rsid w:val="64F17BAA"/>
    <w:rsid w:val="650B7121"/>
    <w:rsid w:val="65164566"/>
    <w:rsid w:val="651932EC"/>
    <w:rsid w:val="651A2F6C"/>
    <w:rsid w:val="651B2286"/>
    <w:rsid w:val="651C1ED3"/>
    <w:rsid w:val="65220379"/>
    <w:rsid w:val="65293587"/>
    <w:rsid w:val="65351598"/>
    <w:rsid w:val="653A5A1F"/>
    <w:rsid w:val="65411089"/>
    <w:rsid w:val="65422E2C"/>
    <w:rsid w:val="65440D49"/>
    <w:rsid w:val="65447B1D"/>
    <w:rsid w:val="655A3D56"/>
    <w:rsid w:val="65605834"/>
    <w:rsid w:val="6567254D"/>
    <w:rsid w:val="65705EF9"/>
    <w:rsid w:val="657E0A92"/>
    <w:rsid w:val="657E520F"/>
    <w:rsid w:val="65863920"/>
    <w:rsid w:val="659C5560"/>
    <w:rsid w:val="65A86053"/>
    <w:rsid w:val="65B43631"/>
    <w:rsid w:val="65DC2DC7"/>
    <w:rsid w:val="65F0098F"/>
    <w:rsid w:val="65FB12C7"/>
    <w:rsid w:val="66174109"/>
    <w:rsid w:val="661E7317"/>
    <w:rsid w:val="663A0E45"/>
    <w:rsid w:val="663B68C7"/>
    <w:rsid w:val="66421AD5"/>
    <w:rsid w:val="66595E77"/>
    <w:rsid w:val="6662369D"/>
    <w:rsid w:val="66632867"/>
    <w:rsid w:val="66634206"/>
    <w:rsid w:val="666F001B"/>
    <w:rsid w:val="66783D95"/>
    <w:rsid w:val="668947EA"/>
    <w:rsid w:val="668E08CF"/>
    <w:rsid w:val="669B0ED4"/>
    <w:rsid w:val="66A01E6F"/>
    <w:rsid w:val="66A0406D"/>
    <w:rsid w:val="66A562F6"/>
    <w:rsid w:val="66B8412D"/>
    <w:rsid w:val="66BB0259"/>
    <w:rsid w:val="66C52FA8"/>
    <w:rsid w:val="66C55C1D"/>
    <w:rsid w:val="66C819F0"/>
    <w:rsid w:val="66F973E4"/>
    <w:rsid w:val="66FA5A00"/>
    <w:rsid w:val="67022E0D"/>
    <w:rsid w:val="67046310"/>
    <w:rsid w:val="67065096"/>
    <w:rsid w:val="670E46A1"/>
    <w:rsid w:val="672D4F56"/>
    <w:rsid w:val="672F4BD5"/>
    <w:rsid w:val="6735657C"/>
    <w:rsid w:val="673832E7"/>
    <w:rsid w:val="674F2F0C"/>
    <w:rsid w:val="6752224E"/>
    <w:rsid w:val="67585D9A"/>
    <w:rsid w:val="67684380"/>
    <w:rsid w:val="678A5A74"/>
    <w:rsid w:val="67923BF9"/>
    <w:rsid w:val="679316CB"/>
    <w:rsid w:val="67953680"/>
    <w:rsid w:val="679E2C8B"/>
    <w:rsid w:val="67A6507F"/>
    <w:rsid w:val="67AF09A7"/>
    <w:rsid w:val="67B2192C"/>
    <w:rsid w:val="67B23972"/>
    <w:rsid w:val="67C2058F"/>
    <w:rsid w:val="67C32ECB"/>
    <w:rsid w:val="67C94DD4"/>
    <w:rsid w:val="67D21816"/>
    <w:rsid w:val="67D469E8"/>
    <w:rsid w:val="67DC1365"/>
    <w:rsid w:val="67DD2A4B"/>
    <w:rsid w:val="67E32EC9"/>
    <w:rsid w:val="67E62186"/>
    <w:rsid w:val="67EE3D0F"/>
    <w:rsid w:val="67FEEE75"/>
    <w:rsid w:val="683D2B94"/>
    <w:rsid w:val="683F0DE7"/>
    <w:rsid w:val="68416F43"/>
    <w:rsid w:val="68465A22"/>
    <w:rsid w:val="685A0E40"/>
    <w:rsid w:val="685D5648"/>
    <w:rsid w:val="685F1F4E"/>
    <w:rsid w:val="68682FB9"/>
    <w:rsid w:val="68713B2A"/>
    <w:rsid w:val="68810AC0"/>
    <w:rsid w:val="689C09B0"/>
    <w:rsid w:val="68A9794B"/>
    <w:rsid w:val="68B24D52"/>
    <w:rsid w:val="68B70FAF"/>
    <w:rsid w:val="68BA59E1"/>
    <w:rsid w:val="68BF1E69"/>
    <w:rsid w:val="68D92A13"/>
    <w:rsid w:val="68DB5F16"/>
    <w:rsid w:val="68DE1099"/>
    <w:rsid w:val="68F33A4D"/>
    <w:rsid w:val="68F3778A"/>
    <w:rsid w:val="68F4103E"/>
    <w:rsid w:val="68F954C6"/>
    <w:rsid w:val="690155C1"/>
    <w:rsid w:val="69050A65"/>
    <w:rsid w:val="69156FF4"/>
    <w:rsid w:val="691C4781"/>
    <w:rsid w:val="691E26C3"/>
    <w:rsid w:val="691E5706"/>
    <w:rsid w:val="692C5B08"/>
    <w:rsid w:val="692F0320"/>
    <w:rsid w:val="693C476F"/>
    <w:rsid w:val="694158BA"/>
    <w:rsid w:val="69430DBD"/>
    <w:rsid w:val="69533F45"/>
    <w:rsid w:val="695E2C6C"/>
    <w:rsid w:val="69660078"/>
    <w:rsid w:val="69666E14"/>
    <w:rsid w:val="69702BA5"/>
    <w:rsid w:val="6980227D"/>
    <w:rsid w:val="6985092D"/>
    <w:rsid w:val="69883C3D"/>
    <w:rsid w:val="698C7271"/>
    <w:rsid w:val="69A30A89"/>
    <w:rsid w:val="69A50E62"/>
    <w:rsid w:val="69CC32A0"/>
    <w:rsid w:val="69D22DF1"/>
    <w:rsid w:val="69EF7FDC"/>
    <w:rsid w:val="69F44D09"/>
    <w:rsid w:val="69F85FA8"/>
    <w:rsid w:val="6A152BDF"/>
    <w:rsid w:val="6A174619"/>
    <w:rsid w:val="6A202E42"/>
    <w:rsid w:val="6A21622D"/>
    <w:rsid w:val="6A5E6092"/>
    <w:rsid w:val="6A6B7926"/>
    <w:rsid w:val="6A6D215A"/>
    <w:rsid w:val="6A6E2AA9"/>
    <w:rsid w:val="6A713A2E"/>
    <w:rsid w:val="6A786C3C"/>
    <w:rsid w:val="6A8249E6"/>
    <w:rsid w:val="6A9774F1"/>
    <w:rsid w:val="6AB976A5"/>
    <w:rsid w:val="6ABA5127"/>
    <w:rsid w:val="6AC12A02"/>
    <w:rsid w:val="6AC33DB7"/>
    <w:rsid w:val="6ADE65E0"/>
    <w:rsid w:val="6ADEF3EF"/>
    <w:rsid w:val="6AF6750A"/>
    <w:rsid w:val="6AF82A0D"/>
    <w:rsid w:val="6B113937"/>
    <w:rsid w:val="6B126E3A"/>
    <w:rsid w:val="6B21034E"/>
    <w:rsid w:val="6B28575B"/>
    <w:rsid w:val="6B2F50E5"/>
    <w:rsid w:val="6B35052E"/>
    <w:rsid w:val="6B3F5380"/>
    <w:rsid w:val="6B400C03"/>
    <w:rsid w:val="6B44508B"/>
    <w:rsid w:val="6B46058E"/>
    <w:rsid w:val="6B5A17AD"/>
    <w:rsid w:val="6B6E3CD1"/>
    <w:rsid w:val="6B7D64E9"/>
    <w:rsid w:val="6B861377"/>
    <w:rsid w:val="6B8F740B"/>
    <w:rsid w:val="6B91646F"/>
    <w:rsid w:val="6B9A4795"/>
    <w:rsid w:val="6B9F44A0"/>
    <w:rsid w:val="6BB1228C"/>
    <w:rsid w:val="6BB464BD"/>
    <w:rsid w:val="6BC27CCC"/>
    <w:rsid w:val="6BD004F2"/>
    <w:rsid w:val="6BDB6883"/>
    <w:rsid w:val="6BE35787"/>
    <w:rsid w:val="6BE51391"/>
    <w:rsid w:val="6BE95322"/>
    <w:rsid w:val="6BFA5AB3"/>
    <w:rsid w:val="6C030941"/>
    <w:rsid w:val="6C0A02CC"/>
    <w:rsid w:val="6C130BDB"/>
    <w:rsid w:val="6C14665D"/>
    <w:rsid w:val="6C303D8F"/>
    <w:rsid w:val="6C353187"/>
    <w:rsid w:val="6C417D7E"/>
    <w:rsid w:val="6C535248"/>
    <w:rsid w:val="6C570F66"/>
    <w:rsid w:val="6C5A1350"/>
    <w:rsid w:val="6C5C00D6"/>
    <w:rsid w:val="6C760C80"/>
    <w:rsid w:val="6C762E7E"/>
    <w:rsid w:val="6C871509"/>
    <w:rsid w:val="6C8B53A2"/>
    <w:rsid w:val="6C992139"/>
    <w:rsid w:val="6C996695"/>
    <w:rsid w:val="6C9C0599"/>
    <w:rsid w:val="6C9C0EC0"/>
    <w:rsid w:val="6C9D0B3F"/>
    <w:rsid w:val="6CA30B8D"/>
    <w:rsid w:val="6CA7144F"/>
    <w:rsid w:val="6CAA1907"/>
    <w:rsid w:val="6CBC13F4"/>
    <w:rsid w:val="6CD6671B"/>
    <w:rsid w:val="6CE35F74"/>
    <w:rsid w:val="6CEB7FD6"/>
    <w:rsid w:val="6CF4154E"/>
    <w:rsid w:val="6D11286D"/>
    <w:rsid w:val="6D136580"/>
    <w:rsid w:val="6D1A178E"/>
    <w:rsid w:val="6D205895"/>
    <w:rsid w:val="6D275220"/>
    <w:rsid w:val="6D3632BC"/>
    <w:rsid w:val="6D666520"/>
    <w:rsid w:val="6D6A4A10"/>
    <w:rsid w:val="6D79502A"/>
    <w:rsid w:val="6D7BAFC7"/>
    <w:rsid w:val="6D9126D1"/>
    <w:rsid w:val="6D997ADE"/>
    <w:rsid w:val="6D9D24B8"/>
    <w:rsid w:val="6DAD24E8"/>
    <w:rsid w:val="6DB71B73"/>
    <w:rsid w:val="6DBC462A"/>
    <w:rsid w:val="6DD61B41"/>
    <w:rsid w:val="6DE21E7D"/>
    <w:rsid w:val="6DED1766"/>
    <w:rsid w:val="6DED1A98"/>
    <w:rsid w:val="6DF56B72"/>
    <w:rsid w:val="6DFC1CC6"/>
    <w:rsid w:val="6DFF9C70"/>
    <w:rsid w:val="6E021B42"/>
    <w:rsid w:val="6E0A7608"/>
    <w:rsid w:val="6E34575E"/>
    <w:rsid w:val="6E381515"/>
    <w:rsid w:val="6E4018D4"/>
    <w:rsid w:val="6E442175"/>
    <w:rsid w:val="6E53498E"/>
    <w:rsid w:val="6E55366C"/>
    <w:rsid w:val="6E557F8B"/>
    <w:rsid w:val="6E682806"/>
    <w:rsid w:val="6E69248F"/>
    <w:rsid w:val="6E7116EB"/>
    <w:rsid w:val="6E797BAC"/>
    <w:rsid w:val="6E7D6EED"/>
    <w:rsid w:val="6E930FFA"/>
    <w:rsid w:val="6E950C7A"/>
    <w:rsid w:val="6E9A5102"/>
    <w:rsid w:val="6EB92134"/>
    <w:rsid w:val="6ECC0EDF"/>
    <w:rsid w:val="6ED0363B"/>
    <w:rsid w:val="6EE132F8"/>
    <w:rsid w:val="6EF927B4"/>
    <w:rsid w:val="6F073538"/>
    <w:rsid w:val="6F0D5441"/>
    <w:rsid w:val="6F146FCA"/>
    <w:rsid w:val="6F1859D0"/>
    <w:rsid w:val="6F1C418A"/>
    <w:rsid w:val="6F3D238D"/>
    <w:rsid w:val="6F49731F"/>
    <w:rsid w:val="6F5B773E"/>
    <w:rsid w:val="6F5F7298"/>
    <w:rsid w:val="6F64AA00"/>
    <w:rsid w:val="6F6A1F57"/>
    <w:rsid w:val="6F6F63DF"/>
    <w:rsid w:val="6F6F91DD"/>
    <w:rsid w:val="6F732867"/>
    <w:rsid w:val="6F7B7C73"/>
    <w:rsid w:val="6F8275FE"/>
    <w:rsid w:val="6F881507"/>
    <w:rsid w:val="6F884D8A"/>
    <w:rsid w:val="6F8D05BA"/>
    <w:rsid w:val="6F972723"/>
    <w:rsid w:val="6F992AA6"/>
    <w:rsid w:val="6F9F67FA"/>
    <w:rsid w:val="6F9FD0E6"/>
    <w:rsid w:val="6FBFC3EA"/>
    <w:rsid w:val="6FCC5367"/>
    <w:rsid w:val="6FD24704"/>
    <w:rsid w:val="6FF564F8"/>
    <w:rsid w:val="6FFE32A4"/>
    <w:rsid w:val="6FFFEA95"/>
    <w:rsid w:val="70250E81"/>
    <w:rsid w:val="70383EEB"/>
    <w:rsid w:val="704E1375"/>
    <w:rsid w:val="70592A47"/>
    <w:rsid w:val="7073020B"/>
    <w:rsid w:val="70845F27"/>
    <w:rsid w:val="70910F61"/>
    <w:rsid w:val="709478B1"/>
    <w:rsid w:val="709C09E2"/>
    <w:rsid w:val="70A873E0"/>
    <w:rsid w:val="70AC166A"/>
    <w:rsid w:val="70AC5DE7"/>
    <w:rsid w:val="70AD06FE"/>
    <w:rsid w:val="70B64178"/>
    <w:rsid w:val="70CC4DD8"/>
    <w:rsid w:val="70D859B1"/>
    <w:rsid w:val="70E81CF8"/>
    <w:rsid w:val="70EF2DA5"/>
    <w:rsid w:val="70FF3672"/>
    <w:rsid w:val="710267F5"/>
    <w:rsid w:val="71052FEB"/>
    <w:rsid w:val="7107213A"/>
    <w:rsid w:val="71091A03"/>
    <w:rsid w:val="71124D16"/>
    <w:rsid w:val="71151586"/>
    <w:rsid w:val="71155816"/>
    <w:rsid w:val="71163298"/>
    <w:rsid w:val="71174061"/>
    <w:rsid w:val="712C0619"/>
    <w:rsid w:val="713902D9"/>
    <w:rsid w:val="713F2DD7"/>
    <w:rsid w:val="71400858"/>
    <w:rsid w:val="715D148D"/>
    <w:rsid w:val="7165689A"/>
    <w:rsid w:val="717A7739"/>
    <w:rsid w:val="71907CAE"/>
    <w:rsid w:val="719C0F72"/>
    <w:rsid w:val="71BA237C"/>
    <w:rsid w:val="71D15BC9"/>
    <w:rsid w:val="71D46B4E"/>
    <w:rsid w:val="71D758D4"/>
    <w:rsid w:val="71D92FD5"/>
    <w:rsid w:val="71DE00AC"/>
    <w:rsid w:val="71E216E7"/>
    <w:rsid w:val="71F06390"/>
    <w:rsid w:val="71FC2290"/>
    <w:rsid w:val="71FD448F"/>
    <w:rsid w:val="71FD4EBA"/>
    <w:rsid w:val="71FE6305"/>
    <w:rsid w:val="721027AC"/>
    <w:rsid w:val="722978DD"/>
    <w:rsid w:val="7234691D"/>
    <w:rsid w:val="723B77F7"/>
    <w:rsid w:val="72452668"/>
    <w:rsid w:val="724B5893"/>
    <w:rsid w:val="724E2F94"/>
    <w:rsid w:val="72501D1B"/>
    <w:rsid w:val="725738A4"/>
    <w:rsid w:val="726141B3"/>
    <w:rsid w:val="72652BB9"/>
    <w:rsid w:val="726739D4"/>
    <w:rsid w:val="726C7FC6"/>
    <w:rsid w:val="727262AA"/>
    <w:rsid w:val="72810615"/>
    <w:rsid w:val="729616D1"/>
    <w:rsid w:val="72AC7C32"/>
    <w:rsid w:val="72B077B6"/>
    <w:rsid w:val="72BC104A"/>
    <w:rsid w:val="72BD48CD"/>
    <w:rsid w:val="72D2576C"/>
    <w:rsid w:val="72E14792"/>
    <w:rsid w:val="72E55564"/>
    <w:rsid w:val="72F410BA"/>
    <w:rsid w:val="72F93BBE"/>
    <w:rsid w:val="730040BD"/>
    <w:rsid w:val="73041B05"/>
    <w:rsid w:val="730B6BCA"/>
    <w:rsid w:val="731D2368"/>
    <w:rsid w:val="73236FE3"/>
    <w:rsid w:val="73355581"/>
    <w:rsid w:val="734170A4"/>
    <w:rsid w:val="734C0DB6"/>
    <w:rsid w:val="7352461E"/>
    <w:rsid w:val="735D69D5"/>
    <w:rsid w:val="73632ADC"/>
    <w:rsid w:val="736949E6"/>
    <w:rsid w:val="736D58FF"/>
    <w:rsid w:val="737230F7"/>
    <w:rsid w:val="73997733"/>
    <w:rsid w:val="739A75B0"/>
    <w:rsid w:val="739A7D73"/>
    <w:rsid w:val="73A9327C"/>
    <w:rsid w:val="73AA58D1"/>
    <w:rsid w:val="73AF515A"/>
    <w:rsid w:val="73AFDB94"/>
    <w:rsid w:val="73B552BA"/>
    <w:rsid w:val="73C72801"/>
    <w:rsid w:val="73DC6F23"/>
    <w:rsid w:val="73E42131"/>
    <w:rsid w:val="73F54C25"/>
    <w:rsid w:val="73F57E4D"/>
    <w:rsid w:val="74157DA1"/>
    <w:rsid w:val="742915A0"/>
    <w:rsid w:val="744B4FD8"/>
    <w:rsid w:val="744C3ED1"/>
    <w:rsid w:val="74686B07"/>
    <w:rsid w:val="74736F42"/>
    <w:rsid w:val="748773BC"/>
    <w:rsid w:val="74982ED9"/>
    <w:rsid w:val="749850D8"/>
    <w:rsid w:val="749D5456"/>
    <w:rsid w:val="74A6731A"/>
    <w:rsid w:val="74B64688"/>
    <w:rsid w:val="74C756DA"/>
    <w:rsid w:val="74CB6BAB"/>
    <w:rsid w:val="74CC659F"/>
    <w:rsid w:val="74E0188B"/>
    <w:rsid w:val="74F5327E"/>
    <w:rsid w:val="74FA3E77"/>
    <w:rsid w:val="74FE0196"/>
    <w:rsid w:val="74FE6101"/>
    <w:rsid w:val="7506350D"/>
    <w:rsid w:val="750A380E"/>
    <w:rsid w:val="750C27BD"/>
    <w:rsid w:val="75112770"/>
    <w:rsid w:val="751402A4"/>
    <w:rsid w:val="75197346"/>
    <w:rsid w:val="7522503C"/>
    <w:rsid w:val="752B4572"/>
    <w:rsid w:val="754B46EE"/>
    <w:rsid w:val="754D41A8"/>
    <w:rsid w:val="754F1383"/>
    <w:rsid w:val="75587814"/>
    <w:rsid w:val="75794EF7"/>
    <w:rsid w:val="757F7954"/>
    <w:rsid w:val="75A17B08"/>
    <w:rsid w:val="75AA36BF"/>
    <w:rsid w:val="75AA6219"/>
    <w:rsid w:val="75B0672C"/>
    <w:rsid w:val="75B82FB1"/>
    <w:rsid w:val="75C15E3F"/>
    <w:rsid w:val="75DA534F"/>
    <w:rsid w:val="75E04B1D"/>
    <w:rsid w:val="75EA669A"/>
    <w:rsid w:val="75F0310B"/>
    <w:rsid w:val="75F71909"/>
    <w:rsid w:val="75FF0A4C"/>
    <w:rsid w:val="762C569C"/>
    <w:rsid w:val="76312C11"/>
    <w:rsid w:val="76381300"/>
    <w:rsid w:val="765A05BC"/>
    <w:rsid w:val="765C023B"/>
    <w:rsid w:val="766259C8"/>
    <w:rsid w:val="766A1AF6"/>
    <w:rsid w:val="766C752E"/>
    <w:rsid w:val="767D3FF3"/>
    <w:rsid w:val="768E337D"/>
    <w:rsid w:val="7694203A"/>
    <w:rsid w:val="76A36431"/>
    <w:rsid w:val="76CF4CF7"/>
    <w:rsid w:val="76E14E8C"/>
    <w:rsid w:val="76EE5700"/>
    <w:rsid w:val="76F16531"/>
    <w:rsid w:val="77055A2D"/>
    <w:rsid w:val="772E3E17"/>
    <w:rsid w:val="77352F4C"/>
    <w:rsid w:val="773537A2"/>
    <w:rsid w:val="7737745E"/>
    <w:rsid w:val="773A50AE"/>
    <w:rsid w:val="773B78A9"/>
    <w:rsid w:val="7747458A"/>
    <w:rsid w:val="77492442"/>
    <w:rsid w:val="77583671"/>
    <w:rsid w:val="775A37B9"/>
    <w:rsid w:val="775C1833"/>
    <w:rsid w:val="77690779"/>
    <w:rsid w:val="77723607"/>
    <w:rsid w:val="7776200D"/>
    <w:rsid w:val="779A56C5"/>
    <w:rsid w:val="77A67671"/>
    <w:rsid w:val="77AE7BE8"/>
    <w:rsid w:val="77C63091"/>
    <w:rsid w:val="77E138BA"/>
    <w:rsid w:val="77E90D1D"/>
    <w:rsid w:val="77EA2A21"/>
    <w:rsid w:val="77F90F61"/>
    <w:rsid w:val="78040A4D"/>
    <w:rsid w:val="78112E00"/>
    <w:rsid w:val="782B0837"/>
    <w:rsid w:val="78304CBF"/>
    <w:rsid w:val="783B186C"/>
    <w:rsid w:val="78434959"/>
    <w:rsid w:val="78492CDB"/>
    <w:rsid w:val="784F105D"/>
    <w:rsid w:val="78501970"/>
    <w:rsid w:val="786A251A"/>
    <w:rsid w:val="786E0F20"/>
    <w:rsid w:val="78AD7B0B"/>
    <w:rsid w:val="78AF520D"/>
    <w:rsid w:val="78BD7DA6"/>
    <w:rsid w:val="78C979CC"/>
    <w:rsid w:val="78CB557C"/>
    <w:rsid w:val="78CD4747"/>
    <w:rsid w:val="78D84F37"/>
    <w:rsid w:val="78F73FB0"/>
    <w:rsid w:val="78FD24B2"/>
    <w:rsid w:val="79073835"/>
    <w:rsid w:val="790B5926"/>
    <w:rsid w:val="790C4DBB"/>
    <w:rsid w:val="79101DAE"/>
    <w:rsid w:val="79117830"/>
    <w:rsid w:val="791407B4"/>
    <w:rsid w:val="791529B3"/>
    <w:rsid w:val="791A48BC"/>
    <w:rsid w:val="794679AA"/>
    <w:rsid w:val="79504D96"/>
    <w:rsid w:val="795F77F7"/>
    <w:rsid w:val="7974624F"/>
    <w:rsid w:val="79784C56"/>
    <w:rsid w:val="797F13F5"/>
    <w:rsid w:val="797F7E64"/>
    <w:rsid w:val="799046D3"/>
    <w:rsid w:val="799401B9"/>
    <w:rsid w:val="79940D02"/>
    <w:rsid w:val="79A25A9A"/>
    <w:rsid w:val="79B47039"/>
    <w:rsid w:val="79C95345"/>
    <w:rsid w:val="79D83D75"/>
    <w:rsid w:val="79DC497A"/>
    <w:rsid w:val="79E37B88"/>
    <w:rsid w:val="79E57808"/>
    <w:rsid w:val="79EC4C14"/>
    <w:rsid w:val="79EF1E68"/>
    <w:rsid w:val="79F57AA2"/>
    <w:rsid w:val="79F62CB6"/>
    <w:rsid w:val="79F63541"/>
    <w:rsid w:val="79F65EAE"/>
    <w:rsid w:val="79FD0732"/>
    <w:rsid w:val="7A07373C"/>
    <w:rsid w:val="7A09471F"/>
    <w:rsid w:val="7A1B0F79"/>
    <w:rsid w:val="7A1C5763"/>
    <w:rsid w:val="7A337B9F"/>
    <w:rsid w:val="7A3D151B"/>
    <w:rsid w:val="7A3F6C1D"/>
    <w:rsid w:val="7A5107D7"/>
    <w:rsid w:val="7A652F2A"/>
    <w:rsid w:val="7A83640D"/>
    <w:rsid w:val="7A9B56E8"/>
    <w:rsid w:val="7A9E4A38"/>
    <w:rsid w:val="7AA678C6"/>
    <w:rsid w:val="7AA82DC9"/>
    <w:rsid w:val="7AAB75D1"/>
    <w:rsid w:val="7AAE4CD2"/>
    <w:rsid w:val="7ABB2C05"/>
    <w:rsid w:val="7AE067A6"/>
    <w:rsid w:val="7AE109F2"/>
    <w:rsid w:val="7AE76131"/>
    <w:rsid w:val="7AE7ACBC"/>
    <w:rsid w:val="7AEC25B9"/>
    <w:rsid w:val="7AF763CB"/>
    <w:rsid w:val="7B050F64"/>
    <w:rsid w:val="7B09062B"/>
    <w:rsid w:val="7B3A48B6"/>
    <w:rsid w:val="7B4317A2"/>
    <w:rsid w:val="7B565574"/>
    <w:rsid w:val="7B567A6A"/>
    <w:rsid w:val="7B5A1FE3"/>
    <w:rsid w:val="7B5D15F3"/>
    <w:rsid w:val="7B6C1C0D"/>
    <w:rsid w:val="7B7419DE"/>
    <w:rsid w:val="7B7A62E5"/>
    <w:rsid w:val="7B7B5A50"/>
    <w:rsid w:val="7B821819"/>
    <w:rsid w:val="7B835F31"/>
    <w:rsid w:val="7B8C46C1"/>
    <w:rsid w:val="7B8D2B93"/>
    <w:rsid w:val="7B8D6D92"/>
    <w:rsid w:val="7BA41D67"/>
    <w:rsid w:val="7BA5620B"/>
    <w:rsid w:val="7BA56577"/>
    <w:rsid w:val="7BBD8D4B"/>
    <w:rsid w:val="7BBF586D"/>
    <w:rsid w:val="7BC3261C"/>
    <w:rsid w:val="7BCF6905"/>
    <w:rsid w:val="7BD328B6"/>
    <w:rsid w:val="7BE06349"/>
    <w:rsid w:val="7BF3D2B4"/>
    <w:rsid w:val="7BFF337A"/>
    <w:rsid w:val="7BFF7776"/>
    <w:rsid w:val="7C086208"/>
    <w:rsid w:val="7C225EB9"/>
    <w:rsid w:val="7C312C50"/>
    <w:rsid w:val="7C38005C"/>
    <w:rsid w:val="7C3C31DF"/>
    <w:rsid w:val="7C401BE6"/>
    <w:rsid w:val="7C440ADF"/>
    <w:rsid w:val="7C5E4034"/>
    <w:rsid w:val="7C661297"/>
    <w:rsid w:val="7C694FA8"/>
    <w:rsid w:val="7C80406D"/>
    <w:rsid w:val="7C8548D8"/>
    <w:rsid w:val="7C8F51E8"/>
    <w:rsid w:val="7C944EF3"/>
    <w:rsid w:val="7CAA3813"/>
    <w:rsid w:val="7CAF7C9B"/>
    <w:rsid w:val="7CB62EA9"/>
    <w:rsid w:val="7CB63946"/>
    <w:rsid w:val="7CBA7331"/>
    <w:rsid w:val="7CC16CBC"/>
    <w:rsid w:val="7CC321BF"/>
    <w:rsid w:val="7CC86647"/>
    <w:rsid w:val="7CD05C51"/>
    <w:rsid w:val="7CDD2D69"/>
    <w:rsid w:val="7CDE6AEC"/>
    <w:rsid w:val="7CE705C9"/>
    <w:rsid w:val="7CE808D9"/>
    <w:rsid w:val="7CEB7B00"/>
    <w:rsid w:val="7CEC5581"/>
    <w:rsid w:val="7CEE6886"/>
    <w:rsid w:val="7CF5040F"/>
    <w:rsid w:val="7D1E15D4"/>
    <w:rsid w:val="7D22106E"/>
    <w:rsid w:val="7D2F7F6C"/>
    <w:rsid w:val="7D3746FC"/>
    <w:rsid w:val="7D564FB1"/>
    <w:rsid w:val="7D5C10B9"/>
    <w:rsid w:val="7D5F58C0"/>
    <w:rsid w:val="7D5F6C3D"/>
    <w:rsid w:val="7D7D4E70"/>
    <w:rsid w:val="7D956C94"/>
    <w:rsid w:val="7DAC43C3"/>
    <w:rsid w:val="7DBA6ED4"/>
    <w:rsid w:val="7DCC76C3"/>
    <w:rsid w:val="7DD47A7D"/>
    <w:rsid w:val="7DED4FEE"/>
    <w:rsid w:val="7DFC31C0"/>
    <w:rsid w:val="7E0A359A"/>
    <w:rsid w:val="7E3A63DB"/>
    <w:rsid w:val="7E3A6EB0"/>
    <w:rsid w:val="7E403498"/>
    <w:rsid w:val="7E4A6641"/>
    <w:rsid w:val="7E5C44DF"/>
    <w:rsid w:val="7E5F4018"/>
    <w:rsid w:val="7E6C6CF7"/>
    <w:rsid w:val="7E805998"/>
    <w:rsid w:val="7E8500ED"/>
    <w:rsid w:val="7E8B0E67"/>
    <w:rsid w:val="7E8D4CAE"/>
    <w:rsid w:val="7E95535F"/>
    <w:rsid w:val="7EA75926"/>
    <w:rsid w:val="7EAB7AE1"/>
    <w:rsid w:val="7EC90406"/>
    <w:rsid w:val="7ECD5A97"/>
    <w:rsid w:val="7EF127D4"/>
    <w:rsid w:val="7EF2CA4D"/>
    <w:rsid w:val="7EF511DA"/>
    <w:rsid w:val="7EF54BAB"/>
    <w:rsid w:val="7EF60E5A"/>
    <w:rsid w:val="7EF97BE0"/>
    <w:rsid w:val="7EFE1AC7"/>
    <w:rsid w:val="7EFF3806"/>
    <w:rsid w:val="7F024C6C"/>
    <w:rsid w:val="7F0A2079"/>
    <w:rsid w:val="7F132988"/>
    <w:rsid w:val="7F253F27"/>
    <w:rsid w:val="7F2900D7"/>
    <w:rsid w:val="7F324B65"/>
    <w:rsid w:val="7F3B60CB"/>
    <w:rsid w:val="7F417FD4"/>
    <w:rsid w:val="7F4968B4"/>
    <w:rsid w:val="7F7939B1"/>
    <w:rsid w:val="7F7C4936"/>
    <w:rsid w:val="7F7E7275"/>
    <w:rsid w:val="7F80553B"/>
    <w:rsid w:val="7F89B5E2"/>
    <w:rsid w:val="7F9F87BB"/>
    <w:rsid w:val="7FA24341"/>
    <w:rsid w:val="7FB963CB"/>
    <w:rsid w:val="7FBF9C0B"/>
    <w:rsid w:val="7FBFEA74"/>
    <w:rsid w:val="7FBFF3C6"/>
    <w:rsid w:val="7FC17096"/>
    <w:rsid w:val="7FC811B2"/>
    <w:rsid w:val="7FCD0EBD"/>
    <w:rsid w:val="7FD63D4B"/>
    <w:rsid w:val="7FDB04BF"/>
    <w:rsid w:val="7FE31984"/>
    <w:rsid w:val="7FE94F6A"/>
    <w:rsid w:val="7FEFC972"/>
    <w:rsid w:val="7FEFCD40"/>
    <w:rsid w:val="7FFB4E84"/>
    <w:rsid w:val="7FFDBC29"/>
    <w:rsid w:val="93FD2F5D"/>
    <w:rsid w:val="9D6EB944"/>
    <w:rsid w:val="9FEFD235"/>
    <w:rsid w:val="A3F7E9B1"/>
    <w:rsid w:val="AEEFFF3D"/>
    <w:rsid w:val="B5F1ACCC"/>
    <w:rsid w:val="B7AFEB22"/>
    <w:rsid w:val="B7FB57C8"/>
    <w:rsid w:val="BD3A8862"/>
    <w:rsid w:val="BFB33EAF"/>
    <w:rsid w:val="BFEE80FB"/>
    <w:rsid w:val="C8195027"/>
    <w:rsid w:val="CBFFF3E6"/>
    <w:rsid w:val="CF9D6FE3"/>
    <w:rsid w:val="D79F1DAF"/>
    <w:rsid w:val="DD6D920E"/>
    <w:rsid w:val="DD7F7700"/>
    <w:rsid w:val="E9BF2676"/>
    <w:rsid w:val="E9FDCC6F"/>
    <w:rsid w:val="EAED87A9"/>
    <w:rsid w:val="EFFF55BD"/>
    <w:rsid w:val="F7ABC68B"/>
    <w:rsid w:val="F7BB67DA"/>
    <w:rsid w:val="F9AD8220"/>
    <w:rsid w:val="F9D5508F"/>
    <w:rsid w:val="FA7F09AC"/>
    <w:rsid w:val="FBED17C9"/>
    <w:rsid w:val="FBFEBA49"/>
    <w:rsid w:val="FEBB4D14"/>
    <w:rsid w:val="FEF7A3FC"/>
    <w:rsid w:val="FEFD001A"/>
    <w:rsid w:val="FF57D346"/>
    <w:rsid w:val="FF79CB3B"/>
    <w:rsid w:val="FF7A0416"/>
    <w:rsid w:val="FFB88EDB"/>
    <w:rsid w:val="FFD91642"/>
    <w:rsid w:val="FFEF55E9"/>
    <w:rsid w:val="FFEFCA82"/>
    <w:rsid w:val="FFFE4F7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99"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unhideWhenUsed="0" w:uiPriority="0" w:semiHidden="0" w:name="List Number"/>
    <w:lsdException w:qFormat="1" w:unhideWhenUsed="0" w:uiPriority="0" w:semiHidden="0" w:name="List 2"/>
    <w:lsdException w:qFormat="1"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99"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qFormat="1" w:unhideWhenUsed="0" w:uiPriority="0" w:semiHidden="0" w:name="HTML Cite"/>
    <w:lsdException w:unhideWhenUsed="0" w:uiPriority="0" w:semiHidden="0" w:name="HTML Code"/>
    <w:lsdException w:unhideWhenUsed="0" w:uiPriority="0" w:semiHidden="0" w:name="HTML Definition"/>
    <w:lsdException w:uiPriority="0" w:name="HTML Keyboard"/>
    <w:lsdException w:qFormat="1" w:unhideWhenUsed="0" w:uiPriority="0" w:semiHidden="0" w:name="HTML Preformatted"/>
    <w:lsdException w:unhideWhenUsed="0" w:uiPriority="0" w:semiHidden="0" w:name="HTML Sample"/>
    <w:lsdException w:qFormat="1"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4">
    <w:name w:val="heading 1"/>
    <w:basedOn w:val="1"/>
    <w:next w:val="1"/>
    <w:link w:val="264"/>
    <w:qFormat/>
    <w:uiPriority w:val="0"/>
    <w:pPr>
      <w:spacing w:before="340" w:after="330" w:line="360" w:lineRule="auto"/>
      <w:jc w:val="center"/>
      <w:outlineLvl w:val="0"/>
    </w:pPr>
    <w:rPr>
      <w:rFonts w:ascii="宋体" w:hAnsi="宋体" w:eastAsia="黑体"/>
      <w:b/>
      <w:bCs/>
      <w:kern w:val="44"/>
      <w:sz w:val="28"/>
      <w:szCs w:val="44"/>
    </w:rPr>
  </w:style>
  <w:style w:type="paragraph" w:styleId="5">
    <w:name w:val="heading 2"/>
    <w:basedOn w:val="6"/>
    <w:next w:val="7"/>
    <w:link w:val="280"/>
    <w:qFormat/>
    <w:uiPriority w:val="0"/>
    <w:pPr>
      <w:adjustRightInd w:val="0"/>
      <w:jc w:val="center"/>
      <w:textAlignment w:val="baseline"/>
      <w:outlineLvl w:val="1"/>
    </w:pPr>
    <w:rPr>
      <w:kern w:val="0"/>
      <w:sz w:val="24"/>
      <w:szCs w:val="20"/>
    </w:rPr>
  </w:style>
  <w:style w:type="paragraph" w:styleId="6">
    <w:name w:val="heading 3"/>
    <w:basedOn w:val="7"/>
    <w:next w:val="1"/>
    <w:link w:val="252"/>
    <w:qFormat/>
    <w:uiPriority w:val="0"/>
    <w:pPr>
      <w:spacing w:before="260" w:after="260" w:line="240" w:lineRule="auto"/>
      <w:outlineLvl w:val="2"/>
    </w:pPr>
    <w:rPr>
      <w:rFonts w:ascii="宋体" w:hAnsi="宋体" w:eastAsia="宋体"/>
      <w:szCs w:val="32"/>
    </w:rPr>
  </w:style>
  <w:style w:type="paragraph" w:styleId="7">
    <w:name w:val="heading 4"/>
    <w:basedOn w:val="1"/>
    <w:next w:val="1"/>
    <w:link w:val="293"/>
    <w:qFormat/>
    <w:uiPriority w:val="0"/>
    <w:pPr>
      <w:keepNext/>
      <w:keepLines/>
      <w:spacing w:before="280" w:after="290" w:line="376" w:lineRule="auto"/>
      <w:outlineLvl w:val="3"/>
    </w:pPr>
    <w:rPr>
      <w:rFonts w:ascii="Arial" w:hAnsi="Arial" w:eastAsia="黑体"/>
      <w:b/>
      <w:bCs/>
      <w:sz w:val="28"/>
      <w:szCs w:val="28"/>
    </w:rPr>
  </w:style>
  <w:style w:type="paragraph" w:styleId="8">
    <w:name w:val="heading 5"/>
    <w:basedOn w:val="1"/>
    <w:next w:val="1"/>
    <w:qFormat/>
    <w:uiPriority w:val="0"/>
    <w:pPr>
      <w:keepNext/>
      <w:keepLines/>
      <w:spacing w:before="280" w:after="290" w:line="376" w:lineRule="auto"/>
      <w:outlineLvl w:val="4"/>
    </w:pPr>
    <w:rPr>
      <w:b/>
      <w:sz w:val="28"/>
      <w:szCs w:val="20"/>
    </w:rPr>
  </w:style>
  <w:style w:type="paragraph" w:styleId="9">
    <w:name w:val="heading 6"/>
    <w:basedOn w:val="1"/>
    <w:next w:val="10"/>
    <w:qFormat/>
    <w:uiPriority w:val="0"/>
    <w:pPr>
      <w:keepNext/>
      <w:keepLines/>
      <w:spacing w:before="240" w:after="64" w:line="320" w:lineRule="auto"/>
      <w:outlineLvl w:val="5"/>
    </w:pPr>
    <w:rPr>
      <w:rFonts w:ascii="Arial" w:hAnsi="Arial" w:eastAsia="黑体"/>
      <w:b/>
      <w:sz w:val="24"/>
      <w:szCs w:val="20"/>
    </w:rPr>
  </w:style>
  <w:style w:type="paragraph" w:styleId="11">
    <w:name w:val="heading 7"/>
    <w:basedOn w:val="1"/>
    <w:next w:val="10"/>
    <w:qFormat/>
    <w:uiPriority w:val="0"/>
    <w:pPr>
      <w:keepNext/>
      <w:keepLines/>
      <w:spacing w:before="240" w:after="64" w:line="320" w:lineRule="auto"/>
      <w:outlineLvl w:val="6"/>
    </w:pPr>
    <w:rPr>
      <w:b/>
      <w:sz w:val="24"/>
      <w:szCs w:val="20"/>
    </w:rPr>
  </w:style>
  <w:style w:type="paragraph" w:styleId="12">
    <w:name w:val="heading 8"/>
    <w:basedOn w:val="1"/>
    <w:next w:val="10"/>
    <w:qFormat/>
    <w:uiPriority w:val="0"/>
    <w:pPr>
      <w:keepNext/>
      <w:keepLines/>
      <w:spacing w:before="240" w:after="64" w:line="320" w:lineRule="auto"/>
      <w:outlineLvl w:val="7"/>
    </w:pPr>
    <w:rPr>
      <w:rFonts w:ascii="Arial" w:hAnsi="Arial" w:eastAsia="黑体"/>
      <w:sz w:val="24"/>
      <w:szCs w:val="20"/>
    </w:rPr>
  </w:style>
  <w:style w:type="paragraph" w:styleId="13">
    <w:name w:val="heading 9"/>
    <w:basedOn w:val="1"/>
    <w:next w:val="10"/>
    <w:qFormat/>
    <w:uiPriority w:val="0"/>
    <w:pPr>
      <w:keepNext/>
      <w:keepLines/>
      <w:spacing w:before="240" w:after="64" w:line="320" w:lineRule="auto"/>
      <w:outlineLvl w:val="8"/>
    </w:pPr>
    <w:rPr>
      <w:rFonts w:ascii="Arial" w:hAnsi="Arial" w:eastAsia="黑体"/>
      <w:szCs w:val="20"/>
    </w:rPr>
  </w:style>
  <w:style w:type="character" w:default="1" w:styleId="50">
    <w:name w:val="Default Paragraph Font"/>
    <w:semiHidden/>
    <w:unhideWhenUsed/>
    <w:qFormat/>
    <w:uiPriority w:val="1"/>
  </w:style>
  <w:style w:type="table" w:default="1" w:styleId="48">
    <w:name w:val="Normal Table"/>
    <w:semiHidden/>
    <w:unhideWhenUsed/>
    <w:qFormat/>
    <w:uiPriority w:val="99"/>
    <w:tblPr>
      <w:tblCellMar>
        <w:top w:w="0" w:type="dxa"/>
        <w:left w:w="108" w:type="dxa"/>
        <w:bottom w:w="0" w:type="dxa"/>
        <w:right w:w="108" w:type="dxa"/>
      </w:tblCellMar>
    </w:tblPr>
  </w:style>
  <w:style w:type="paragraph" w:styleId="2">
    <w:name w:val="Body Text"/>
    <w:basedOn w:val="1"/>
    <w:next w:val="3"/>
    <w:link w:val="283"/>
    <w:qFormat/>
    <w:uiPriority w:val="0"/>
    <w:pPr>
      <w:spacing w:line="360" w:lineRule="auto"/>
    </w:pPr>
    <w:rPr>
      <w:rFonts w:ascii="Verdana" w:hAnsi="Verdana" w:eastAsia="仿宋_GB2312"/>
      <w:b/>
      <w:bCs/>
      <w:sz w:val="24"/>
      <w:lang w:eastAsia="en-US"/>
    </w:rPr>
  </w:style>
  <w:style w:type="paragraph" w:styleId="3">
    <w:name w:val="Body Text 2"/>
    <w:basedOn w:val="1"/>
    <w:qFormat/>
    <w:uiPriority w:val="0"/>
    <w:pPr>
      <w:spacing w:line="360" w:lineRule="auto"/>
    </w:pPr>
    <w:rPr>
      <w:sz w:val="24"/>
    </w:rPr>
  </w:style>
  <w:style w:type="paragraph" w:styleId="10">
    <w:name w:val="Normal Indent"/>
    <w:basedOn w:val="1"/>
    <w:next w:val="2"/>
    <w:link w:val="245"/>
    <w:qFormat/>
    <w:uiPriority w:val="0"/>
    <w:pPr>
      <w:ind w:firstLine="420"/>
    </w:pPr>
    <w:rPr>
      <w:szCs w:val="20"/>
    </w:rPr>
  </w:style>
  <w:style w:type="paragraph" w:styleId="14">
    <w:name w:val="List 3"/>
    <w:basedOn w:val="1"/>
    <w:qFormat/>
    <w:uiPriority w:val="0"/>
    <w:pPr>
      <w:ind w:left="100" w:leftChars="400" w:hanging="200" w:hangingChars="200"/>
    </w:pPr>
    <w:rPr>
      <w:szCs w:val="20"/>
    </w:rPr>
  </w:style>
  <w:style w:type="paragraph" w:styleId="15">
    <w:name w:val="toc 7"/>
    <w:basedOn w:val="1"/>
    <w:next w:val="1"/>
    <w:qFormat/>
    <w:uiPriority w:val="0"/>
    <w:pPr>
      <w:ind w:left="1260"/>
      <w:jc w:val="left"/>
    </w:pPr>
    <w:rPr>
      <w:szCs w:val="21"/>
    </w:rPr>
  </w:style>
  <w:style w:type="paragraph" w:styleId="16">
    <w:name w:val="List Bullet"/>
    <w:basedOn w:val="1"/>
    <w:qFormat/>
    <w:uiPriority w:val="0"/>
    <w:pPr>
      <w:tabs>
        <w:tab w:val="left" w:pos="360"/>
      </w:tabs>
      <w:ind w:left="360" w:hanging="360"/>
    </w:pPr>
    <w:rPr>
      <w:szCs w:val="20"/>
    </w:rPr>
  </w:style>
  <w:style w:type="paragraph" w:styleId="17">
    <w:name w:val="Document Map"/>
    <w:basedOn w:val="1"/>
    <w:link w:val="258"/>
    <w:qFormat/>
    <w:uiPriority w:val="0"/>
    <w:pPr>
      <w:shd w:val="clear" w:color="auto" w:fill="000080"/>
    </w:pPr>
  </w:style>
  <w:style w:type="paragraph" w:styleId="18">
    <w:name w:val="annotation text"/>
    <w:basedOn w:val="1"/>
    <w:next w:val="19"/>
    <w:link w:val="277"/>
    <w:qFormat/>
    <w:uiPriority w:val="0"/>
    <w:pPr>
      <w:autoSpaceDE w:val="0"/>
      <w:autoSpaceDN w:val="0"/>
      <w:adjustRightInd w:val="0"/>
      <w:jc w:val="left"/>
      <w:textAlignment w:val="baseline"/>
    </w:pPr>
    <w:rPr>
      <w:rFonts w:ascii="宋体" w:hAnsi="Verdana" w:eastAsia="仿宋_GB2312"/>
      <w:kern w:val="0"/>
      <w:sz w:val="34"/>
      <w:szCs w:val="20"/>
    </w:rPr>
  </w:style>
  <w:style w:type="paragraph" w:styleId="19">
    <w:name w:val="toc 5"/>
    <w:basedOn w:val="1"/>
    <w:next w:val="1"/>
    <w:qFormat/>
    <w:uiPriority w:val="0"/>
    <w:pPr>
      <w:ind w:left="840"/>
      <w:jc w:val="left"/>
    </w:pPr>
    <w:rPr>
      <w:szCs w:val="21"/>
    </w:rPr>
  </w:style>
  <w:style w:type="paragraph" w:styleId="20">
    <w:name w:val="Salutation"/>
    <w:basedOn w:val="1"/>
    <w:next w:val="1"/>
    <w:link w:val="295"/>
    <w:qFormat/>
    <w:uiPriority w:val="0"/>
    <w:rPr>
      <w:rFonts w:ascii="Verdana" w:hAnsi="Verdana" w:eastAsia="仿宋_GB2312"/>
      <w:sz w:val="24"/>
      <w:szCs w:val="20"/>
      <w:lang w:eastAsia="en-US"/>
    </w:rPr>
  </w:style>
  <w:style w:type="paragraph" w:styleId="21">
    <w:name w:val="Body Text 3"/>
    <w:basedOn w:val="1"/>
    <w:qFormat/>
    <w:uiPriority w:val="0"/>
    <w:pPr>
      <w:spacing w:after="120"/>
    </w:pPr>
    <w:rPr>
      <w:sz w:val="16"/>
      <w:szCs w:val="16"/>
    </w:rPr>
  </w:style>
  <w:style w:type="paragraph" w:styleId="22">
    <w:name w:val="Body Text Indent"/>
    <w:basedOn w:val="1"/>
    <w:link w:val="233"/>
    <w:qFormat/>
    <w:uiPriority w:val="0"/>
    <w:pPr>
      <w:spacing w:line="360" w:lineRule="auto"/>
      <w:ind w:firstLine="420" w:firstLineChars="200"/>
    </w:pPr>
  </w:style>
  <w:style w:type="paragraph" w:styleId="23">
    <w:name w:val="List 2"/>
    <w:basedOn w:val="1"/>
    <w:qFormat/>
    <w:uiPriority w:val="0"/>
    <w:pPr>
      <w:adjustRightInd w:val="0"/>
      <w:spacing w:line="360" w:lineRule="atLeast"/>
      <w:ind w:left="840" w:hanging="420"/>
      <w:jc w:val="left"/>
      <w:textAlignment w:val="baseline"/>
    </w:pPr>
    <w:rPr>
      <w:spacing w:val="10"/>
      <w:kern w:val="0"/>
      <w:sz w:val="24"/>
      <w:szCs w:val="20"/>
    </w:rPr>
  </w:style>
  <w:style w:type="paragraph" w:styleId="24">
    <w:name w:val="Block Text"/>
    <w:basedOn w:val="1"/>
    <w:qFormat/>
    <w:uiPriority w:val="0"/>
    <w:pPr>
      <w:spacing w:after="120"/>
      <w:ind w:left="1440" w:leftChars="700" w:right="1440" w:rightChars="700"/>
    </w:pPr>
  </w:style>
  <w:style w:type="paragraph" w:styleId="25">
    <w:name w:val="toc 3"/>
    <w:basedOn w:val="1"/>
    <w:next w:val="1"/>
    <w:qFormat/>
    <w:uiPriority w:val="0"/>
    <w:pPr>
      <w:ind w:left="420"/>
      <w:jc w:val="left"/>
    </w:pPr>
    <w:rPr>
      <w:i/>
      <w:iCs/>
    </w:rPr>
  </w:style>
  <w:style w:type="paragraph" w:styleId="26">
    <w:name w:val="Plain Text"/>
    <w:basedOn w:val="1"/>
    <w:link w:val="244"/>
    <w:qFormat/>
    <w:uiPriority w:val="99"/>
    <w:rPr>
      <w:rFonts w:ascii="宋体" w:hAnsi="Courier New"/>
      <w:szCs w:val="20"/>
    </w:rPr>
  </w:style>
  <w:style w:type="paragraph" w:styleId="27">
    <w:name w:val="toc 8"/>
    <w:basedOn w:val="1"/>
    <w:next w:val="1"/>
    <w:qFormat/>
    <w:uiPriority w:val="0"/>
    <w:pPr>
      <w:ind w:left="1470"/>
      <w:jc w:val="left"/>
    </w:pPr>
    <w:rPr>
      <w:szCs w:val="21"/>
    </w:rPr>
  </w:style>
  <w:style w:type="paragraph" w:styleId="28">
    <w:name w:val="Date"/>
    <w:basedOn w:val="1"/>
    <w:next w:val="1"/>
    <w:qFormat/>
    <w:uiPriority w:val="0"/>
    <w:rPr>
      <w:rFonts w:ascii="宋体" w:hAnsi="Courier New"/>
      <w:sz w:val="32"/>
      <w:szCs w:val="20"/>
    </w:rPr>
  </w:style>
  <w:style w:type="paragraph" w:styleId="29">
    <w:name w:val="Body Text Indent 2"/>
    <w:basedOn w:val="1"/>
    <w:qFormat/>
    <w:uiPriority w:val="0"/>
    <w:pPr>
      <w:spacing w:before="156" w:beforeLines="50" w:after="156" w:afterLines="50" w:line="120" w:lineRule="auto"/>
      <w:ind w:firstLine="840" w:firstLineChars="400"/>
      <w:jc w:val="left"/>
    </w:pPr>
    <w:rPr>
      <w:rFonts w:ascii="宋体" w:hAnsi="宋体"/>
    </w:rPr>
  </w:style>
  <w:style w:type="paragraph" w:styleId="30">
    <w:name w:val="Balloon Text"/>
    <w:basedOn w:val="1"/>
    <w:link w:val="259"/>
    <w:qFormat/>
    <w:uiPriority w:val="0"/>
    <w:rPr>
      <w:rFonts w:ascii="Verdana" w:hAnsi="Verdana" w:eastAsia="仿宋_GB2312"/>
      <w:sz w:val="18"/>
      <w:szCs w:val="18"/>
      <w:lang w:eastAsia="en-US"/>
    </w:rPr>
  </w:style>
  <w:style w:type="paragraph" w:styleId="31">
    <w:name w:val="footer"/>
    <w:basedOn w:val="1"/>
    <w:link w:val="253"/>
    <w:qFormat/>
    <w:uiPriority w:val="0"/>
    <w:pPr>
      <w:tabs>
        <w:tab w:val="center" w:pos="4153"/>
        <w:tab w:val="right" w:pos="8306"/>
      </w:tabs>
      <w:snapToGrid w:val="0"/>
      <w:jc w:val="left"/>
    </w:pPr>
    <w:rPr>
      <w:sz w:val="18"/>
      <w:szCs w:val="18"/>
    </w:rPr>
  </w:style>
  <w:style w:type="paragraph" w:styleId="32">
    <w:name w:val="header"/>
    <w:basedOn w:val="1"/>
    <w:next w:val="1"/>
    <w:qFormat/>
    <w:uiPriority w:val="0"/>
    <w:pPr>
      <w:pBdr>
        <w:bottom w:val="single" w:color="auto" w:sz="6" w:space="1"/>
      </w:pBdr>
      <w:tabs>
        <w:tab w:val="center" w:pos="4153"/>
        <w:tab w:val="right" w:pos="8306"/>
      </w:tabs>
      <w:snapToGrid w:val="0"/>
      <w:jc w:val="center"/>
    </w:pPr>
    <w:rPr>
      <w:sz w:val="18"/>
      <w:szCs w:val="18"/>
    </w:rPr>
  </w:style>
  <w:style w:type="paragraph" w:styleId="33">
    <w:name w:val="toc 1"/>
    <w:basedOn w:val="1"/>
    <w:next w:val="1"/>
    <w:qFormat/>
    <w:uiPriority w:val="0"/>
    <w:pPr>
      <w:spacing w:before="120" w:after="120"/>
      <w:jc w:val="left"/>
    </w:pPr>
    <w:rPr>
      <w:b/>
      <w:bCs/>
      <w:caps/>
    </w:rPr>
  </w:style>
  <w:style w:type="paragraph" w:styleId="34">
    <w:name w:val="toc 4"/>
    <w:basedOn w:val="1"/>
    <w:next w:val="1"/>
    <w:qFormat/>
    <w:uiPriority w:val="0"/>
    <w:pPr>
      <w:ind w:left="630"/>
      <w:jc w:val="left"/>
    </w:pPr>
    <w:rPr>
      <w:szCs w:val="21"/>
    </w:rPr>
  </w:style>
  <w:style w:type="paragraph" w:styleId="35">
    <w:name w:val="index heading"/>
    <w:basedOn w:val="1"/>
    <w:next w:val="36"/>
    <w:qFormat/>
    <w:uiPriority w:val="99"/>
  </w:style>
  <w:style w:type="paragraph" w:styleId="36">
    <w:name w:val="index 1"/>
    <w:basedOn w:val="1"/>
    <w:next w:val="1"/>
    <w:qFormat/>
    <w:uiPriority w:val="0"/>
  </w:style>
  <w:style w:type="paragraph" w:styleId="37">
    <w:name w:val="List"/>
    <w:basedOn w:val="1"/>
    <w:qFormat/>
    <w:uiPriority w:val="0"/>
    <w:pPr>
      <w:ind w:left="200" w:hanging="200" w:hangingChars="200"/>
    </w:pPr>
    <w:rPr>
      <w:szCs w:val="20"/>
    </w:rPr>
  </w:style>
  <w:style w:type="paragraph" w:styleId="38">
    <w:name w:val="toc 6"/>
    <w:basedOn w:val="1"/>
    <w:next w:val="1"/>
    <w:qFormat/>
    <w:uiPriority w:val="0"/>
    <w:pPr>
      <w:ind w:left="1050"/>
      <w:jc w:val="left"/>
    </w:pPr>
    <w:rPr>
      <w:szCs w:val="21"/>
    </w:rPr>
  </w:style>
  <w:style w:type="paragraph" w:styleId="39">
    <w:name w:val="Body Text Indent 3"/>
    <w:basedOn w:val="1"/>
    <w:qFormat/>
    <w:uiPriority w:val="0"/>
    <w:pPr>
      <w:spacing w:line="360" w:lineRule="auto"/>
      <w:ind w:firstLine="482" w:firstLineChars="200"/>
    </w:pPr>
    <w:rPr>
      <w:rFonts w:ascii="宋体"/>
      <w:b/>
      <w:bCs/>
      <w:sz w:val="24"/>
    </w:rPr>
  </w:style>
  <w:style w:type="paragraph" w:styleId="40">
    <w:name w:val="toc 2"/>
    <w:basedOn w:val="1"/>
    <w:next w:val="1"/>
    <w:qFormat/>
    <w:uiPriority w:val="0"/>
    <w:pPr>
      <w:tabs>
        <w:tab w:val="right" w:leader="dot" w:pos="8296"/>
      </w:tabs>
      <w:ind w:left="210"/>
      <w:jc w:val="left"/>
    </w:pPr>
    <w:rPr>
      <w:smallCaps/>
    </w:rPr>
  </w:style>
  <w:style w:type="paragraph" w:styleId="41">
    <w:name w:val="toc 9"/>
    <w:basedOn w:val="1"/>
    <w:next w:val="1"/>
    <w:qFormat/>
    <w:uiPriority w:val="0"/>
    <w:pPr>
      <w:ind w:left="1680"/>
      <w:jc w:val="left"/>
    </w:pPr>
    <w:rPr>
      <w:szCs w:val="21"/>
    </w:rPr>
  </w:style>
  <w:style w:type="paragraph" w:styleId="42">
    <w:name w:val="HTML Preformatted"/>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Arial Unicode MS" w:hAnsi="Arial Unicode MS" w:eastAsia="Arial Unicode MS"/>
      <w:color w:val="000000"/>
      <w:kern w:val="0"/>
      <w:sz w:val="20"/>
      <w:szCs w:val="20"/>
    </w:rPr>
  </w:style>
  <w:style w:type="paragraph" w:styleId="43">
    <w:name w:val="Normal (Web)"/>
    <w:basedOn w:val="1"/>
    <w:qFormat/>
    <w:uiPriority w:val="99"/>
    <w:pPr>
      <w:spacing w:beforeAutospacing="1" w:afterAutospacing="1"/>
      <w:jc w:val="left"/>
    </w:pPr>
    <w:rPr>
      <w:kern w:val="0"/>
      <w:sz w:val="24"/>
    </w:rPr>
  </w:style>
  <w:style w:type="paragraph" w:styleId="44">
    <w:name w:val="Title"/>
    <w:basedOn w:val="1"/>
    <w:qFormat/>
    <w:uiPriority w:val="0"/>
    <w:pPr>
      <w:spacing w:before="240" w:after="60"/>
      <w:jc w:val="center"/>
      <w:outlineLvl w:val="0"/>
    </w:pPr>
    <w:rPr>
      <w:rFonts w:ascii="Arial" w:hAnsi="Arial" w:eastAsia="隶书" w:cs="Arial"/>
      <w:b/>
      <w:bCs/>
      <w:sz w:val="32"/>
      <w:szCs w:val="32"/>
    </w:rPr>
  </w:style>
  <w:style w:type="paragraph" w:styleId="45">
    <w:name w:val="annotation subject"/>
    <w:basedOn w:val="18"/>
    <w:next w:val="18"/>
    <w:link w:val="261"/>
    <w:qFormat/>
    <w:uiPriority w:val="0"/>
    <w:pPr>
      <w:autoSpaceDE/>
      <w:autoSpaceDN/>
      <w:adjustRightInd/>
      <w:textAlignment w:val="auto"/>
    </w:pPr>
    <w:rPr>
      <w:b/>
      <w:bCs/>
      <w:kern w:val="2"/>
      <w:sz w:val="21"/>
      <w:szCs w:val="24"/>
      <w:lang w:eastAsia="en-US"/>
    </w:rPr>
  </w:style>
  <w:style w:type="paragraph" w:styleId="46">
    <w:name w:val="Body Text First Indent"/>
    <w:basedOn w:val="2"/>
    <w:link w:val="286"/>
    <w:qFormat/>
    <w:uiPriority w:val="0"/>
    <w:pPr>
      <w:spacing w:after="120" w:line="240" w:lineRule="auto"/>
      <w:ind w:firstLine="420" w:firstLineChars="100"/>
    </w:pPr>
    <w:rPr>
      <w:b w:val="0"/>
      <w:bCs w:val="0"/>
      <w:sz w:val="21"/>
    </w:rPr>
  </w:style>
  <w:style w:type="paragraph" w:styleId="47">
    <w:name w:val="Body Text First Indent 2"/>
    <w:basedOn w:val="22"/>
    <w:link w:val="232"/>
    <w:qFormat/>
    <w:uiPriority w:val="0"/>
    <w:pPr>
      <w:tabs>
        <w:tab w:val="left" w:pos="1050"/>
        <w:tab w:val="left" w:pos="2040"/>
      </w:tabs>
      <w:spacing w:after="120" w:line="240" w:lineRule="auto"/>
      <w:ind w:left="420" w:leftChars="200"/>
    </w:pPr>
    <w:rPr>
      <w:szCs w:val="20"/>
    </w:rPr>
  </w:style>
  <w:style w:type="table" w:styleId="49">
    <w:name w:val="Table Grid"/>
    <w:basedOn w:val="4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1">
    <w:name w:val="Strong"/>
    <w:qFormat/>
    <w:uiPriority w:val="0"/>
    <w:rPr>
      <w:b/>
      <w:bCs/>
    </w:rPr>
  </w:style>
  <w:style w:type="character" w:styleId="52">
    <w:name w:val="page number"/>
    <w:basedOn w:val="50"/>
    <w:qFormat/>
    <w:uiPriority w:val="0"/>
  </w:style>
  <w:style w:type="character" w:styleId="53">
    <w:name w:val="FollowedHyperlink"/>
    <w:qFormat/>
    <w:uiPriority w:val="0"/>
    <w:rPr>
      <w:rFonts w:hint="eastAsia" w:ascii="宋体" w:hAnsi="宋体" w:eastAsia="宋体" w:cs="宋体"/>
      <w:color w:val="0031C1"/>
      <w:sz w:val="18"/>
      <w:szCs w:val="18"/>
      <w:u w:val="none"/>
    </w:rPr>
  </w:style>
  <w:style w:type="character" w:styleId="54">
    <w:name w:val="Emphasis"/>
    <w:qFormat/>
    <w:uiPriority w:val="0"/>
  </w:style>
  <w:style w:type="character" w:styleId="55">
    <w:name w:val="HTML Typewriter"/>
    <w:qFormat/>
    <w:uiPriority w:val="0"/>
    <w:rPr>
      <w:rFonts w:ascii="宋体" w:hAnsi="宋体" w:eastAsia="宋体" w:cs="宋体"/>
      <w:sz w:val="24"/>
      <w:szCs w:val="24"/>
    </w:rPr>
  </w:style>
  <w:style w:type="character" w:styleId="56">
    <w:name w:val="Hyperlink"/>
    <w:qFormat/>
    <w:uiPriority w:val="0"/>
    <w:rPr>
      <w:rFonts w:hint="eastAsia" w:ascii="宋体" w:hAnsi="宋体" w:eastAsia="宋体" w:cs="宋体"/>
      <w:color w:val="0031C1"/>
      <w:kern w:val="0"/>
      <w:sz w:val="18"/>
      <w:szCs w:val="18"/>
      <w:u w:val="none"/>
      <w:lang w:eastAsia="en-US"/>
    </w:rPr>
  </w:style>
  <w:style w:type="character" w:styleId="57">
    <w:name w:val="annotation reference"/>
    <w:qFormat/>
    <w:uiPriority w:val="0"/>
    <w:rPr>
      <w:rFonts w:ascii="Verdana" w:hAnsi="Verdana" w:eastAsia="仿宋_GB2312"/>
      <w:kern w:val="0"/>
      <w:sz w:val="21"/>
      <w:szCs w:val="21"/>
      <w:lang w:eastAsia="en-US"/>
    </w:rPr>
  </w:style>
  <w:style w:type="character" w:styleId="58">
    <w:name w:val="HTML Cite"/>
    <w:qFormat/>
    <w:uiPriority w:val="0"/>
    <w:rPr>
      <w:vanish/>
      <w:color w:val="008000"/>
    </w:rPr>
  </w:style>
  <w:style w:type="paragraph" w:customStyle="1" w:styleId="59">
    <w:name w:val="文档正文"/>
    <w:basedOn w:val="1"/>
    <w:qFormat/>
    <w:uiPriority w:val="0"/>
    <w:pPr>
      <w:adjustRightInd w:val="0"/>
      <w:spacing w:line="480" w:lineRule="atLeast"/>
      <w:ind w:firstLine="567" w:firstLineChars="200"/>
      <w:textAlignment w:val="baseline"/>
    </w:pPr>
    <w:rPr>
      <w:rFonts w:ascii="长城仿宋"/>
      <w:kern w:val="0"/>
      <w:szCs w:val="20"/>
    </w:rPr>
  </w:style>
  <w:style w:type="paragraph" w:customStyle="1" w:styleId="60">
    <w:name w:val="xl7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textAlignment w:val="bottom"/>
    </w:pPr>
    <w:rPr>
      <w:rFonts w:ascii="Arial" w:hAnsi="Arial" w:eastAsia="Arial Unicode MS" w:cs="Arial"/>
      <w:kern w:val="0"/>
      <w:sz w:val="20"/>
      <w:szCs w:val="20"/>
    </w:rPr>
  </w:style>
  <w:style w:type="paragraph" w:customStyle="1" w:styleId="61">
    <w:name w:val="编号1"/>
    <w:basedOn w:val="1"/>
    <w:qFormat/>
    <w:uiPriority w:val="0"/>
    <w:pPr>
      <w:numPr>
        <w:ilvl w:val="0"/>
        <w:numId w:val="1"/>
      </w:numPr>
      <w:tabs>
        <w:tab w:val="left" w:pos="425"/>
      </w:tabs>
      <w:adjustRightInd w:val="0"/>
      <w:spacing w:line="300" w:lineRule="auto"/>
      <w:ind w:right="210"/>
      <w:textAlignment w:val="center"/>
    </w:pPr>
    <w:rPr>
      <w:rFonts w:ascii="宋体" w:hAnsi="宋体"/>
      <w:snapToGrid w:val="0"/>
      <w:spacing w:val="10"/>
      <w:kern w:val="24"/>
      <w:szCs w:val="20"/>
    </w:rPr>
  </w:style>
  <w:style w:type="paragraph" w:customStyle="1" w:styleId="62">
    <w:name w:val="font10"/>
    <w:basedOn w:val="1"/>
    <w:qFormat/>
    <w:uiPriority w:val="0"/>
    <w:pPr>
      <w:widowControl/>
      <w:spacing w:before="100" w:beforeAutospacing="1" w:after="100" w:afterAutospacing="1"/>
      <w:jc w:val="left"/>
    </w:pPr>
    <w:rPr>
      <w:rFonts w:eastAsia="Arial Unicode MS"/>
      <w:kern w:val="0"/>
      <w:sz w:val="20"/>
      <w:szCs w:val="20"/>
    </w:rPr>
  </w:style>
  <w:style w:type="paragraph" w:customStyle="1" w:styleId="63">
    <w:name w:val="小标题3"/>
    <w:basedOn w:val="1"/>
    <w:qFormat/>
    <w:uiPriority w:val="0"/>
    <w:pPr>
      <w:autoSpaceDE w:val="0"/>
      <w:autoSpaceDN w:val="0"/>
      <w:adjustRightInd w:val="0"/>
      <w:spacing w:line="400" w:lineRule="atLeast"/>
      <w:ind w:firstLine="510"/>
    </w:pPr>
    <w:rPr>
      <w:rFonts w:ascii="文鼎CS楷体" w:eastAsia="文鼎CS楷体"/>
      <w:kern w:val="0"/>
      <w:sz w:val="22"/>
      <w:szCs w:val="22"/>
    </w:rPr>
  </w:style>
  <w:style w:type="paragraph" w:customStyle="1" w:styleId="64">
    <w:name w:val="系统一级标题"/>
    <w:basedOn w:val="65"/>
    <w:qFormat/>
    <w:uiPriority w:val="0"/>
    <w:pPr>
      <w:spacing w:line="480" w:lineRule="auto"/>
      <w:ind w:firstLine="0" w:firstLineChars="0"/>
    </w:pPr>
    <w:rPr>
      <w:rFonts w:ascii="隶书" w:eastAsia="隶书"/>
      <w:sz w:val="28"/>
    </w:rPr>
  </w:style>
  <w:style w:type="paragraph" w:customStyle="1" w:styleId="65">
    <w:name w:val="系统正文"/>
    <w:basedOn w:val="1"/>
    <w:qFormat/>
    <w:uiPriority w:val="0"/>
    <w:pPr>
      <w:spacing w:line="420" w:lineRule="exact"/>
      <w:ind w:firstLine="420" w:firstLineChars="200"/>
    </w:pPr>
    <w:rPr>
      <w:rFonts w:ascii="宋体" w:hAnsi="宋体"/>
    </w:rPr>
  </w:style>
  <w:style w:type="paragraph" w:customStyle="1" w:styleId="66">
    <w:name w:val="font9"/>
    <w:basedOn w:val="1"/>
    <w:qFormat/>
    <w:uiPriority w:val="0"/>
    <w:pPr>
      <w:widowControl/>
      <w:spacing w:before="100" w:beforeAutospacing="1" w:after="100" w:afterAutospacing="1"/>
      <w:jc w:val="left"/>
    </w:pPr>
    <w:rPr>
      <w:rFonts w:hint="eastAsia" w:ascii="黑体" w:hAnsi="Arial Unicode MS" w:eastAsia="黑体" w:cs="Arial Unicode MS"/>
      <w:b/>
      <w:bCs/>
      <w:color w:val="333399"/>
      <w:kern w:val="0"/>
      <w:sz w:val="24"/>
    </w:rPr>
  </w:style>
  <w:style w:type="paragraph" w:customStyle="1" w:styleId="67">
    <w:name w:val="xl4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eastAsia="Arial Unicode MS" w:cs="Arial"/>
      <w:kern w:val="0"/>
      <w:sz w:val="20"/>
      <w:szCs w:val="20"/>
    </w:rPr>
  </w:style>
  <w:style w:type="paragraph" w:customStyle="1" w:styleId="68">
    <w:name w:val="_Style 66"/>
    <w:unhideWhenUsed/>
    <w:qFormat/>
    <w:uiPriority w:val="99"/>
    <w:rPr>
      <w:rFonts w:ascii="Times New Roman" w:hAnsi="Times New Roman" w:eastAsia="宋体" w:cs="Times New Roman"/>
      <w:kern w:val="2"/>
      <w:sz w:val="21"/>
      <w:szCs w:val="24"/>
      <w:lang w:val="en-US" w:eastAsia="zh-CN" w:bidi="ar-SA"/>
    </w:rPr>
  </w:style>
  <w:style w:type="paragraph" w:customStyle="1" w:styleId="69">
    <w:name w:val="一般正文"/>
    <w:basedOn w:val="1"/>
    <w:qFormat/>
    <w:uiPriority w:val="0"/>
    <w:pPr>
      <w:spacing w:before="120" w:after="120" w:line="0" w:lineRule="atLeast"/>
    </w:pPr>
    <w:rPr>
      <w:sz w:val="28"/>
      <w:szCs w:val="20"/>
    </w:rPr>
  </w:style>
  <w:style w:type="paragraph" w:customStyle="1" w:styleId="70">
    <w:name w:val="楷体"/>
    <w:basedOn w:val="1"/>
    <w:next w:val="1"/>
    <w:qFormat/>
    <w:uiPriority w:val="0"/>
    <w:pPr>
      <w:autoSpaceDE w:val="0"/>
      <w:autoSpaceDN w:val="0"/>
      <w:adjustRightInd w:val="0"/>
      <w:spacing w:line="420" w:lineRule="atLeast"/>
    </w:pPr>
    <w:rPr>
      <w:rFonts w:ascii="文鼎CS楷体" w:eastAsia="文鼎CS楷体"/>
      <w:spacing w:val="200"/>
      <w:kern w:val="0"/>
      <w:szCs w:val="21"/>
    </w:rPr>
  </w:style>
  <w:style w:type="paragraph" w:customStyle="1" w:styleId="71">
    <w:name w:val="xl48"/>
    <w:basedOn w:val="1"/>
    <w:qFormat/>
    <w:uiPriority w:val="0"/>
    <w:pPr>
      <w:widowControl/>
      <w:pBdr>
        <w:top w:val="single" w:color="auto" w:sz="4" w:space="0"/>
        <w:left w:val="single" w:color="auto" w:sz="8" w:space="0"/>
        <w:bottom w:val="single" w:color="auto" w:sz="4" w:space="0"/>
        <w:right w:val="single" w:color="auto" w:sz="4" w:space="0"/>
      </w:pBdr>
      <w:spacing w:before="100" w:beforeAutospacing="1" w:after="100" w:afterAutospacing="1"/>
      <w:jc w:val="center"/>
      <w:textAlignment w:val="bottom"/>
    </w:pPr>
    <w:rPr>
      <w:rFonts w:ascii="Arial Unicode MS" w:hAnsi="Arial Unicode MS" w:eastAsia="Arial Unicode MS" w:cs="Arial Unicode MS"/>
      <w:kern w:val="0"/>
      <w:sz w:val="20"/>
      <w:szCs w:val="20"/>
    </w:rPr>
  </w:style>
  <w:style w:type="paragraph" w:customStyle="1" w:styleId="72">
    <w:name w:val="xl4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Arial Unicode MS" w:hAnsi="Arial Unicode MS" w:eastAsia="Arial Unicode MS" w:cs="Arial Unicode MS"/>
      <w:kern w:val="0"/>
      <w:sz w:val="24"/>
    </w:rPr>
  </w:style>
  <w:style w:type="paragraph" w:customStyle="1" w:styleId="73">
    <w:name w:val="样式6"/>
    <w:basedOn w:val="1"/>
    <w:qFormat/>
    <w:uiPriority w:val="0"/>
    <w:pPr>
      <w:tabs>
        <w:tab w:val="left" w:pos="360"/>
        <w:tab w:val="left" w:pos="1077"/>
      </w:tabs>
      <w:spacing w:line="360" w:lineRule="auto"/>
      <w:ind w:left="1077" w:hanging="397"/>
    </w:pPr>
    <w:rPr>
      <w:sz w:val="24"/>
      <w:szCs w:val="20"/>
    </w:rPr>
  </w:style>
  <w:style w:type="paragraph" w:customStyle="1" w:styleId="74">
    <w:name w:val="xl7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bottom"/>
    </w:pPr>
    <w:rPr>
      <w:rFonts w:ascii="Arial" w:hAnsi="Arial" w:eastAsia="Arial Unicode MS" w:cs="Arial"/>
      <w:kern w:val="0"/>
      <w:sz w:val="20"/>
      <w:szCs w:val="20"/>
    </w:rPr>
  </w:style>
  <w:style w:type="paragraph" w:customStyle="1" w:styleId="75">
    <w:name w:val="图表文字"/>
    <w:basedOn w:val="1"/>
    <w:qFormat/>
    <w:uiPriority w:val="0"/>
    <w:rPr>
      <w:szCs w:val="20"/>
    </w:rPr>
  </w:style>
  <w:style w:type="paragraph" w:customStyle="1" w:styleId="76">
    <w:name w:val="_Style 210"/>
    <w:basedOn w:val="1"/>
    <w:next w:val="1"/>
    <w:link w:val="272"/>
    <w:qFormat/>
    <w:uiPriority w:val="0"/>
    <w:pPr>
      <w:ind w:left="1470"/>
      <w:jc w:val="left"/>
    </w:pPr>
    <w:rPr>
      <w:rFonts w:ascii="Verdana" w:hAnsi="Verdana" w:eastAsia="仿宋_GB2312"/>
      <w:lang w:eastAsia="en-US"/>
    </w:rPr>
  </w:style>
  <w:style w:type="paragraph" w:customStyle="1" w:styleId="77">
    <w:name w:val="op_mapdots_left"/>
    <w:basedOn w:val="1"/>
    <w:qFormat/>
    <w:uiPriority w:val="0"/>
    <w:pPr>
      <w:jc w:val="left"/>
    </w:pPr>
    <w:rPr>
      <w:rFonts w:ascii="Calibri" w:hAnsi="Calibri"/>
      <w:kern w:val="0"/>
    </w:rPr>
  </w:style>
  <w:style w:type="paragraph" w:customStyle="1" w:styleId="78">
    <w:name w:val="NormalIndent"/>
    <w:basedOn w:val="1"/>
    <w:qFormat/>
    <w:uiPriority w:val="0"/>
    <w:pPr>
      <w:ind w:firstLine="420"/>
    </w:pPr>
    <w:rPr>
      <w:szCs w:val="20"/>
    </w:rPr>
  </w:style>
  <w:style w:type="paragraph" w:customStyle="1" w:styleId="79">
    <w:name w:val="回信地址"/>
    <w:basedOn w:val="1"/>
    <w:qFormat/>
    <w:uiPriority w:val="0"/>
    <w:pPr>
      <w:keepLines/>
      <w:widowControl/>
      <w:spacing w:line="200" w:lineRule="atLeast"/>
      <w:ind w:right="-120"/>
      <w:jc w:val="left"/>
    </w:pPr>
    <w:rPr>
      <w:kern w:val="0"/>
      <w:sz w:val="16"/>
      <w:szCs w:val="16"/>
    </w:rPr>
  </w:style>
  <w:style w:type="paragraph" w:customStyle="1" w:styleId="80">
    <w:name w:val="Char Char Char Char Char Char Char Char Char Char Char Char Char Char Char Char"/>
    <w:basedOn w:val="1"/>
    <w:qFormat/>
    <w:uiPriority w:val="0"/>
    <w:pPr>
      <w:tabs>
        <w:tab w:val="left" w:pos="360"/>
      </w:tabs>
      <w:spacing w:line="360" w:lineRule="auto"/>
      <w:ind w:left="482" w:firstLine="200" w:firstLineChars="200"/>
    </w:pPr>
    <w:rPr>
      <w:rFonts w:ascii="宋体"/>
      <w:sz w:val="24"/>
    </w:rPr>
  </w:style>
  <w:style w:type="paragraph" w:customStyle="1" w:styleId="81">
    <w:name w:val="表格内文字"/>
    <w:basedOn w:val="1"/>
    <w:qFormat/>
    <w:uiPriority w:val="0"/>
    <w:rPr>
      <w:sz w:val="24"/>
      <w:szCs w:val="20"/>
    </w:rPr>
  </w:style>
  <w:style w:type="paragraph" w:customStyle="1" w:styleId="82">
    <w:name w:val="xl59"/>
    <w:basedOn w:val="1"/>
    <w:qFormat/>
    <w:uiPriority w:val="0"/>
    <w:pPr>
      <w:widowControl/>
      <w:pBdr>
        <w:top w:val="single" w:color="auto" w:sz="4" w:space="0"/>
        <w:left w:val="single" w:color="auto" w:sz="4" w:space="0"/>
        <w:bottom w:val="single" w:color="auto" w:sz="4" w:space="0"/>
        <w:right w:val="single" w:color="auto" w:sz="4" w:space="0"/>
      </w:pBdr>
      <w:shd w:val="clear" w:color="auto" w:fill="CCFFCC"/>
      <w:spacing w:before="100" w:beforeAutospacing="1" w:after="100" w:afterAutospacing="1"/>
      <w:jc w:val="right"/>
      <w:textAlignment w:val="bottom"/>
    </w:pPr>
    <w:rPr>
      <w:rFonts w:ascii="Arial Unicode MS" w:hAnsi="Arial Unicode MS" w:eastAsia="Arial Unicode MS" w:cs="Arial Unicode MS"/>
      <w:kern w:val="0"/>
      <w:sz w:val="20"/>
      <w:szCs w:val="20"/>
    </w:rPr>
  </w:style>
  <w:style w:type="paragraph" w:customStyle="1" w:styleId="83">
    <w:name w:val="xl76"/>
    <w:basedOn w:val="1"/>
    <w:qFormat/>
    <w:uiPriority w:val="0"/>
    <w:pPr>
      <w:widowControl/>
      <w:pBdr>
        <w:top w:val="single" w:color="auto" w:sz="4" w:space="0"/>
        <w:bottom w:val="single" w:color="auto" w:sz="4" w:space="0"/>
        <w:right w:val="single" w:color="auto" w:sz="4" w:space="0"/>
      </w:pBdr>
      <w:shd w:val="clear" w:color="auto" w:fill="CCFFFF"/>
      <w:spacing w:before="100" w:beforeAutospacing="1" w:after="100" w:afterAutospacing="1"/>
      <w:jc w:val="right"/>
      <w:textAlignment w:val="bottom"/>
    </w:pPr>
    <w:rPr>
      <w:rFonts w:ascii="Arial Unicode MS" w:hAnsi="Arial Unicode MS" w:eastAsia="Arial Unicode MS" w:cs="Arial Unicode MS"/>
      <w:kern w:val="0"/>
      <w:sz w:val="20"/>
      <w:szCs w:val="20"/>
    </w:rPr>
  </w:style>
  <w:style w:type="paragraph" w:customStyle="1" w:styleId="84">
    <w:name w:val="xl49"/>
    <w:basedOn w:val="1"/>
    <w:qFormat/>
    <w:uiPriority w:val="0"/>
    <w:pPr>
      <w:widowControl/>
      <w:pBdr>
        <w:top w:val="single" w:color="auto" w:sz="4" w:space="0"/>
        <w:bottom w:val="single" w:color="auto" w:sz="4" w:space="0"/>
      </w:pBdr>
      <w:spacing w:before="100" w:beforeAutospacing="1" w:after="100" w:afterAutospacing="1"/>
      <w:jc w:val="center"/>
      <w:textAlignment w:val="bottom"/>
    </w:pPr>
    <w:rPr>
      <w:rFonts w:hint="eastAsia" w:ascii="黑体" w:hAnsi="Arial Unicode MS" w:eastAsia="黑体" w:cs="Arial Unicode MS"/>
      <w:b/>
      <w:bCs/>
      <w:color w:val="333399"/>
      <w:kern w:val="0"/>
      <w:sz w:val="24"/>
    </w:rPr>
  </w:style>
  <w:style w:type="paragraph" w:customStyle="1" w:styleId="85">
    <w:name w:val="p9"/>
    <w:basedOn w:val="1"/>
    <w:qFormat/>
    <w:uiPriority w:val="0"/>
    <w:pPr>
      <w:widowControl/>
      <w:spacing w:before="100" w:beforeAutospacing="1" w:after="100" w:afterAutospacing="1"/>
      <w:jc w:val="left"/>
    </w:pPr>
    <w:rPr>
      <w:rFonts w:ascii="_x000B__x000C_" w:hAnsi="_x000B__x000C_" w:eastAsia="Arial Unicode MS"/>
      <w:color w:val="000000"/>
      <w:kern w:val="0"/>
      <w:sz w:val="18"/>
      <w:szCs w:val="18"/>
    </w:rPr>
  </w:style>
  <w:style w:type="paragraph" w:customStyle="1" w:styleId="86">
    <w:name w:val="样式41"/>
    <w:basedOn w:val="1"/>
    <w:qFormat/>
    <w:uiPriority w:val="0"/>
    <w:pPr>
      <w:tabs>
        <w:tab w:val="left" w:pos="945"/>
      </w:tabs>
      <w:spacing w:line="360" w:lineRule="auto"/>
      <w:ind w:left="2040" w:hanging="360"/>
    </w:pPr>
    <w:rPr>
      <w:b/>
      <w:color w:val="000000"/>
      <w:sz w:val="24"/>
      <w:szCs w:val="20"/>
    </w:rPr>
  </w:style>
  <w:style w:type="paragraph" w:customStyle="1" w:styleId="87">
    <w:name w:val="font11"/>
    <w:basedOn w:val="1"/>
    <w:qFormat/>
    <w:uiPriority w:val="0"/>
    <w:pPr>
      <w:widowControl/>
      <w:spacing w:before="100" w:beforeAutospacing="1" w:after="100" w:afterAutospacing="1"/>
      <w:jc w:val="left"/>
    </w:pPr>
    <w:rPr>
      <w:rFonts w:ascii="Arial" w:hAnsi="Arial" w:eastAsia="Arial Unicode MS" w:cs="Arial"/>
      <w:kern w:val="0"/>
      <w:sz w:val="20"/>
      <w:szCs w:val="20"/>
    </w:rPr>
  </w:style>
  <w:style w:type="paragraph" w:customStyle="1" w:styleId="88">
    <w:name w:val="段落"/>
    <w:basedOn w:val="1"/>
    <w:qFormat/>
    <w:uiPriority w:val="0"/>
    <w:pPr>
      <w:spacing w:before="120" w:after="120" w:line="0" w:lineRule="atLeast"/>
      <w:ind w:firstLine="567"/>
    </w:pPr>
    <w:rPr>
      <w:sz w:val="28"/>
      <w:szCs w:val="20"/>
    </w:rPr>
  </w:style>
  <w:style w:type="paragraph" w:customStyle="1" w:styleId="89">
    <w:name w:val="样式 宋体 小四 行距: 1.5 倍行距"/>
    <w:basedOn w:val="7"/>
    <w:qFormat/>
    <w:uiPriority w:val="0"/>
    <w:pPr>
      <w:spacing w:after="78" w:afterLines="25" w:line="360" w:lineRule="auto"/>
    </w:pPr>
    <w:rPr>
      <w:rFonts w:ascii="宋体" w:hAnsi="宋体" w:eastAsia="宋体"/>
      <w:b w:val="0"/>
      <w:sz w:val="24"/>
      <w:szCs w:val="20"/>
    </w:rPr>
  </w:style>
  <w:style w:type="paragraph" w:customStyle="1" w:styleId="90">
    <w:name w:val="xl3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bottom"/>
    </w:pPr>
    <w:rPr>
      <w:rFonts w:ascii="Arial Unicode MS" w:hAnsi="Arial Unicode MS" w:eastAsia="Arial Unicode MS" w:cs="Arial Unicode MS"/>
      <w:kern w:val="0"/>
      <w:sz w:val="20"/>
      <w:szCs w:val="20"/>
    </w:rPr>
  </w:style>
  <w:style w:type="paragraph" w:customStyle="1" w:styleId="91">
    <w:name w:val="xl60"/>
    <w:basedOn w:val="1"/>
    <w:qFormat/>
    <w:uiPriority w:val="0"/>
    <w:pPr>
      <w:widowControl/>
      <w:pBdr>
        <w:top w:val="single" w:color="auto" w:sz="4" w:space="0"/>
        <w:left w:val="single" w:color="auto" w:sz="8" w:space="0"/>
        <w:bottom w:val="single" w:color="auto" w:sz="4" w:space="0"/>
      </w:pBdr>
      <w:spacing w:before="100" w:beforeAutospacing="1" w:after="100" w:afterAutospacing="1"/>
      <w:jc w:val="center"/>
      <w:textAlignment w:val="bottom"/>
    </w:pPr>
    <w:rPr>
      <w:rFonts w:hint="eastAsia" w:ascii="黑体" w:hAnsi="Arial Unicode MS" w:eastAsia="黑体" w:cs="Arial Unicode MS"/>
      <w:b/>
      <w:bCs/>
      <w:color w:val="333399"/>
      <w:kern w:val="0"/>
      <w:sz w:val="24"/>
    </w:rPr>
  </w:style>
  <w:style w:type="paragraph" w:customStyle="1" w:styleId="92">
    <w:name w:val="xl46"/>
    <w:basedOn w:val="1"/>
    <w:qFormat/>
    <w:uiPriority w:val="0"/>
    <w:pPr>
      <w:widowControl/>
      <w:pBdr>
        <w:top w:val="single" w:color="auto" w:sz="8" w:space="0"/>
        <w:left w:val="single" w:color="auto" w:sz="4" w:space="0"/>
        <w:bottom w:val="single" w:color="auto" w:sz="4" w:space="0"/>
        <w:right w:val="single" w:color="auto" w:sz="4" w:space="0"/>
      </w:pBdr>
      <w:shd w:val="clear" w:color="auto" w:fill="99CCFF"/>
      <w:spacing w:before="100" w:beforeAutospacing="1" w:after="100" w:afterAutospacing="1"/>
      <w:jc w:val="center"/>
      <w:textAlignment w:val="bottom"/>
    </w:pPr>
    <w:rPr>
      <w:rFonts w:hint="eastAsia" w:ascii="黑体" w:hAnsi="Arial Unicode MS" w:eastAsia="黑体" w:cs="Arial Unicode MS"/>
      <w:kern w:val="0"/>
      <w:sz w:val="24"/>
    </w:rPr>
  </w:style>
  <w:style w:type="paragraph" w:customStyle="1" w:styleId="93">
    <w:name w:val="表头"/>
    <w:qFormat/>
    <w:uiPriority w:val="0"/>
    <w:pPr>
      <w:widowControl w:val="0"/>
      <w:autoSpaceDE w:val="0"/>
      <w:autoSpaceDN w:val="0"/>
      <w:adjustRightInd w:val="0"/>
      <w:jc w:val="center"/>
    </w:pPr>
    <w:rPr>
      <w:rFonts w:ascii="文鼎CS中黑" w:hAnsi="Times New Roman" w:eastAsia="文鼎CS中黑" w:cs="Times New Roman"/>
      <w:sz w:val="22"/>
      <w:szCs w:val="22"/>
      <w:lang w:val="en-US" w:eastAsia="zh-CN" w:bidi="ar-SA"/>
    </w:rPr>
  </w:style>
  <w:style w:type="paragraph" w:customStyle="1" w:styleId="94">
    <w:name w:val="段"/>
    <w:qFormat/>
    <w:uiPriority w:val="0"/>
    <w:pPr>
      <w:autoSpaceDE w:val="0"/>
      <w:autoSpaceDN w:val="0"/>
      <w:ind w:firstLine="200" w:firstLineChars="200"/>
      <w:jc w:val="both"/>
    </w:pPr>
    <w:rPr>
      <w:rFonts w:ascii="宋体" w:hAnsi="Times New Roman" w:eastAsia="宋体" w:cs="Times New Roman"/>
      <w:sz w:val="21"/>
      <w:lang w:val="en-US" w:eastAsia="zh-CN" w:bidi="ar-SA"/>
    </w:rPr>
  </w:style>
  <w:style w:type="paragraph" w:customStyle="1" w:styleId="95">
    <w:name w:val="Char Char Char Char"/>
    <w:basedOn w:val="1"/>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96">
    <w:name w:val="列表项目"/>
    <w:basedOn w:val="1"/>
    <w:qFormat/>
    <w:uiPriority w:val="0"/>
    <w:pPr>
      <w:numPr>
        <w:ilvl w:val="0"/>
        <w:numId w:val="2"/>
      </w:numPr>
      <w:spacing w:line="288" w:lineRule="auto"/>
      <w:ind w:left="355" w:leftChars="200" w:hanging="155" w:hangingChars="155"/>
    </w:pPr>
    <w:rPr>
      <w:sz w:val="24"/>
      <w:szCs w:val="20"/>
    </w:rPr>
  </w:style>
  <w:style w:type="paragraph" w:customStyle="1" w:styleId="97">
    <w:name w:val="xl3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bottom"/>
    </w:pPr>
    <w:rPr>
      <w:rFonts w:eastAsia="Arial Unicode MS"/>
      <w:kern w:val="0"/>
      <w:sz w:val="20"/>
      <w:szCs w:val="20"/>
    </w:rPr>
  </w:style>
  <w:style w:type="paragraph" w:customStyle="1" w:styleId="98">
    <w:name w:val="font5"/>
    <w:basedOn w:val="1"/>
    <w:qFormat/>
    <w:uiPriority w:val="0"/>
    <w:pPr>
      <w:widowControl/>
      <w:spacing w:before="100" w:beforeAutospacing="1" w:after="100" w:afterAutospacing="1"/>
      <w:jc w:val="left"/>
    </w:pPr>
    <w:rPr>
      <w:rFonts w:hint="eastAsia" w:ascii="宋体" w:hAnsi="宋体" w:cs="Arial Unicode MS"/>
      <w:kern w:val="0"/>
      <w:sz w:val="18"/>
      <w:szCs w:val="18"/>
    </w:rPr>
  </w:style>
  <w:style w:type="paragraph" w:customStyle="1" w:styleId="99">
    <w:name w:val="Ｒ07-!正!"/>
    <w:basedOn w:val="1"/>
    <w:link w:val="234"/>
    <w:qFormat/>
    <w:uiPriority w:val="0"/>
    <w:pPr>
      <w:widowControl/>
      <w:wordWrap w:val="0"/>
      <w:snapToGrid w:val="0"/>
      <w:spacing w:after="62" w:afterLines="20" w:line="360" w:lineRule="auto"/>
      <w:ind w:firstLine="512" w:firstLineChars="200"/>
      <w:jc w:val="left"/>
    </w:pPr>
    <w:rPr>
      <w:rFonts w:ascii="宋体" w:hAnsi="宋体"/>
      <w:spacing w:val="8"/>
      <w:kern w:val="0"/>
      <w:sz w:val="24"/>
    </w:rPr>
  </w:style>
  <w:style w:type="paragraph" w:customStyle="1" w:styleId="100">
    <w:name w:val="Char5 Char Char Char Char Char Char"/>
    <w:basedOn w:val="1"/>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101">
    <w:name w:val="xl52"/>
    <w:basedOn w:val="1"/>
    <w:qFormat/>
    <w:uiPriority w:val="0"/>
    <w:pPr>
      <w:widowControl/>
      <w:pBdr>
        <w:top w:val="single" w:color="auto" w:sz="4" w:space="0"/>
        <w:left w:val="single" w:color="auto" w:sz="4" w:space="0"/>
        <w:bottom w:val="single" w:color="auto" w:sz="4" w:space="0"/>
        <w:right w:val="single" w:color="auto" w:sz="4" w:space="0"/>
      </w:pBdr>
      <w:shd w:val="clear" w:color="auto" w:fill="CCFFCC"/>
      <w:spacing w:before="100" w:beforeAutospacing="1" w:after="100" w:afterAutospacing="1"/>
      <w:jc w:val="left"/>
    </w:pPr>
    <w:rPr>
      <w:rFonts w:ascii="Arial Unicode MS" w:hAnsi="Arial Unicode MS" w:eastAsia="Arial Unicode MS" w:cs="Arial Unicode MS"/>
      <w:kern w:val="0"/>
      <w:sz w:val="24"/>
    </w:rPr>
  </w:style>
  <w:style w:type="paragraph" w:customStyle="1" w:styleId="102">
    <w:name w:val="规范"/>
    <w:basedOn w:val="1"/>
    <w:next w:val="1"/>
    <w:qFormat/>
    <w:uiPriority w:val="0"/>
    <w:pPr>
      <w:numPr>
        <w:ilvl w:val="0"/>
        <w:numId w:val="3"/>
      </w:numPr>
      <w:tabs>
        <w:tab w:val="left" w:pos="420"/>
      </w:tabs>
      <w:spacing w:line="288" w:lineRule="auto"/>
      <w:ind w:left="420" w:hanging="420"/>
      <w:jc w:val="left"/>
    </w:pPr>
    <w:rPr>
      <w:sz w:val="24"/>
    </w:rPr>
  </w:style>
  <w:style w:type="paragraph" w:customStyle="1" w:styleId="103">
    <w:name w:val="xl58"/>
    <w:basedOn w:val="1"/>
    <w:qFormat/>
    <w:uiPriority w:val="0"/>
    <w:pPr>
      <w:widowControl/>
      <w:pBdr>
        <w:top w:val="single" w:color="auto" w:sz="4" w:space="0"/>
        <w:left w:val="single" w:color="auto" w:sz="8" w:space="0"/>
        <w:bottom w:val="single" w:color="auto" w:sz="4" w:space="0"/>
        <w:right w:val="single" w:color="auto" w:sz="4" w:space="0"/>
      </w:pBdr>
      <w:shd w:val="clear" w:color="auto" w:fill="CCFFCC"/>
      <w:spacing w:before="100" w:beforeAutospacing="1" w:after="100" w:afterAutospacing="1"/>
      <w:jc w:val="right"/>
      <w:textAlignment w:val="bottom"/>
    </w:pPr>
    <w:rPr>
      <w:rFonts w:ascii="Arial Unicode MS" w:hAnsi="Arial Unicode MS" w:eastAsia="Arial Unicode MS" w:cs="Arial Unicode MS"/>
      <w:kern w:val="0"/>
      <w:sz w:val="20"/>
      <w:szCs w:val="20"/>
    </w:rPr>
  </w:style>
  <w:style w:type="paragraph" w:customStyle="1" w:styleId="104">
    <w:name w:val="_Style 3"/>
    <w:qFormat/>
    <w:uiPriority w:val="0"/>
    <w:pPr>
      <w:widowControl w:val="0"/>
      <w:jc w:val="both"/>
    </w:pPr>
    <w:rPr>
      <w:rFonts w:ascii="Calibri" w:hAnsi="Calibri" w:eastAsia="宋体" w:cs="Times New Roman"/>
      <w:kern w:val="2"/>
      <w:sz w:val="21"/>
      <w:szCs w:val="22"/>
      <w:lang w:val="en-US" w:eastAsia="zh-CN" w:bidi="ar-SA"/>
    </w:rPr>
  </w:style>
  <w:style w:type="paragraph" w:customStyle="1" w:styleId="105">
    <w:name w:val="font7"/>
    <w:basedOn w:val="1"/>
    <w:qFormat/>
    <w:uiPriority w:val="0"/>
    <w:pPr>
      <w:widowControl/>
      <w:spacing w:before="100" w:beforeAutospacing="1" w:after="100" w:afterAutospacing="1"/>
      <w:jc w:val="left"/>
    </w:pPr>
    <w:rPr>
      <w:rFonts w:hint="eastAsia" w:ascii="宋体" w:hAnsi="宋体" w:cs="Arial Unicode MS"/>
      <w:kern w:val="0"/>
      <w:sz w:val="20"/>
      <w:szCs w:val="20"/>
    </w:rPr>
  </w:style>
  <w:style w:type="paragraph" w:customStyle="1" w:styleId="106">
    <w:name w:val="Char"/>
    <w:basedOn w:val="1"/>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107">
    <w:name w:val="样式2"/>
    <w:basedOn w:val="1"/>
    <w:qFormat/>
    <w:uiPriority w:val="0"/>
    <w:pPr>
      <w:numPr>
        <w:ilvl w:val="1"/>
        <w:numId w:val="4"/>
      </w:numPr>
      <w:tabs>
        <w:tab w:val="left" w:pos="360"/>
      </w:tabs>
      <w:spacing w:before="200" w:after="200" w:line="360" w:lineRule="auto"/>
    </w:pPr>
    <w:rPr>
      <w:b/>
      <w:sz w:val="32"/>
      <w:szCs w:val="20"/>
    </w:rPr>
  </w:style>
  <w:style w:type="paragraph" w:customStyle="1" w:styleId="108">
    <w:name w:val="xl62"/>
    <w:basedOn w:val="1"/>
    <w:qFormat/>
    <w:uiPriority w:val="0"/>
    <w:pPr>
      <w:widowControl/>
      <w:pBdr>
        <w:top w:val="single" w:color="auto" w:sz="4" w:space="0"/>
        <w:left w:val="single" w:color="auto" w:sz="8" w:space="0"/>
        <w:bottom w:val="single" w:color="auto" w:sz="4" w:space="0"/>
      </w:pBdr>
      <w:spacing w:before="100" w:beforeAutospacing="1" w:after="100" w:afterAutospacing="1"/>
      <w:jc w:val="center"/>
      <w:textAlignment w:val="bottom"/>
    </w:pPr>
    <w:rPr>
      <w:rFonts w:eastAsia="Arial Unicode MS"/>
      <w:b/>
      <w:bCs/>
      <w:color w:val="333399"/>
      <w:kern w:val="0"/>
      <w:sz w:val="24"/>
    </w:rPr>
  </w:style>
  <w:style w:type="paragraph" w:customStyle="1" w:styleId="109">
    <w:name w:val="xl2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Arial Unicode MS" w:hAnsi="Arial Unicode MS" w:eastAsia="Arial Unicode MS" w:cs="Arial Unicode MS"/>
      <w:kern w:val="0"/>
      <w:sz w:val="20"/>
      <w:szCs w:val="20"/>
    </w:rPr>
  </w:style>
  <w:style w:type="paragraph" w:customStyle="1" w:styleId="110">
    <w:name w:val="样式1"/>
    <w:basedOn w:val="44"/>
    <w:qFormat/>
    <w:uiPriority w:val="0"/>
    <w:pPr>
      <w:spacing w:before="120" w:after="120"/>
    </w:pPr>
    <w:rPr>
      <w:rFonts w:eastAsia="黑体"/>
      <w:b w:val="0"/>
      <w:sz w:val="30"/>
      <w:szCs w:val="21"/>
    </w:rPr>
  </w:style>
  <w:style w:type="paragraph" w:customStyle="1" w:styleId="111">
    <w:name w:val="xl2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Unicode MS" w:hAnsi="Arial Unicode MS" w:eastAsia="Arial Unicode MS" w:cs="Arial Unicode MS"/>
      <w:kern w:val="0"/>
      <w:sz w:val="20"/>
      <w:szCs w:val="20"/>
    </w:rPr>
  </w:style>
  <w:style w:type="paragraph" w:customStyle="1" w:styleId="112">
    <w:name w:val="正文（不缩进）"/>
    <w:basedOn w:val="1"/>
    <w:qFormat/>
    <w:uiPriority w:val="0"/>
    <w:pPr>
      <w:tabs>
        <w:tab w:val="left" w:pos="420"/>
      </w:tabs>
      <w:spacing w:line="360" w:lineRule="auto"/>
    </w:pPr>
    <w:rPr>
      <w:sz w:val="24"/>
      <w:szCs w:val="20"/>
    </w:rPr>
  </w:style>
  <w:style w:type="paragraph" w:customStyle="1" w:styleId="113">
    <w:name w:val="1节名"/>
    <w:qFormat/>
    <w:uiPriority w:val="0"/>
    <w:pPr>
      <w:widowControl w:val="0"/>
      <w:autoSpaceDE w:val="0"/>
      <w:autoSpaceDN w:val="0"/>
      <w:adjustRightInd w:val="0"/>
      <w:spacing w:line="940" w:lineRule="atLeast"/>
      <w:jc w:val="center"/>
    </w:pPr>
    <w:rPr>
      <w:rFonts w:ascii="文鼎CS楷体" w:hAnsi="Times New Roman" w:eastAsia="文鼎CS楷体" w:cs="Times New Roman"/>
      <w:b/>
      <w:bCs/>
      <w:color w:val="000000"/>
      <w:sz w:val="44"/>
      <w:szCs w:val="44"/>
      <w:lang w:val="en-US" w:eastAsia="zh-CN" w:bidi="ar-SA"/>
    </w:rPr>
  </w:style>
  <w:style w:type="paragraph" w:customStyle="1" w:styleId="114">
    <w:name w:val="xl85"/>
    <w:basedOn w:val="1"/>
    <w:qFormat/>
    <w:uiPriority w:val="0"/>
    <w:pPr>
      <w:widowControl/>
      <w:pBdr>
        <w:top w:val="single" w:color="auto" w:sz="4" w:space="0"/>
        <w:left w:val="single" w:color="auto" w:sz="4" w:space="0"/>
        <w:bottom w:val="single" w:color="auto" w:sz="4" w:space="0"/>
        <w:right w:val="single" w:color="auto" w:sz="8" w:space="0"/>
      </w:pBdr>
      <w:spacing w:before="100" w:beforeAutospacing="1" w:after="100" w:afterAutospacing="1"/>
      <w:jc w:val="center"/>
      <w:textAlignment w:val="bottom"/>
    </w:pPr>
    <w:rPr>
      <w:rFonts w:hint="eastAsia" w:ascii="黑体" w:hAnsi="Arial Unicode MS" w:eastAsia="黑体" w:cs="Arial Unicode MS"/>
      <w:color w:val="000080"/>
      <w:kern w:val="0"/>
      <w:sz w:val="24"/>
    </w:rPr>
  </w:style>
  <w:style w:type="paragraph" w:customStyle="1" w:styleId="115">
    <w:name w:val="小标题 2"/>
    <w:basedOn w:val="116"/>
    <w:qFormat/>
    <w:uiPriority w:val="0"/>
    <w:pPr>
      <w:spacing w:before="57" w:after="57" w:line="400" w:lineRule="atLeast"/>
      <w:ind w:firstLine="539"/>
      <w:jc w:val="left"/>
    </w:pPr>
    <w:rPr>
      <w:rFonts w:ascii="文鼎CS中宋" w:eastAsia="文鼎CS中宋"/>
      <w:sz w:val="20"/>
      <w:szCs w:val="24"/>
    </w:rPr>
  </w:style>
  <w:style w:type="paragraph" w:customStyle="1" w:styleId="116">
    <w:name w:val="小标题 1"/>
    <w:basedOn w:val="1"/>
    <w:qFormat/>
    <w:uiPriority w:val="0"/>
    <w:pPr>
      <w:autoSpaceDE w:val="0"/>
      <w:autoSpaceDN w:val="0"/>
      <w:adjustRightInd w:val="0"/>
      <w:spacing w:line="360" w:lineRule="atLeast"/>
    </w:pPr>
    <w:rPr>
      <w:rFonts w:ascii="文鼎粗黑" w:eastAsia="文鼎粗黑"/>
      <w:kern w:val="0"/>
      <w:sz w:val="22"/>
      <w:szCs w:val="20"/>
    </w:rPr>
  </w:style>
  <w:style w:type="paragraph" w:customStyle="1" w:styleId="117">
    <w:name w:val="xl56"/>
    <w:basedOn w:val="1"/>
    <w:qFormat/>
    <w:uiPriority w:val="0"/>
    <w:pPr>
      <w:widowControl/>
      <w:pBdr>
        <w:top w:val="single" w:color="auto" w:sz="4" w:space="0"/>
        <w:left w:val="single" w:color="auto" w:sz="8" w:space="0"/>
        <w:bottom w:val="single" w:color="auto" w:sz="4" w:space="0"/>
        <w:right w:val="single" w:color="auto" w:sz="4" w:space="0"/>
      </w:pBdr>
      <w:shd w:val="clear" w:color="auto" w:fill="CCFFFF"/>
      <w:spacing w:before="100" w:beforeAutospacing="1" w:after="100" w:afterAutospacing="1"/>
      <w:jc w:val="right"/>
      <w:textAlignment w:val="bottom"/>
    </w:pPr>
    <w:rPr>
      <w:rFonts w:ascii="Arial Unicode MS" w:hAnsi="Arial Unicode MS" w:eastAsia="Arial Unicode MS" w:cs="Arial Unicode MS"/>
      <w:kern w:val="0"/>
      <w:sz w:val="20"/>
      <w:szCs w:val="20"/>
    </w:rPr>
  </w:style>
  <w:style w:type="paragraph" w:customStyle="1" w:styleId="118">
    <w:name w:val="一级"/>
    <w:basedOn w:val="1"/>
    <w:qFormat/>
    <w:uiPriority w:val="0"/>
    <w:pPr>
      <w:ind w:left="2100" w:hanging="420"/>
    </w:pPr>
    <w:rPr>
      <w:b/>
    </w:rPr>
  </w:style>
  <w:style w:type="paragraph" w:customStyle="1" w:styleId="119">
    <w:name w:val="xl77"/>
    <w:basedOn w:val="1"/>
    <w:qFormat/>
    <w:uiPriority w:val="0"/>
    <w:pPr>
      <w:widowControl/>
      <w:pBdr>
        <w:top w:val="single" w:color="auto" w:sz="4" w:space="0"/>
        <w:bottom w:val="single" w:color="auto" w:sz="4" w:space="0"/>
      </w:pBdr>
      <w:shd w:val="clear" w:color="auto" w:fill="CCFFCC"/>
      <w:spacing w:before="100" w:beforeAutospacing="1" w:after="100" w:afterAutospacing="1"/>
      <w:jc w:val="left"/>
      <w:textAlignment w:val="bottom"/>
    </w:pPr>
    <w:rPr>
      <w:rFonts w:ascii="Arial Unicode MS" w:hAnsi="Arial Unicode MS" w:eastAsia="Arial Unicode MS" w:cs="Arial Unicode MS"/>
      <w:kern w:val="0"/>
      <w:sz w:val="20"/>
      <w:szCs w:val="20"/>
    </w:rPr>
  </w:style>
  <w:style w:type="paragraph" w:customStyle="1" w:styleId="120">
    <w:name w:val="普通(网站)1"/>
    <w:basedOn w:val="1"/>
    <w:qFormat/>
    <w:uiPriority w:val="0"/>
    <w:pPr>
      <w:widowControl/>
      <w:spacing w:before="100" w:beforeAutospacing="1" w:after="100" w:afterAutospacing="1"/>
      <w:jc w:val="left"/>
    </w:pPr>
    <w:rPr>
      <w:rFonts w:ascii="宋体" w:hAnsi="宋体" w:cs="宋体"/>
      <w:kern w:val="0"/>
      <w:sz w:val="24"/>
    </w:rPr>
  </w:style>
  <w:style w:type="paragraph" w:customStyle="1" w:styleId="121">
    <w:name w:val="xl2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Unicode MS" w:hAnsi="Arial Unicode MS" w:eastAsia="Arial Unicode MS" w:cs="Arial Unicode MS"/>
      <w:color w:val="000000"/>
      <w:kern w:val="0"/>
      <w:sz w:val="20"/>
      <w:szCs w:val="20"/>
    </w:rPr>
  </w:style>
  <w:style w:type="paragraph" w:customStyle="1" w:styleId="122">
    <w:name w:val="2册标题4"/>
    <w:basedOn w:val="1"/>
    <w:next w:val="1"/>
    <w:qFormat/>
    <w:uiPriority w:val="0"/>
    <w:pPr>
      <w:spacing w:before="156" w:beforeLines="50" w:after="156" w:afterLines="50" w:line="300" w:lineRule="auto"/>
      <w:ind w:left="420" w:leftChars="200"/>
      <w:outlineLvl w:val="3"/>
    </w:pPr>
    <w:rPr>
      <w:rFonts w:ascii="Arial" w:hAnsi="Arial" w:eastAsia="幼圆" w:cs="Arial"/>
      <w:b/>
      <w:sz w:val="24"/>
    </w:rPr>
  </w:style>
  <w:style w:type="paragraph" w:customStyle="1" w:styleId="123">
    <w:name w:val="_Style 121"/>
    <w:basedOn w:val="1"/>
    <w:qFormat/>
    <w:uiPriority w:val="99"/>
    <w:pPr>
      <w:ind w:firstLine="420" w:firstLineChars="200"/>
    </w:pPr>
    <w:rPr>
      <w:rFonts w:ascii="Calibri" w:hAnsi="Calibri"/>
      <w:szCs w:val="22"/>
    </w:rPr>
  </w:style>
  <w:style w:type="paragraph" w:customStyle="1" w:styleId="124">
    <w:name w:val="xl86"/>
    <w:basedOn w:val="1"/>
    <w:qFormat/>
    <w:uiPriority w:val="0"/>
    <w:pPr>
      <w:widowControl/>
      <w:pBdr>
        <w:top w:val="single" w:color="auto" w:sz="4" w:space="0"/>
        <w:left w:val="single" w:color="auto" w:sz="4" w:space="0"/>
        <w:bottom w:val="single" w:color="auto" w:sz="4" w:space="0"/>
        <w:right w:val="single" w:color="auto" w:sz="8" w:space="0"/>
      </w:pBdr>
      <w:spacing w:before="100" w:beforeAutospacing="1" w:after="100" w:afterAutospacing="1"/>
      <w:jc w:val="right"/>
      <w:textAlignment w:val="top"/>
    </w:pPr>
    <w:rPr>
      <w:rFonts w:ascii="Arial Unicode MS" w:hAnsi="Arial Unicode MS" w:eastAsia="Arial Unicode MS" w:cs="Arial Unicode MS"/>
      <w:kern w:val="0"/>
      <w:sz w:val="20"/>
      <w:szCs w:val="20"/>
    </w:rPr>
  </w:style>
  <w:style w:type="paragraph" w:customStyle="1" w:styleId="125">
    <w:name w:val="1册标题3"/>
    <w:basedOn w:val="1"/>
    <w:next w:val="1"/>
    <w:qFormat/>
    <w:uiPriority w:val="0"/>
    <w:pPr>
      <w:keepNext/>
      <w:keepLines/>
      <w:adjustRightInd w:val="0"/>
      <w:spacing w:before="156" w:beforeLines="50" w:after="156" w:afterLines="50" w:line="300" w:lineRule="auto"/>
      <w:textAlignment w:val="baseline"/>
      <w:outlineLvl w:val="2"/>
    </w:pPr>
    <w:rPr>
      <w:rFonts w:ascii="Arial" w:hAnsi="Arial" w:eastAsia="黑体"/>
      <w:kern w:val="0"/>
      <w:sz w:val="30"/>
      <w:szCs w:val="20"/>
    </w:rPr>
  </w:style>
  <w:style w:type="paragraph" w:customStyle="1" w:styleId="126">
    <w:name w:val="xl61"/>
    <w:basedOn w:val="1"/>
    <w:qFormat/>
    <w:uiPriority w:val="0"/>
    <w:pPr>
      <w:widowControl/>
      <w:pBdr>
        <w:top w:val="single" w:color="auto" w:sz="4" w:space="0"/>
        <w:bottom w:val="single" w:color="auto" w:sz="4" w:space="0"/>
        <w:right w:val="single" w:color="auto" w:sz="8" w:space="0"/>
      </w:pBdr>
      <w:spacing w:before="100" w:beforeAutospacing="1" w:after="100" w:afterAutospacing="1"/>
      <w:jc w:val="center"/>
      <w:textAlignment w:val="bottom"/>
    </w:pPr>
    <w:rPr>
      <w:rFonts w:hint="eastAsia" w:ascii="黑体" w:hAnsi="Arial Unicode MS" w:eastAsia="黑体" w:cs="Arial Unicode MS"/>
      <w:b/>
      <w:bCs/>
      <w:color w:val="333399"/>
      <w:kern w:val="0"/>
      <w:sz w:val="24"/>
    </w:rPr>
  </w:style>
  <w:style w:type="paragraph" w:customStyle="1" w:styleId="127">
    <w:name w:val="xl66"/>
    <w:basedOn w:val="1"/>
    <w:qFormat/>
    <w:uiPriority w:val="0"/>
    <w:pPr>
      <w:widowControl/>
      <w:pBdr>
        <w:top w:val="single" w:color="auto" w:sz="4" w:space="0"/>
        <w:left w:val="single" w:color="auto" w:sz="8" w:space="0"/>
        <w:bottom w:val="single" w:color="auto" w:sz="4" w:space="0"/>
      </w:pBdr>
      <w:spacing w:before="100" w:beforeAutospacing="1" w:after="100" w:afterAutospacing="1"/>
      <w:jc w:val="center"/>
      <w:textAlignment w:val="bottom"/>
    </w:pPr>
    <w:rPr>
      <w:rFonts w:hint="eastAsia" w:ascii="黑体" w:hAnsi="Arial Unicode MS" w:eastAsia="黑体" w:cs="Arial Unicode MS"/>
      <w:color w:val="000080"/>
      <w:kern w:val="0"/>
      <w:sz w:val="24"/>
    </w:rPr>
  </w:style>
  <w:style w:type="paragraph" w:customStyle="1" w:styleId="128">
    <w:name w:val="表格文本"/>
    <w:qFormat/>
    <w:uiPriority w:val="0"/>
    <w:pPr>
      <w:tabs>
        <w:tab w:val="decimal" w:pos="0"/>
      </w:tabs>
    </w:pPr>
    <w:rPr>
      <w:rFonts w:ascii="Arial" w:hAnsi="Arial" w:eastAsia="宋体" w:cs="Times New Roman"/>
      <w:sz w:val="21"/>
      <w:szCs w:val="21"/>
      <w:lang w:val="en-US" w:eastAsia="zh-CN" w:bidi="ar-SA"/>
    </w:rPr>
  </w:style>
  <w:style w:type="paragraph" w:customStyle="1" w:styleId="129">
    <w:name w:val="xl38"/>
    <w:basedOn w:val="1"/>
    <w:qFormat/>
    <w:uiPriority w:val="0"/>
    <w:pPr>
      <w:widowControl/>
      <w:pBdr>
        <w:top w:val="single" w:color="auto" w:sz="4" w:space="0"/>
        <w:left w:val="single" w:color="auto" w:sz="8" w:space="0"/>
        <w:bottom w:val="single" w:color="auto" w:sz="4" w:space="0"/>
        <w:right w:val="single" w:color="auto" w:sz="4" w:space="0"/>
      </w:pBdr>
      <w:spacing w:before="100" w:beforeAutospacing="1" w:after="100" w:afterAutospacing="1"/>
      <w:jc w:val="center"/>
      <w:textAlignment w:val="top"/>
    </w:pPr>
    <w:rPr>
      <w:rFonts w:ascii="Arial" w:hAnsi="Arial" w:eastAsia="Arial Unicode MS" w:cs="Arial"/>
      <w:kern w:val="0"/>
      <w:sz w:val="20"/>
      <w:szCs w:val="20"/>
    </w:rPr>
  </w:style>
  <w:style w:type="paragraph" w:customStyle="1" w:styleId="130">
    <w:name w:val="_Style 72"/>
    <w:basedOn w:val="1"/>
    <w:qFormat/>
    <w:uiPriority w:val="99"/>
    <w:pPr>
      <w:ind w:firstLine="420" w:firstLineChars="200"/>
    </w:pPr>
    <w:rPr>
      <w:rFonts w:ascii="Calibri" w:hAnsi="Calibri"/>
      <w:sz w:val="22"/>
      <w:szCs w:val="20"/>
    </w:rPr>
  </w:style>
  <w:style w:type="paragraph" w:customStyle="1" w:styleId="131">
    <w:name w:val="Char Char Char"/>
    <w:basedOn w:val="1"/>
    <w:qFormat/>
    <w:uiPriority w:val="0"/>
    <w:pPr>
      <w:spacing w:line="360" w:lineRule="auto"/>
      <w:ind w:firstLine="560" w:firstLineChars="200"/>
    </w:pPr>
    <w:rPr>
      <w:rFonts w:ascii="Calibri" w:hAnsi="Calibri"/>
      <w:szCs w:val="20"/>
    </w:rPr>
  </w:style>
  <w:style w:type="paragraph" w:customStyle="1" w:styleId="132">
    <w:name w:val="Char1"/>
    <w:basedOn w:val="1"/>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133">
    <w:name w:val="--规划正文"/>
    <w:basedOn w:val="1"/>
    <w:qFormat/>
    <w:uiPriority w:val="99"/>
    <w:pPr>
      <w:spacing w:line="360" w:lineRule="auto"/>
      <w:ind w:firstLine="200" w:firstLineChars="200"/>
    </w:pPr>
    <w:rPr>
      <w:szCs w:val="20"/>
    </w:rPr>
  </w:style>
  <w:style w:type="paragraph" w:customStyle="1" w:styleId="134">
    <w:name w:val="xl65"/>
    <w:basedOn w:val="1"/>
    <w:qFormat/>
    <w:uiPriority w:val="0"/>
    <w:pPr>
      <w:widowControl/>
      <w:pBdr>
        <w:bottom w:val="single" w:color="auto" w:sz="8" w:space="0"/>
      </w:pBdr>
      <w:spacing w:before="100" w:beforeAutospacing="1" w:after="100" w:afterAutospacing="1"/>
      <w:jc w:val="center"/>
    </w:pPr>
    <w:rPr>
      <w:rFonts w:hint="eastAsia" w:ascii="华文新魏" w:hAnsi="Arial Unicode MS" w:eastAsia="华文新魏" w:cs="Arial Unicode MS"/>
      <w:kern w:val="0"/>
      <w:sz w:val="32"/>
      <w:szCs w:val="32"/>
    </w:rPr>
  </w:style>
  <w:style w:type="paragraph" w:customStyle="1" w:styleId="135">
    <w:name w:val="案例标题"/>
    <w:qFormat/>
    <w:uiPriority w:val="0"/>
    <w:pPr>
      <w:widowControl w:val="0"/>
      <w:autoSpaceDE w:val="0"/>
      <w:autoSpaceDN w:val="0"/>
      <w:adjustRightInd w:val="0"/>
      <w:spacing w:before="57" w:after="57" w:line="400" w:lineRule="atLeast"/>
      <w:jc w:val="center"/>
    </w:pPr>
    <w:rPr>
      <w:rFonts w:ascii="文鼎CS中宋" w:hAnsi="Times New Roman" w:eastAsia="文鼎CS中宋" w:cs="Times New Roman"/>
      <w:szCs w:val="24"/>
      <w:lang w:val="en-US" w:eastAsia="zh-CN" w:bidi="ar-SA"/>
    </w:rPr>
  </w:style>
  <w:style w:type="paragraph" w:customStyle="1" w:styleId="136">
    <w:name w:val="小标题1"/>
    <w:basedOn w:val="137"/>
    <w:qFormat/>
    <w:uiPriority w:val="0"/>
    <w:pPr>
      <w:ind w:left="556" w:hanging="556"/>
      <w:jc w:val="both"/>
    </w:pPr>
    <w:rPr>
      <w:rFonts w:ascii="文鼎CS楷体" w:eastAsia="文鼎CS楷体"/>
      <w:sz w:val="26"/>
      <w:szCs w:val="26"/>
    </w:rPr>
  </w:style>
  <w:style w:type="paragraph" w:customStyle="1" w:styleId="137">
    <w:name w:val="大标题"/>
    <w:qFormat/>
    <w:uiPriority w:val="0"/>
    <w:pPr>
      <w:widowControl w:val="0"/>
      <w:autoSpaceDE w:val="0"/>
      <w:autoSpaceDN w:val="0"/>
      <w:adjustRightInd w:val="0"/>
      <w:jc w:val="center"/>
    </w:pPr>
    <w:rPr>
      <w:rFonts w:ascii="文鼎CS中黑" w:hAnsi="Times New Roman" w:eastAsia="文鼎CS中黑" w:cs="Times New Roman"/>
      <w:sz w:val="36"/>
      <w:szCs w:val="36"/>
      <w:lang w:val="en-US" w:eastAsia="zh-CN" w:bidi="ar-SA"/>
    </w:rPr>
  </w:style>
  <w:style w:type="paragraph" w:customStyle="1" w:styleId="138">
    <w:name w:val="xl3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top"/>
    </w:pPr>
    <w:rPr>
      <w:rFonts w:ascii="Arial Unicode MS" w:hAnsi="Arial Unicode MS" w:eastAsia="Arial Unicode MS" w:cs="Arial Unicode MS"/>
      <w:kern w:val="0"/>
      <w:sz w:val="20"/>
      <w:szCs w:val="20"/>
    </w:rPr>
  </w:style>
  <w:style w:type="paragraph" w:customStyle="1" w:styleId="139">
    <w:name w:val="xl67"/>
    <w:basedOn w:val="1"/>
    <w:qFormat/>
    <w:uiPriority w:val="0"/>
    <w:pPr>
      <w:widowControl/>
      <w:pBdr>
        <w:top w:val="single" w:color="auto" w:sz="4" w:space="0"/>
        <w:bottom w:val="single" w:color="auto" w:sz="4" w:space="0"/>
      </w:pBdr>
      <w:spacing w:before="100" w:beforeAutospacing="1" w:after="100" w:afterAutospacing="1"/>
      <w:jc w:val="center"/>
      <w:textAlignment w:val="bottom"/>
    </w:pPr>
    <w:rPr>
      <w:rFonts w:hint="eastAsia" w:ascii="黑体" w:hAnsi="Arial Unicode MS" w:eastAsia="黑体" w:cs="Arial Unicode MS"/>
      <w:color w:val="000080"/>
      <w:kern w:val="0"/>
      <w:sz w:val="24"/>
    </w:rPr>
  </w:style>
  <w:style w:type="paragraph" w:customStyle="1" w:styleId="140">
    <w:name w:val="二级标题"/>
    <w:qFormat/>
    <w:uiPriority w:val="0"/>
    <w:pPr>
      <w:widowControl w:val="0"/>
      <w:autoSpaceDE w:val="0"/>
      <w:autoSpaceDN w:val="0"/>
      <w:adjustRightInd w:val="0"/>
      <w:spacing w:before="113" w:after="113" w:line="420" w:lineRule="atLeast"/>
      <w:jc w:val="both"/>
    </w:pPr>
    <w:rPr>
      <w:rFonts w:ascii="文鼎CS大隶书" w:hAnsi="Times New Roman" w:eastAsia="文鼎CS大隶书" w:cs="Times New Roman"/>
      <w:sz w:val="28"/>
      <w:szCs w:val="28"/>
      <w:lang w:val="en-US" w:eastAsia="zh-CN" w:bidi="ar-SA"/>
    </w:rPr>
  </w:style>
  <w:style w:type="paragraph" w:customStyle="1" w:styleId="141">
    <w:name w:val="xl82"/>
    <w:basedOn w:val="1"/>
    <w:qFormat/>
    <w:uiPriority w:val="0"/>
    <w:pPr>
      <w:widowControl/>
      <w:pBdr>
        <w:top w:val="single" w:color="auto" w:sz="4" w:space="0"/>
        <w:left w:val="single" w:color="auto" w:sz="8" w:space="0"/>
        <w:bottom w:val="single" w:color="auto" w:sz="4" w:space="0"/>
      </w:pBdr>
      <w:shd w:val="clear" w:color="auto" w:fill="CCFFCC"/>
      <w:spacing w:before="100" w:beforeAutospacing="1" w:after="100" w:afterAutospacing="1"/>
      <w:jc w:val="right"/>
      <w:textAlignment w:val="bottom"/>
    </w:pPr>
    <w:rPr>
      <w:rFonts w:ascii="Arial Unicode MS" w:hAnsi="Arial Unicode MS" w:eastAsia="Arial Unicode MS" w:cs="Arial Unicode MS"/>
      <w:kern w:val="0"/>
      <w:sz w:val="20"/>
      <w:szCs w:val="20"/>
    </w:rPr>
  </w:style>
  <w:style w:type="paragraph" w:customStyle="1" w:styleId="142">
    <w:name w:val="图表标题"/>
    <w:basedOn w:val="1"/>
    <w:qFormat/>
    <w:uiPriority w:val="0"/>
    <w:pPr>
      <w:autoSpaceDE w:val="0"/>
      <w:autoSpaceDN w:val="0"/>
      <w:adjustRightInd w:val="0"/>
      <w:snapToGrid w:val="0"/>
      <w:spacing w:before="80" w:after="40" w:line="288" w:lineRule="auto"/>
      <w:jc w:val="center"/>
    </w:pPr>
    <w:rPr>
      <w:spacing w:val="10"/>
      <w:kern w:val="0"/>
      <w:sz w:val="24"/>
      <w:szCs w:val="20"/>
    </w:rPr>
  </w:style>
  <w:style w:type="paragraph" w:customStyle="1" w:styleId="143">
    <w:name w:val="系统表格字体"/>
    <w:basedOn w:val="65"/>
    <w:qFormat/>
    <w:uiPriority w:val="0"/>
    <w:pPr>
      <w:ind w:firstLine="0" w:firstLineChars="0"/>
      <w:jc w:val="center"/>
    </w:pPr>
    <w:rPr>
      <w:rFonts w:ascii="楷体_GB2312" w:eastAsia="楷体_GB2312"/>
      <w:sz w:val="20"/>
    </w:rPr>
  </w:style>
  <w:style w:type="paragraph" w:customStyle="1" w:styleId="144">
    <w:name w:val="CM5"/>
    <w:basedOn w:val="1"/>
    <w:next w:val="1"/>
    <w:qFormat/>
    <w:uiPriority w:val="99"/>
    <w:pPr>
      <w:autoSpaceDE w:val="0"/>
      <w:autoSpaceDN w:val="0"/>
      <w:adjustRightInd w:val="0"/>
      <w:spacing w:line="560" w:lineRule="atLeast"/>
    </w:pPr>
    <w:rPr>
      <w:rFonts w:ascii="仿宋_GB2312" w:hAnsi="Calibri" w:eastAsia="仿宋_GB2312"/>
      <w:sz w:val="24"/>
    </w:rPr>
  </w:style>
  <w:style w:type="paragraph" w:customStyle="1" w:styleId="145">
    <w:name w:val="Char Char"/>
    <w:basedOn w:val="1"/>
    <w:qFormat/>
    <w:uiPriority w:val="0"/>
    <w:rPr>
      <w:rFonts w:ascii="Tahoma" w:hAnsi="Tahoma"/>
      <w:sz w:val="24"/>
      <w:szCs w:val="20"/>
    </w:rPr>
  </w:style>
  <w:style w:type="paragraph" w:customStyle="1" w:styleId="146">
    <w:name w:val="xl87"/>
    <w:basedOn w:val="1"/>
    <w:qFormat/>
    <w:uiPriority w:val="0"/>
    <w:pPr>
      <w:widowControl/>
      <w:pBdr>
        <w:top w:val="single" w:color="auto" w:sz="4" w:space="0"/>
        <w:left w:val="single" w:color="auto" w:sz="4" w:space="0"/>
        <w:bottom w:val="single" w:color="auto" w:sz="4" w:space="0"/>
        <w:right w:val="single" w:color="auto" w:sz="8" w:space="0"/>
      </w:pBdr>
      <w:shd w:val="clear" w:color="auto" w:fill="CCFFFF"/>
      <w:spacing w:before="100" w:beforeAutospacing="1" w:after="100" w:afterAutospacing="1"/>
      <w:jc w:val="right"/>
      <w:textAlignment w:val="bottom"/>
    </w:pPr>
    <w:rPr>
      <w:rFonts w:ascii="Arial Unicode MS" w:hAnsi="Arial Unicode MS" w:eastAsia="Arial Unicode MS" w:cs="Arial Unicode MS"/>
      <w:b/>
      <w:bCs/>
      <w:kern w:val="0"/>
      <w:sz w:val="20"/>
      <w:szCs w:val="20"/>
    </w:rPr>
  </w:style>
  <w:style w:type="paragraph" w:customStyle="1" w:styleId="147">
    <w:name w:val="二级"/>
    <w:basedOn w:val="1"/>
    <w:qFormat/>
    <w:uiPriority w:val="0"/>
    <w:rPr>
      <w:rFonts w:ascii="宋体" w:hAnsi="宋体"/>
      <w:szCs w:val="21"/>
    </w:rPr>
  </w:style>
  <w:style w:type="paragraph" w:customStyle="1" w:styleId="148">
    <w:name w:val="xl7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bottom"/>
    </w:pPr>
    <w:rPr>
      <w:rFonts w:ascii="Arial Unicode MS" w:hAnsi="Arial Unicode MS" w:eastAsia="Arial Unicode MS" w:cs="Arial Unicode MS"/>
      <w:kern w:val="0"/>
      <w:sz w:val="20"/>
      <w:szCs w:val="20"/>
    </w:rPr>
  </w:style>
  <w:style w:type="paragraph" w:customStyle="1" w:styleId="149">
    <w:name w:val="xl45"/>
    <w:basedOn w:val="1"/>
    <w:qFormat/>
    <w:uiPriority w:val="0"/>
    <w:pPr>
      <w:widowControl/>
      <w:pBdr>
        <w:top w:val="single" w:color="auto" w:sz="8" w:space="0"/>
        <w:left w:val="single" w:color="auto" w:sz="8" w:space="0"/>
        <w:bottom w:val="single" w:color="auto" w:sz="4" w:space="0"/>
        <w:right w:val="single" w:color="auto" w:sz="4" w:space="0"/>
      </w:pBdr>
      <w:shd w:val="clear" w:color="auto" w:fill="99CCFF"/>
      <w:spacing w:before="100" w:beforeAutospacing="1" w:after="100" w:afterAutospacing="1"/>
      <w:jc w:val="center"/>
      <w:textAlignment w:val="bottom"/>
    </w:pPr>
    <w:rPr>
      <w:rFonts w:hint="eastAsia" w:ascii="黑体" w:hAnsi="Arial Unicode MS" w:eastAsia="黑体" w:cs="Arial Unicode MS"/>
      <w:kern w:val="0"/>
      <w:sz w:val="24"/>
    </w:rPr>
  </w:style>
  <w:style w:type="paragraph" w:customStyle="1" w:styleId="150">
    <w:name w:val="abo_p"/>
    <w:basedOn w:val="1"/>
    <w:qFormat/>
    <w:uiPriority w:val="0"/>
    <w:pPr>
      <w:widowControl/>
      <w:spacing w:line="375" w:lineRule="atLeast"/>
      <w:jc w:val="left"/>
    </w:pPr>
    <w:rPr>
      <w:rFonts w:ascii="宋体" w:hAnsi="宋体" w:cs="宋体"/>
      <w:color w:val="333333"/>
      <w:kern w:val="0"/>
      <w:szCs w:val="21"/>
    </w:rPr>
  </w:style>
  <w:style w:type="paragraph" w:customStyle="1" w:styleId="151">
    <w:name w:val="Table Contents"/>
    <w:basedOn w:val="1"/>
    <w:qFormat/>
    <w:uiPriority w:val="0"/>
    <w:pPr>
      <w:suppressAutoHyphens/>
      <w:autoSpaceDE w:val="0"/>
      <w:spacing w:after="120"/>
      <w:jc w:val="left"/>
    </w:pPr>
    <w:rPr>
      <w:rFonts w:ascii="Helvetica" w:hAnsi="Helvetica"/>
      <w:kern w:val="1"/>
      <w:sz w:val="20"/>
      <w:szCs w:val="20"/>
    </w:rPr>
  </w:style>
  <w:style w:type="paragraph" w:customStyle="1" w:styleId="152">
    <w:name w:val="xl74"/>
    <w:basedOn w:val="1"/>
    <w:qFormat/>
    <w:uiPriority w:val="0"/>
    <w:pPr>
      <w:widowControl/>
      <w:pBdr>
        <w:top w:val="single" w:color="auto" w:sz="4" w:space="0"/>
        <w:left w:val="single" w:color="auto" w:sz="8" w:space="0"/>
        <w:bottom w:val="single" w:color="auto" w:sz="4" w:space="0"/>
      </w:pBdr>
      <w:shd w:val="clear" w:color="auto" w:fill="CCFFFF"/>
      <w:spacing w:before="100" w:beforeAutospacing="1" w:after="100" w:afterAutospacing="1"/>
      <w:jc w:val="right"/>
      <w:textAlignment w:val="bottom"/>
    </w:pPr>
    <w:rPr>
      <w:rFonts w:ascii="Arial Unicode MS" w:hAnsi="Arial Unicode MS" w:eastAsia="Arial Unicode MS" w:cs="Arial Unicode MS"/>
      <w:kern w:val="0"/>
      <w:sz w:val="20"/>
      <w:szCs w:val="20"/>
    </w:rPr>
  </w:style>
  <w:style w:type="paragraph" w:customStyle="1" w:styleId="153">
    <w:name w:val="xl4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eastAsia="Arial Unicode MS" w:cs="Arial"/>
      <w:kern w:val="0"/>
      <w:sz w:val="20"/>
      <w:szCs w:val="20"/>
    </w:rPr>
  </w:style>
  <w:style w:type="paragraph" w:customStyle="1" w:styleId="154">
    <w:name w:val="font6"/>
    <w:basedOn w:val="1"/>
    <w:qFormat/>
    <w:uiPriority w:val="0"/>
    <w:pPr>
      <w:widowControl/>
      <w:spacing w:before="100" w:beforeAutospacing="1" w:after="100" w:afterAutospacing="1"/>
      <w:jc w:val="left"/>
    </w:pPr>
    <w:rPr>
      <w:rFonts w:hint="eastAsia" w:ascii="黑体" w:hAnsi="Arial Unicode MS" w:eastAsia="黑体" w:cs="Arial Unicode MS"/>
      <w:kern w:val="0"/>
      <w:sz w:val="24"/>
    </w:rPr>
  </w:style>
  <w:style w:type="paragraph" w:customStyle="1" w:styleId="155">
    <w:name w:val="xl51"/>
    <w:basedOn w:val="1"/>
    <w:qFormat/>
    <w:uiPriority w:val="0"/>
    <w:pPr>
      <w:widowControl/>
      <w:pBdr>
        <w:top w:val="single" w:color="auto" w:sz="8" w:space="0"/>
        <w:left w:val="single" w:color="auto" w:sz="4" w:space="0"/>
        <w:bottom w:val="single" w:color="auto" w:sz="4" w:space="0"/>
        <w:right w:val="single" w:color="auto" w:sz="8" w:space="0"/>
      </w:pBdr>
      <w:shd w:val="clear" w:color="auto" w:fill="99CCFF"/>
      <w:spacing w:before="100" w:beforeAutospacing="1" w:after="100" w:afterAutospacing="1"/>
      <w:jc w:val="center"/>
    </w:pPr>
    <w:rPr>
      <w:rFonts w:hint="eastAsia" w:ascii="黑体" w:hAnsi="Arial Unicode MS" w:eastAsia="黑体" w:cs="Arial Unicode MS"/>
      <w:kern w:val="0"/>
      <w:sz w:val="24"/>
    </w:rPr>
  </w:style>
  <w:style w:type="paragraph" w:customStyle="1" w:styleId="156">
    <w:name w:val="doc-a"/>
    <w:basedOn w:val="1"/>
    <w:qFormat/>
    <w:uiPriority w:val="0"/>
    <w:pPr>
      <w:widowControl/>
      <w:spacing w:before="100" w:beforeAutospacing="1" w:after="100" w:afterAutospacing="1"/>
      <w:ind w:firstLine="480"/>
      <w:jc w:val="left"/>
    </w:pPr>
    <w:rPr>
      <w:rFonts w:ascii="微软雅黑" w:hAnsi="微软雅黑" w:eastAsia="微软雅黑" w:cs="宋体"/>
      <w:kern w:val="0"/>
      <w:szCs w:val="21"/>
    </w:rPr>
  </w:style>
  <w:style w:type="paragraph" w:customStyle="1" w:styleId="157">
    <w:name w:val="列出段落4"/>
    <w:basedOn w:val="1"/>
    <w:qFormat/>
    <w:uiPriority w:val="99"/>
    <w:pPr>
      <w:ind w:firstLine="420" w:firstLineChars="200"/>
    </w:pPr>
    <w:rPr>
      <w:rFonts w:ascii="Calibri" w:hAnsi="Calibri"/>
      <w:szCs w:val="22"/>
    </w:rPr>
  </w:style>
  <w:style w:type="paragraph" w:customStyle="1" w:styleId="158">
    <w:name w:val="xl75"/>
    <w:basedOn w:val="1"/>
    <w:qFormat/>
    <w:uiPriority w:val="0"/>
    <w:pPr>
      <w:widowControl/>
      <w:pBdr>
        <w:top w:val="single" w:color="auto" w:sz="4" w:space="0"/>
        <w:bottom w:val="single" w:color="auto" w:sz="4" w:space="0"/>
      </w:pBdr>
      <w:shd w:val="clear" w:color="auto" w:fill="CCFFFF"/>
      <w:spacing w:before="100" w:beforeAutospacing="1" w:after="100" w:afterAutospacing="1"/>
      <w:jc w:val="right"/>
      <w:textAlignment w:val="bottom"/>
    </w:pPr>
    <w:rPr>
      <w:rFonts w:ascii="Arial Unicode MS" w:hAnsi="Arial Unicode MS" w:eastAsia="Arial Unicode MS" w:cs="Arial Unicode MS"/>
      <w:kern w:val="0"/>
      <w:sz w:val="20"/>
      <w:szCs w:val="20"/>
    </w:rPr>
  </w:style>
  <w:style w:type="paragraph" w:customStyle="1" w:styleId="159">
    <w:name w:val="xl80"/>
    <w:basedOn w:val="1"/>
    <w:qFormat/>
    <w:uiPriority w:val="0"/>
    <w:pPr>
      <w:widowControl/>
      <w:pBdr>
        <w:top w:val="single" w:color="auto" w:sz="4" w:space="0"/>
        <w:bottom w:val="single" w:color="auto" w:sz="4" w:space="0"/>
        <w:right w:val="single" w:color="auto" w:sz="4" w:space="0"/>
      </w:pBdr>
      <w:shd w:val="clear" w:color="auto" w:fill="CCFFCC"/>
      <w:spacing w:before="100" w:beforeAutospacing="1" w:after="100" w:afterAutospacing="1"/>
      <w:jc w:val="center"/>
      <w:textAlignment w:val="top"/>
    </w:pPr>
    <w:rPr>
      <w:rFonts w:ascii="Arial" w:hAnsi="Arial" w:eastAsia="Arial Unicode MS" w:cs="Arial"/>
      <w:kern w:val="0"/>
      <w:sz w:val="20"/>
      <w:szCs w:val="20"/>
    </w:rPr>
  </w:style>
  <w:style w:type="paragraph" w:customStyle="1" w:styleId="160">
    <w:name w:val="Char Char Char Char1"/>
    <w:basedOn w:val="1"/>
    <w:qFormat/>
    <w:uiPriority w:val="0"/>
    <w:pPr>
      <w:widowControl/>
      <w:spacing w:afterLines="25" w:line="240" w:lineRule="exact"/>
      <w:jc w:val="left"/>
    </w:pPr>
    <w:rPr>
      <w:rFonts w:ascii="Verdana" w:hAnsi="Verdana" w:eastAsia="仿宋_GB2312"/>
      <w:kern w:val="0"/>
      <w:sz w:val="24"/>
      <w:szCs w:val="20"/>
      <w:lang w:eastAsia="en-US"/>
    </w:rPr>
  </w:style>
  <w:style w:type="paragraph" w:customStyle="1" w:styleId="161">
    <w:name w:val="电子编码"/>
    <w:basedOn w:val="1"/>
    <w:qFormat/>
    <w:uiPriority w:val="0"/>
    <w:pPr>
      <w:autoSpaceDE w:val="0"/>
      <w:autoSpaceDN w:val="0"/>
      <w:adjustRightInd w:val="0"/>
      <w:spacing w:before="170" w:after="170" w:line="360" w:lineRule="auto"/>
    </w:pPr>
    <w:rPr>
      <w:rFonts w:ascii="幼圆" w:eastAsia="幼圆"/>
      <w:b/>
      <w:bCs/>
      <w:color w:val="000000"/>
      <w:kern w:val="0"/>
      <w:sz w:val="22"/>
      <w:szCs w:val="20"/>
    </w:rPr>
  </w:style>
  <w:style w:type="paragraph" w:customStyle="1" w:styleId="162">
    <w:name w:val="xl47"/>
    <w:basedOn w:val="1"/>
    <w:qFormat/>
    <w:uiPriority w:val="0"/>
    <w:pPr>
      <w:widowControl/>
      <w:pBdr>
        <w:top w:val="single" w:color="auto" w:sz="4" w:space="0"/>
        <w:left w:val="single" w:color="auto" w:sz="4" w:space="0"/>
        <w:bottom w:val="single" w:color="auto" w:sz="4" w:space="0"/>
        <w:right w:val="single" w:color="auto" w:sz="8" w:space="0"/>
      </w:pBdr>
      <w:spacing w:before="100" w:beforeAutospacing="1" w:after="100" w:afterAutospacing="1"/>
      <w:jc w:val="left"/>
    </w:pPr>
    <w:rPr>
      <w:rFonts w:ascii="Arial Unicode MS" w:hAnsi="Arial Unicode MS" w:eastAsia="Arial Unicode MS" w:cs="Arial Unicode MS"/>
      <w:kern w:val="0"/>
      <w:sz w:val="24"/>
    </w:rPr>
  </w:style>
  <w:style w:type="paragraph" w:customStyle="1" w:styleId="163">
    <w:name w:val="Char1 Char Char Char Char Char Char"/>
    <w:basedOn w:val="1"/>
    <w:qFormat/>
    <w:uiPriority w:val="0"/>
    <w:pPr>
      <w:widowControl/>
      <w:spacing w:after="160" w:line="240" w:lineRule="exact"/>
      <w:jc w:val="left"/>
    </w:pPr>
    <w:rPr>
      <w:szCs w:val="20"/>
    </w:rPr>
  </w:style>
  <w:style w:type="paragraph" w:customStyle="1" w:styleId="164">
    <w:name w:val="Default"/>
    <w:link w:val="274"/>
    <w:qFormat/>
    <w:uiPriority w:val="0"/>
    <w:pPr>
      <w:widowControl w:val="0"/>
      <w:autoSpaceDE w:val="0"/>
      <w:autoSpaceDN w:val="0"/>
      <w:adjustRightInd w:val="0"/>
    </w:pPr>
    <w:rPr>
      <w:rFonts w:ascii="宋体" w:hAnsi="宋体" w:eastAsia="宋体" w:cs="宋体"/>
      <w:color w:val="000000"/>
      <w:sz w:val="24"/>
      <w:szCs w:val="24"/>
      <w:lang w:val="en-US" w:eastAsia="zh-CN" w:bidi="ar-SA"/>
    </w:rPr>
  </w:style>
  <w:style w:type="paragraph" w:customStyle="1" w:styleId="165">
    <w:name w:val="1册标题1"/>
    <w:basedOn w:val="1"/>
    <w:next w:val="1"/>
    <w:qFormat/>
    <w:uiPriority w:val="0"/>
    <w:pPr>
      <w:spacing w:before="156" w:beforeLines="50" w:after="156" w:afterLines="50" w:line="300" w:lineRule="auto"/>
      <w:jc w:val="center"/>
      <w:outlineLvl w:val="0"/>
    </w:pPr>
    <w:rPr>
      <w:rFonts w:ascii="Arial" w:hAnsi="Arial" w:eastAsia="黑体"/>
      <w:b/>
      <w:bCs/>
      <w:sz w:val="48"/>
      <w:szCs w:val="20"/>
    </w:rPr>
  </w:style>
  <w:style w:type="paragraph" w:customStyle="1" w:styleId="166">
    <w:name w:val="font8"/>
    <w:basedOn w:val="1"/>
    <w:qFormat/>
    <w:uiPriority w:val="0"/>
    <w:pPr>
      <w:widowControl/>
      <w:spacing w:before="100" w:beforeAutospacing="1" w:after="100" w:afterAutospacing="1"/>
      <w:jc w:val="left"/>
    </w:pPr>
    <w:rPr>
      <w:rFonts w:eastAsia="Arial Unicode MS"/>
      <w:kern w:val="0"/>
      <w:sz w:val="24"/>
    </w:rPr>
  </w:style>
  <w:style w:type="paragraph" w:customStyle="1" w:styleId="167">
    <w:name w:val="xl79"/>
    <w:basedOn w:val="1"/>
    <w:qFormat/>
    <w:uiPriority w:val="0"/>
    <w:pPr>
      <w:widowControl/>
      <w:pBdr>
        <w:top w:val="single" w:color="auto" w:sz="4" w:space="0"/>
        <w:bottom w:val="single" w:color="auto" w:sz="4" w:space="0"/>
      </w:pBdr>
      <w:shd w:val="clear" w:color="auto" w:fill="CCFFCC"/>
      <w:spacing w:before="100" w:beforeAutospacing="1" w:after="100" w:afterAutospacing="1"/>
      <w:jc w:val="center"/>
      <w:textAlignment w:val="top"/>
    </w:pPr>
    <w:rPr>
      <w:rFonts w:ascii="Arial Unicode MS" w:hAnsi="Arial Unicode MS" w:eastAsia="Arial Unicode MS" w:cs="Arial Unicode MS"/>
      <w:kern w:val="0"/>
      <w:sz w:val="20"/>
      <w:szCs w:val="20"/>
    </w:rPr>
  </w:style>
  <w:style w:type="paragraph" w:customStyle="1" w:styleId="168">
    <w:name w:val="xl57"/>
    <w:basedOn w:val="1"/>
    <w:qFormat/>
    <w:uiPriority w:val="0"/>
    <w:pPr>
      <w:widowControl/>
      <w:pBdr>
        <w:top w:val="single" w:color="auto" w:sz="4" w:space="0"/>
        <w:left w:val="single" w:color="auto" w:sz="4" w:space="0"/>
        <w:bottom w:val="single" w:color="auto" w:sz="4" w:space="0"/>
        <w:right w:val="single" w:color="auto" w:sz="4" w:space="0"/>
      </w:pBdr>
      <w:shd w:val="clear" w:color="auto" w:fill="CCFFFF"/>
      <w:spacing w:before="100" w:beforeAutospacing="1" w:after="100" w:afterAutospacing="1"/>
      <w:jc w:val="right"/>
      <w:textAlignment w:val="bottom"/>
    </w:pPr>
    <w:rPr>
      <w:rFonts w:ascii="Arial Unicode MS" w:hAnsi="Arial Unicode MS" w:eastAsia="Arial Unicode MS" w:cs="Arial Unicode MS"/>
      <w:kern w:val="0"/>
      <w:sz w:val="20"/>
      <w:szCs w:val="20"/>
    </w:rPr>
  </w:style>
  <w:style w:type="paragraph" w:customStyle="1" w:styleId="169">
    <w:name w:val="xl35"/>
    <w:basedOn w:val="1"/>
    <w:qFormat/>
    <w:uiPriority w:val="0"/>
    <w:pPr>
      <w:widowControl/>
      <w:pBdr>
        <w:top w:val="single" w:color="auto" w:sz="8" w:space="0"/>
        <w:left w:val="single" w:color="auto" w:sz="4" w:space="0"/>
        <w:bottom w:val="single" w:color="auto" w:sz="4" w:space="0"/>
        <w:right w:val="single" w:color="auto" w:sz="4" w:space="0"/>
      </w:pBdr>
      <w:shd w:val="clear" w:color="auto" w:fill="99CCFF"/>
      <w:spacing w:before="100" w:beforeAutospacing="1" w:after="100" w:afterAutospacing="1"/>
      <w:jc w:val="center"/>
      <w:textAlignment w:val="bottom"/>
    </w:pPr>
    <w:rPr>
      <w:rFonts w:hint="eastAsia" w:ascii="黑体" w:hAnsi="Arial Unicode MS" w:eastAsia="黑体" w:cs="Arial Unicode MS"/>
      <w:kern w:val="0"/>
      <w:sz w:val="24"/>
    </w:rPr>
  </w:style>
  <w:style w:type="paragraph" w:customStyle="1" w:styleId="170">
    <w:name w:val="È±Ê¡ÎÄ±¾"/>
    <w:basedOn w:val="1"/>
    <w:qFormat/>
    <w:uiPriority w:val="0"/>
    <w:pPr>
      <w:widowControl/>
      <w:overflowPunct w:val="0"/>
      <w:autoSpaceDE w:val="0"/>
      <w:autoSpaceDN w:val="0"/>
      <w:adjustRightInd w:val="0"/>
      <w:jc w:val="left"/>
      <w:textAlignment w:val="baseline"/>
    </w:pPr>
    <w:rPr>
      <w:kern w:val="0"/>
      <w:sz w:val="24"/>
      <w:szCs w:val="20"/>
    </w:rPr>
  </w:style>
  <w:style w:type="paragraph" w:customStyle="1" w:styleId="171">
    <w:name w:val="xl4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Unicode MS" w:hAnsi="Arial Unicode MS" w:eastAsia="Arial Unicode MS" w:cs="Arial Unicode MS"/>
      <w:kern w:val="0"/>
      <w:sz w:val="20"/>
      <w:szCs w:val="20"/>
    </w:rPr>
  </w:style>
  <w:style w:type="paragraph" w:customStyle="1" w:styleId="172">
    <w:name w:val="三级"/>
    <w:basedOn w:val="147"/>
    <w:link w:val="296"/>
    <w:qFormat/>
    <w:uiPriority w:val="0"/>
  </w:style>
  <w:style w:type="paragraph" w:customStyle="1" w:styleId="173">
    <w:name w:val="样式 标题 + (中文) 黑体 五号 非加粗 段前: 6 磅 段后: 6 磅"/>
    <w:basedOn w:val="44"/>
    <w:qFormat/>
    <w:uiPriority w:val="0"/>
    <w:pPr>
      <w:adjustRightInd w:val="0"/>
      <w:snapToGrid w:val="0"/>
      <w:spacing w:before="0" w:after="0" w:line="600" w:lineRule="exact"/>
      <w:outlineLvl w:val="9"/>
    </w:pPr>
    <w:rPr>
      <w:rFonts w:ascii="黑体" w:hAnsi="Times New Roman" w:eastAsia="黑体" w:cs="Times New Roman"/>
      <w:b w:val="0"/>
      <w:bCs w:val="0"/>
      <w:szCs w:val="20"/>
    </w:rPr>
  </w:style>
  <w:style w:type="paragraph" w:customStyle="1" w:styleId="174">
    <w:name w:val="xl36"/>
    <w:basedOn w:val="1"/>
    <w:qFormat/>
    <w:uiPriority w:val="0"/>
    <w:pPr>
      <w:widowControl/>
      <w:pBdr>
        <w:top w:val="single" w:color="auto" w:sz="4" w:space="0"/>
        <w:left w:val="single" w:color="auto" w:sz="4" w:space="0"/>
        <w:bottom w:val="single" w:color="auto" w:sz="4" w:space="0"/>
        <w:right w:val="single" w:color="auto" w:sz="4" w:space="0"/>
      </w:pBdr>
      <w:shd w:val="clear" w:color="auto" w:fill="CCFFFF"/>
      <w:spacing w:before="100" w:beforeAutospacing="1" w:after="100" w:afterAutospacing="1"/>
      <w:jc w:val="right"/>
      <w:textAlignment w:val="bottom"/>
    </w:pPr>
    <w:rPr>
      <w:rFonts w:ascii="Arial Unicode MS" w:hAnsi="Arial Unicode MS" w:eastAsia="Arial Unicode MS" w:cs="Arial Unicode MS"/>
      <w:b/>
      <w:bCs/>
      <w:kern w:val="0"/>
      <w:sz w:val="20"/>
      <w:szCs w:val="20"/>
    </w:rPr>
  </w:style>
  <w:style w:type="paragraph" w:customStyle="1" w:styleId="175">
    <w:name w:val="日期1"/>
    <w:basedOn w:val="1"/>
    <w:next w:val="1"/>
    <w:qFormat/>
    <w:uiPriority w:val="0"/>
    <w:pPr>
      <w:adjustRightInd w:val="0"/>
      <w:spacing w:line="360" w:lineRule="auto"/>
      <w:textAlignment w:val="baseline"/>
    </w:pPr>
    <w:rPr>
      <w:rFonts w:ascii="宋体"/>
      <w:spacing w:val="2"/>
      <w:sz w:val="24"/>
      <w:szCs w:val="20"/>
    </w:rPr>
  </w:style>
  <w:style w:type="paragraph" w:customStyle="1" w:styleId="176">
    <w:name w:val="xl89"/>
    <w:basedOn w:val="1"/>
    <w:qFormat/>
    <w:uiPriority w:val="0"/>
    <w:pPr>
      <w:widowControl/>
      <w:pBdr>
        <w:top w:val="single" w:color="auto" w:sz="4" w:space="0"/>
        <w:left w:val="single" w:color="auto" w:sz="8" w:space="0"/>
        <w:bottom w:val="single" w:color="auto" w:sz="4" w:space="0"/>
      </w:pBdr>
      <w:spacing w:before="100" w:beforeAutospacing="1" w:after="100" w:afterAutospacing="1"/>
      <w:jc w:val="center"/>
      <w:textAlignment w:val="bottom"/>
    </w:pPr>
    <w:rPr>
      <w:rFonts w:hint="eastAsia" w:ascii="黑体" w:hAnsi="Arial Unicode MS" w:eastAsia="黑体" w:cs="Arial Unicode MS"/>
      <w:b/>
      <w:bCs/>
      <w:color w:val="000080"/>
      <w:kern w:val="0"/>
      <w:sz w:val="28"/>
      <w:szCs w:val="28"/>
    </w:rPr>
  </w:style>
  <w:style w:type="paragraph" w:customStyle="1" w:styleId="177">
    <w:name w:val="2册标题2"/>
    <w:basedOn w:val="1"/>
    <w:next w:val="1"/>
    <w:qFormat/>
    <w:uiPriority w:val="0"/>
    <w:pPr>
      <w:spacing w:before="156" w:beforeLines="50" w:after="156" w:afterLines="50" w:line="300" w:lineRule="auto"/>
      <w:outlineLvl w:val="1"/>
    </w:pPr>
    <w:rPr>
      <w:rFonts w:ascii="Arial" w:hAnsi="Arial" w:eastAsia="黑体"/>
      <w:sz w:val="30"/>
      <w:szCs w:val="30"/>
    </w:rPr>
  </w:style>
  <w:style w:type="paragraph" w:customStyle="1" w:styleId="178">
    <w:name w:val="xl6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top"/>
    </w:pPr>
    <w:rPr>
      <w:rFonts w:ascii="Arial" w:hAnsi="Arial" w:eastAsia="Arial Unicode MS" w:cs="Arial"/>
      <w:kern w:val="0"/>
      <w:sz w:val="20"/>
      <w:szCs w:val="20"/>
    </w:rPr>
  </w:style>
  <w:style w:type="paragraph" w:customStyle="1" w:styleId="179">
    <w:name w:val="xl68"/>
    <w:basedOn w:val="1"/>
    <w:qFormat/>
    <w:uiPriority w:val="0"/>
    <w:pPr>
      <w:widowControl/>
      <w:pBdr>
        <w:top w:val="single" w:color="auto" w:sz="4" w:space="0"/>
        <w:bottom w:val="single" w:color="auto" w:sz="4" w:space="0"/>
        <w:right w:val="single" w:color="auto" w:sz="8" w:space="0"/>
      </w:pBdr>
      <w:spacing w:before="100" w:beforeAutospacing="1" w:after="100" w:afterAutospacing="1"/>
      <w:jc w:val="center"/>
      <w:textAlignment w:val="bottom"/>
    </w:pPr>
    <w:rPr>
      <w:rFonts w:hint="eastAsia" w:ascii="黑体" w:hAnsi="Arial Unicode MS" w:eastAsia="黑体" w:cs="Arial Unicode MS"/>
      <w:color w:val="000080"/>
      <w:kern w:val="0"/>
      <w:sz w:val="24"/>
    </w:rPr>
  </w:style>
  <w:style w:type="paragraph" w:customStyle="1" w:styleId="180">
    <w:name w:val="xl55"/>
    <w:basedOn w:val="1"/>
    <w:qFormat/>
    <w:uiPriority w:val="0"/>
    <w:pPr>
      <w:widowControl/>
      <w:pBdr>
        <w:top w:val="single" w:color="auto" w:sz="4" w:space="0"/>
        <w:left w:val="single" w:color="auto" w:sz="4" w:space="0"/>
        <w:bottom w:val="single" w:color="auto" w:sz="4" w:space="0"/>
        <w:right w:val="single" w:color="auto" w:sz="8" w:space="0"/>
      </w:pBdr>
      <w:shd w:val="clear" w:color="auto" w:fill="CCFFFF"/>
      <w:spacing w:before="100" w:beforeAutospacing="1" w:after="100" w:afterAutospacing="1"/>
      <w:jc w:val="left"/>
    </w:pPr>
    <w:rPr>
      <w:rFonts w:ascii="Arial Unicode MS" w:hAnsi="Arial Unicode MS" w:eastAsia="Arial Unicode MS" w:cs="Arial Unicode MS"/>
      <w:kern w:val="0"/>
      <w:sz w:val="24"/>
    </w:rPr>
  </w:style>
  <w:style w:type="paragraph" w:customStyle="1" w:styleId="181">
    <w:name w:val="节名"/>
    <w:qFormat/>
    <w:uiPriority w:val="0"/>
    <w:pPr>
      <w:widowControl w:val="0"/>
      <w:autoSpaceDE w:val="0"/>
      <w:autoSpaceDN w:val="0"/>
      <w:adjustRightInd w:val="0"/>
      <w:spacing w:line="940" w:lineRule="atLeast"/>
      <w:jc w:val="center"/>
    </w:pPr>
    <w:rPr>
      <w:rFonts w:ascii="文鼎CS楷体" w:hAnsi="Times New Roman" w:eastAsia="文鼎CS楷体" w:cs="Times New Roman"/>
      <w:b/>
      <w:bCs/>
      <w:color w:val="000000"/>
      <w:sz w:val="44"/>
      <w:szCs w:val="44"/>
      <w:lang w:val="en-US" w:eastAsia="zh-CN" w:bidi="ar-SA"/>
    </w:rPr>
  </w:style>
  <w:style w:type="paragraph" w:customStyle="1" w:styleId="182">
    <w:name w:val="第二层"/>
    <w:basedOn w:val="1"/>
    <w:qFormat/>
    <w:uiPriority w:val="0"/>
    <w:pPr>
      <w:spacing w:before="156" w:beforeLines="50" w:after="156" w:afterLines="50"/>
    </w:pPr>
    <w:rPr>
      <w:rFonts w:ascii="仿宋_GB2312" w:eastAsia="仿宋_GB2312"/>
      <w:sz w:val="24"/>
    </w:rPr>
  </w:style>
  <w:style w:type="paragraph" w:customStyle="1" w:styleId="183">
    <w:name w:val="content"/>
    <w:basedOn w:val="1"/>
    <w:qFormat/>
    <w:uiPriority w:val="0"/>
    <w:pPr>
      <w:widowControl/>
      <w:spacing w:before="192" w:after="192" w:line="240" w:lineRule="atLeast"/>
      <w:ind w:left="192" w:right="192"/>
      <w:jc w:val="left"/>
    </w:pPr>
    <w:rPr>
      <w:rFonts w:ascii="Arial" w:hAnsi="Arial" w:eastAsia="Arial Unicode MS" w:cs="Arial"/>
      <w:color w:val="153B63"/>
      <w:kern w:val="0"/>
      <w:sz w:val="19"/>
      <w:szCs w:val="19"/>
    </w:rPr>
  </w:style>
  <w:style w:type="paragraph" w:customStyle="1" w:styleId="184">
    <w:name w:val="xl54"/>
    <w:basedOn w:val="1"/>
    <w:qFormat/>
    <w:uiPriority w:val="0"/>
    <w:pPr>
      <w:widowControl/>
      <w:pBdr>
        <w:top w:val="single" w:color="auto" w:sz="4" w:space="0"/>
        <w:left w:val="single" w:color="auto" w:sz="4" w:space="0"/>
        <w:bottom w:val="single" w:color="auto" w:sz="4" w:space="0"/>
        <w:right w:val="single" w:color="auto" w:sz="4" w:space="0"/>
      </w:pBdr>
      <w:shd w:val="clear" w:color="auto" w:fill="CCFFFF"/>
      <w:spacing w:before="100" w:beforeAutospacing="1" w:after="100" w:afterAutospacing="1"/>
      <w:jc w:val="left"/>
    </w:pPr>
    <w:rPr>
      <w:rFonts w:ascii="Arial Unicode MS" w:hAnsi="Arial Unicode MS" w:eastAsia="Arial Unicode MS" w:cs="Arial Unicode MS"/>
      <w:kern w:val="0"/>
      <w:sz w:val="24"/>
    </w:rPr>
  </w:style>
  <w:style w:type="paragraph" w:customStyle="1" w:styleId="185">
    <w:name w:val="样式5"/>
    <w:basedOn w:val="1"/>
    <w:qFormat/>
    <w:uiPriority w:val="0"/>
    <w:pPr>
      <w:numPr>
        <w:ilvl w:val="4"/>
        <w:numId w:val="4"/>
      </w:numPr>
      <w:tabs>
        <w:tab w:val="left" w:pos="360"/>
        <w:tab w:val="left" w:pos="980"/>
      </w:tabs>
      <w:spacing w:line="360" w:lineRule="auto"/>
    </w:pPr>
    <w:rPr>
      <w:sz w:val="24"/>
      <w:szCs w:val="20"/>
    </w:rPr>
  </w:style>
  <w:style w:type="paragraph" w:customStyle="1" w:styleId="186">
    <w:name w:val="xl81"/>
    <w:basedOn w:val="1"/>
    <w:qFormat/>
    <w:uiPriority w:val="0"/>
    <w:pPr>
      <w:widowControl/>
      <w:pBdr>
        <w:top w:val="single" w:color="auto" w:sz="4" w:space="0"/>
        <w:left w:val="single" w:color="auto" w:sz="4" w:space="0"/>
        <w:bottom w:val="single" w:color="auto" w:sz="4" w:space="0"/>
        <w:right w:val="single" w:color="auto" w:sz="4" w:space="0"/>
      </w:pBdr>
      <w:shd w:val="clear" w:color="auto" w:fill="CCFFCC"/>
      <w:spacing w:before="100" w:beforeAutospacing="1" w:after="100" w:afterAutospacing="1"/>
      <w:jc w:val="left"/>
      <w:textAlignment w:val="bottom"/>
    </w:pPr>
    <w:rPr>
      <w:rFonts w:ascii="Arial Unicode MS" w:hAnsi="Arial Unicode MS" w:eastAsia="Arial Unicode MS" w:cs="Arial Unicode MS"/>
      <w:kern w:val="0"/>
      <w:sz w:val="20"/>
      <w:szCs w:val="20"/>
    </w:rPr>
  </w:style>
  <w:style w:type="paragraph" w:customStyle="1" w:styleId="187">
    <w:name w:val="Char Char Char Char Char Char Char Char Char Char"/>
    <w:basedOn w:val="1"/>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188">
    <w:name w:val="样式4"/>
    <w:basedOn w:val="1"/>
    <w:qFormat/>
    <w:uiPriority w:val="0"/>
    <w:pPr>
      <w:numPr>
        <w:ilvl w:val="3"/>
        <w:numId w:val="5"/>
      </w:numPr>
      <w:tabs>
        <w:tab w:val="left" w:pos="757"/>
        <w:tab w:val="left" w:pos="2040"/>
      </w:tabs>
      <w:spacing w:before="120" w:after="120" w:line="360" w:lineRule="auto"/>
      <w:ind w:firstLine="397"/>
    </w:pPr>
    <w:rPr>
      <w:b/>
      <w:sz w:val="28"/>
      <w:szCs w:val="20"/>
    </w:rPr>
  </w:style>
  <w:style w:type="paragraph" w:customStyle="1" w:styleId="189">
    <w:name w:val="xl3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top"/>
    </w:pPr>
    <w:rPr>
      <w:rFonts w:ascii="Arial Unicode MS" w:hAnsi="Arial Unicode MS" w:eastAsia="Arial Unicode MS" w:cs="Arial Unicode MS"/>
      <w:kern w:val="0"/>
      <w:sz w:val="20"/>
      <w:szCs w:val="20"/>
    </w:rPr>
  </w:style>
  <w:style w:type="paragraph" w:customStyle="1" w:styleId="190">
    <w:name w:val="样式1 Char Char"/>
    <w:basedOn w:val="1"/>
    <w:next w:val="26"/>
    <w:qFormat/>
    <w:uiPriority w:val="0"/>
    <w:pPr>
      <w:spacing w:line="360" w:lineRule="auto"/>
      <w:ind w:firstLine="516" w:firstLineChars="215"/>
    </w:pPr>
    <w:rPr>
      <w:sz w:val="24"/>
      <w:szCs w:val="20"/>
    </w:rPr>
  </w:style>
  <w:style w:type="paragraph" w:customStyle="1" w:styleId="191">
    <w:name w:val="xl3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Unicode MS" w:hAnsi="Arial Unicode MS" w:eastAsia="Arial Unicode MS" w:cs="Arial Unicode MS"/>
      <w:kern w:val="0"/>
      <w:sz w:val="20"/>
      <w:szCs w:val="20"/>
    </w:rPr>
  </w:style>
  <w:style w:type="paragraph" w:customStyle="1" w:styleId="192">
    <w:name w:val="12册标题"/>
    <w:basedOn w:val="1"/>
    <w:next w:val="1"/>
    <w:qFormat/>
    <w:uiPriority w:val="0"/>
    <w:pPr>
      <w:spacing w:before="156" w:beforeLines="50" w:after="156" w:afterLines="50" w:line="300" w:lineRule="auto"/>
      <w:jc w:val="center"/>
      <w:outlineLvl w:val="0"/>
    </w:pPr>
    <w:rPr>
      <w:rFonts w:ascii="Arial" w:hAnsi="Arial" w:eastAsia="黑体"/>
      <w:sz w:val="44"/>
      <w:szCs w:val="20"/>
    </w:rPr>
  </w:style>
  <w:style w:type="paragraph" w:customStyle="1" w:styleId="193">
    <w:name w:val="2册标题1"/>
    <w:basedOn w:val="1"/>
    <w:next w:val="1"/>
    <w:qFormat/>
    <w:uiPriority w:val="0"/>
    <w:pPr>
      <w:spacing w:before="156" w:beforeLines="50" w:after="156" w:afterLines="50" w:line="300" w:lineRule="auto"/>
      <w:jc w:val="center"/>
      <w:outlineLvl w:val="0"/>
    </w:pPr>
    <w:rPr>
      <w:rFonts w:ascii="Arial" w:hAnsi="Arial" w:eastAsia="黑体"/>
      <w:sz w:val="32"/>
      <w:szCs w:val="32"/>
    </w:rPr>
  </w:style>
  <w:style w:type="paragraph" w:customStyle="1" w:styleId="194">
    <w:name w:val="_Style 1"/>
    <w:basedOn w:val="1"/>
    <w:qFormat/>
    <w:uiPriority w:val="34"/>
    <w:pPr>
      <w:ind w:firstLine="420" w:firstLineChars="200"/>
    </w:pPr>
  </w:style>
  <w:style w:type="paragraph" w:customStyle="1" w:styleId="195">
    <w:name w:val="xl50"/>
    <w:basedOn w:val="1"/>
    <w:qFormat/>
    <w:uiPriority w:val="0"/>
    <w:pPr>
      <w:widowControl/>
      <w:pBdr>
        <w:top w:val="single" w:color="auto" w:sz="8" w:space="0"/>
        <w:left w:val="single" w:color="auto" w:sz="4" w:space="0"/>
        <w:bottom w:val="single" w:color="auto" w:sz="4" w:space="0"/>
        <w:right w:val="single" w:color="auto" w:sz="4" w:space="0"/>
      </w:pBdr>
      <w:shd w:val="clear" w:color="auto" w:fill="99CCFF"/>
      <w:spacing w:before="100" w:beforeAutospacing="1" w:after="100" w:afterAutospacing="1"/>
      <w:jc w:val="center"/>
    </w:pPr>
    <w:rPr>
      <w:rFonts w:hint="eastAsia" w:ascii="黑体" w:hAnsi="Arial Unicode MS" w:eastAsia="黑体" w:cs="Arial Unicode MS"/>
      <w:kern w:val="0"/>
      <w:sz w:val="24"/>
    </w:rPr>
  </w:style>
  <w:style w:type="paragraph" w:customStyle="1" w:styleId="196">
    <w:name w:val="2册标题3"/>
    <w:basedOn w:val="1"/>
    <w:next w:val="1"/>
    <w:qFormat/>
    <w:uiPriority w:val="0"/>
    <w:pPr>
      <w:spacing w:before="156" w:beforeLines="50" w:after="156" w:afterLines="50" w:line="300" w:lineRule="auto"/>
      <w:ind w:left="210" w:leftChars="100"/>
      <w:jc w:val="center"/>
      <w:outlineLvl w:val="2"/>
    </w:pPr>
    <w:rPr>
      <w:rFonts w:ascii="宋体" w:hAnsi="宋体" w:cs="Arial"/>
      <w:b/>
      <w:bCs/>
      <w:sz w:val="30"/>
      <w:szCs w:val="28"/>
    </w:rPr>
  </w:style>
  <w:style w:type="paragraph" w:customStyle="1" w:styleId="197">
    <w:name w:val="xl90"/>
    <w:basedOn w:val="1"/>
    <w:qFormat/>
    <w:uiPriority w:val="0"/>
    <w:pPr>
      <w:widowControl/>
      <w:pBdr>
        <w:top w:val="single" w:color="auto" w:sz="4" w:space="0"/>
        <w:bottom w:val="single" w:color="auto" w:sz="4" w:space="0"/>
      </w:pBdr>
      <w:spacing w:before="100" w:beforeAutospacing="1" w:after="100" w:afterAutospacing="1"/>
      <w:jc w:val="center"/>
      <w:textAlignment w:val="bottom"/>
    </w:pPr>
    <w:rPr>
      <w:rFonts w:ascii="Arial Unicode MS" w:hAnsi="Arial Unicode MS" w:eastAsia="Arial Unicode MS" w:cs="Arial Unicode MS"/>
      <w:b/>
      <w:bCs/>
      <w:color w:val="000080"/>
      <w:kern w:val="0"/>
      <w:sz w:val="20"/>
      <w:szCs w:val="20"/>
    </w:rPr>
  </w:style>
  <w:style w:type="paragraph" w:customStyle="1" w:styleId="198">
    <w:name w:val="列出段落1"/>
    <w:basedOn w:val="1"/>
    <w:qFormat/>
    <w:uiPriority w:val="34"/>
    <w:pPr>
      <w:ind w:firstLine="420" w:firstLineChars="200"/>
    </w:pPr>
    <w:rPr>
      <w:rFonts w:ascii="Calibri" w:hAnsi="Calibri"/>
    </w:rPr>
  </w:style>
  <w:style w:type="paragraph" w:customStyle="1" w:styleId="199">
    <w:name w:val="表格文字"/>
    <w:qFormat/>
    <w:uiPriority w:val="0"/>
    <w:pPr>
      <w:widowControl w:val="0"/>
      <w:autoSpaceDE w:val="0"/>
      <w:autoSpaceDN w:val="0"/>
      <w:adjustRightInd w:val="0"/>
      <w:spacing w:line="420" w:lineRule="atLeast"/>
      <w:ind w:firstLine="510"/>
      <w:jc w:val="both"/>
    </w:pPr>
    <w:rPr>
      <w:rFonts w:ascii="文鼎CS楷体" w:hAnsi="Times New Roman" w:eastAsia="文鼎CS楷体" w:cs="Times New Roman"/>
      <w:color w:val="000000"/>
      <w:sz w:val="22"/>
      <w:szCs w:val="22"/>
      <w:lang w:val="en-US" w:eastAsia="zh-CN" w:bidi="ar-SA"/>
    </w:rPr>
  </w:style>
  <w:style w:type="paragraph" w:customStyle="1" w:styleId="200">
    <w:name w:val="Char5 Char Char Char Char Char Char1"/>
    <w:basedOn w:val="1"/>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201">
    <w:name w:val="列出段落11"/>
    <w:basedOn w:val="1"/>
    <w:qFormat/>
    <w:uiPriority w:val="99"/>
    <w:pPr>
      <w:ind w:firstLine="420" w:firstLineChars="200"/>
    </w:pPr>
    <w:rPr>
      <w:rFonts w:ascii="Cambria" w:hAnsi="Cambria"/>
      <w:sz w:val="24"/>
    </w:rPr>
  </w:style>
  <w:style w:type="paragraph" w:customStyle="1" w:styleId="202">
    <w:name w:val="Char Char Char Char Char"/>
    <w:basedOn w:val="1"/>
    <w:qFormat/>
    <w:uiPriority w:val="0"/>
    <w:rPr>
      <w:rFonts w:ascii="Tahoma" w:hAnsi="Tahoma"/>
      <w:sz w:val="24"/>
      <w:szCs w:val="20"/>
    </w:rPr>
  </w:style>
  <w:style w:type="paragraph" w:customStyle="1" w:styleId="203">
    <w:name w:val="xl2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bottom"/>
    </w:pPr>
    <w:rPr>
      <w:rFonts w:ascii="Arial Unicode MS" w:hAnsi="Arial Unicode MS" w:eastAsia="Arial Unicode MS" w:cs="Arial Unicode MS"/>
      <w:kern w:val="0"/>
      <w:sz w:val="20"/>
      <w:szCs w:val="20"/>
    </w:rPr>
  </w:style>
  <w:style w:type="paragraph" w:customStyle="1" w:styleId="204">
    <w:name w:val="xl3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top"/>
    </w:pPr>
    <w:rPr>
      <w:rFonts w:ascii="Arial Unicode MS" w:hAnsi="Arial Unicode MS" w:eastAsia="Arial Unicode MS" w:cs="Arial Unicode MS"/>
      <w:color w:val="000000"/>
      <w:kern w:val="0"/>
      <w:sz w:val="20"/>
      <w:szCs w:val="20"/>
    </w:rPr>
  </w:style>
  <w:style w:type="paragraph" w:customStyle="1" w:styleId="205">
    <w:name w:val="默认段落字体 Para Char Char Char Char"/>
    <w:basedOn w:val="1"/>
    <w:qFormat/>
    <w:uiPriority w:val="0"/>
  </w:style>
  <w:style w:type="paragraph" w:customStyle="1" w:styleId="206">
    <w:name w:val="图"/>
    <w:basedOn w:val="1"/>
    <w:qFormat/>
    <w:uiPriority w:val="0"/>
    <w:pPr>
      <w:keepNext/>
      <w:adjustRightInd w:val="0"/>
      <w:snapToGrid w:val="0"/>
      <w:spacing w:before="60" w:after="60" w:line="300" w:lineRule="auto"/>
      <w:jc w:val="center"/>
    </w:pPr>
    <w:rPr>
      <w:spacing w:val="20"/>
      <w:kern w:val="0"/>
      <w:sz w:val="24"/>
      <w:szCs w:val="20"/>
    </w:rPr>
  </w:style>
  <w:style w:type="paragraph" w:customStyle="1" w:styleId="207">
    <w:name w:val="说明文字"/>
    <w:qFormat/>
    <w:uiPriority w:val="0"/>
    <w:pPr>
      <w:widowControl w:val="0"/>
      <w:autoSpaceDE w:val="0"/>
      <w:autoSpaceDN w:val="0"/>
      <w:adjustRightInd w:val="0"/>
      <w:spacing w:line="400" w:lineRule="atLeast"/>
      <w:ind w:firstLine="425"/>
      <w:jc w:val="both"/>
    </w:pPr>
    <w:rPr>
      <w:rFonts w:ascii="文鼎CS楷体" w:hAnsi="Times New Roman" w:eastAsia="文鼎CS楷体" w:cs="Times New Roman"/>
      <w:color w:val="000000"/>
      <w:sz w:val="22"/>
      <w:szCs w:val="22"/>
      <w:lang w:val="en-US" w:eastAsia="zh-CN" w:bidi="ar-SA"/>
    </w:rPr>
  </w:style>
  <w:style w:type="paragraph" w:customStyle="1" w:styleId="208">
    <w:name w:val="xl64"/>
    <w:basedOn w:val="1"/>
    <w:qFormat/>
    <w:uiPriority w:val="0"/>
    <w:pPr>
      <w:widowControl/>
      <w:pBdr>
        <w:top w:val="single" w:color="auto" w:sz="4" w:space="0"/>
        <w:bottom w:val="single" w:color="auto" w:sz="4" w:space="0"/>
        <w:right w:val="single" w:color="auto" w:sz="8" w:space="0"/>
      </w:pBdr>
      <w:spacing w:before="100" w:beforeAutospacing="1" w:after="100" w:afterAutospacing="1"/>
      <w:jc w:val="center"/>
      <w:textAlignment w:val="bottom"/>
    </w:pPr>
    <w:rPr>
      <w:rFonts w:eastAsia="Arial Unicode MS"/>
      <w:b/>
      <w:bCs/>
      <w:color w:val="333399"/>
      <w:kern w:val="0"/>
      <w:sz w:val="24"/>
    </w:rPr>
  </w:style>
  <w:style w:type="paragraph" w:customStyle="1" w:styleId="209">
    <w:name w:val="xl3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bottom"/>
    </w:pPr>
    <w:rPr>
      <w:rFonts w:eastAsia="Arial Unicode MS"/>
      <w:kern w:val="0"/>
      <w:sz w:val="20"/>
      <w:szCs w:val="20"/>
    </w:rPr>
  </w:style>
  <w:style w:type="paragraph" w:customStyle="1" w:styleId="210">
    <w:name w:val="xl7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bottom"/>
    </w:pPr>
    <w:rPr>
      <w:rFonts w:ascii="Arial Unicode MS" w:hAnsi="Arial Unicode MS" w:eastAsia="Arial Unicode MS" w:cs="Arial Unicode MS"/>
      <w:kern w:val="0"/>
      <w:sz w:val="20"/>
      <w:szCs w:val="20"/>
    </w:rPr>
  </w:style>
  <w:style w:type="paragraph" w:customStyle="1" w:styleId="211">
    <w:name w:val="大大标题"/>
    <w:basedOn w:val="1"/>
    <w:qFormat/>
    <w:uiPriority w:val="0"/>
    <w:pPr>
      <w:autoSpaceDE w:val="0"/>
      <w:autoSpaceDN w:val="0"/>
      <w:adjustRightInd w:val="0"/>
      <w:jc w:val="center"/>
    </w:pPr>
    <w:rPr>
      <w:rFonts w:ascii="黑体" w:eastAsia="黑体"/>
      <w:kern w:val="0"/>
      <w:sz w:val="32"/>
      <w:szCs w:val="36"/>
    </w:rPr>
  </w:style>
  <w:style w:type="paragraph" w:customStyle="1" w:styleId="212">
    <w:name w:val="1册标题2"/>
    <w:basedOn w:val="1"/>
    <w:next w:val="1"/>
    <w:qFormat/>
    <w:uiPriority w:val="0"/>
    <w:pPr>
      <w:adjustRightInd w:val="0"/>
      <w:spacing w:before="156" w:beforeLines="50" w:after="156" w:afterLines="50" w:line="300" w:lineRule="auto"/>
      <w:jc w:val="center"/>
      <w:textAlignment w:val="baseline"/>
      <w:outlineLvl w:val="1"/>
    </w:pPr>
    <w:rPr>
      <w:rFonts w:ascii="Arial" w:hAnsi="Arial" w:eastAsia="黑体"/>
      <w:bCs/>
      <w:kern w:val="0"/>
      <w:sz w:val="32"/>
    </w:rPr>
  </w:style>
  <w:style w:type="paragraph" w:customStyle="1" w:styleId="213">
    <w:name w:val="正文BIAO"/>
    <w:basedOn w:val="1"/>
    <w:qFormat/>
    <w:uiPriority w:val="0"/>
    <w:pPr>
      <w:tabs>
        <w:tab w:val="left" w:pos="360"/>
        <w:tab w:val="left" w:pos="720"/>
      </w:tabs>
      <w:spacing w:before="156" w:beforeLines="50" w:after="156" w:afterLines="50" w:line="360" w:lineRule="auto"/>
      <w:ind w:left="720" w:hanging="360"/>
    </w:pPr>
    <w:rPr>
      <w:rFonts w:eastAsia="黑体"/>
      <w:sz w:val="24"/>
    </w:rPr>
  </w:style>
  <w:style w:type="paragraph" w:customStyle="1" w:styleId="214">
    <w:name w:val="xl63"/>
    <w:basedOn w:val="1"/>
    <w:qFormat/>
    <w:uiPriority w:val="0"/>
    <w:pPr>
      <w:widowControl/>
      <w:pBdr>
        <w:top w:val="single" w:color="auto" w:sz="4" w:space="0"/>
        <w:bottom w:val="single" w:color="auto" w:sz="4" w:space="0"/>
      </w:pBdr>
      <w:spacing w:before="100" w:beforeAutospacing="1" w:after="100" w:afterAutospacing="1"/>
      <w:jc w:val="center"/>
      <w:textAlignment w:val="bottom"/>
    </w:pPr>
    <w:rPr>
      <w:rFonts w:eastAsia="Arial Unicode MS"/>
      <w:b/>
      <w:bCs/>
      <w:color w:val="333399"/>
      <w:kern w:val="0"/>
      <w:sz w:val="24"/>
    </w:rPr>
  </w:style>
  <w:style w:type="paragraph" w:customStyle="1" w:styleId="215">
    <w:name w:val="*正文"/>
    <w:basedOn w:val="1"/>
    <w:link w:val="256"/>
    <w:qFormat/>
    <w:uiPriority w:val="0"/>
    <w:pPr>
      <w:widowControl/>
      <w:spacing w:line="360" w:lineRule="auto"/>
      <w:ind w:firstLine="200" w:firstLineChars="200"/>
      <w:jc w:val="left"/>
    </w:pPr>
    <w:rPr>
      <w:rFonts w:ascii="仿宋_GB2312"/>
      <w:kern w:val="0"/>
      <w:sz w:val="24"/>
      <w:szCs w:val="28"/>
    </w:rPr>
  </w:style>
  <w:style w:type="paragraph" w:customStyle="1" w:styleId="216">
    <w:name w:val="案例一级标题"/>
    <w:qFormat/>
    <w:uiPriority w:val="0"/>
    <w:pPr>
      <w:widowControl w:val="0"/>
      <w:autoSpaceDE w:val="0"/>
      <w:autoSpaceDN w:val="0"/>
      <w:adjustRightInd w:val="0"/>
      <w:spacing w:line="400" w:lineRule="atLeast"/>
      <w:ind w:firstLine="425"/>
      <w:jc w:val="both"/>
    </w:pPr>
    <w:rPr>
      <w:rFonts w:ascii="文鼎CS中黑" w:hAnsi="Times New Roman" w:eastAsia="文鼎CS中黑" w:cs="Times New Roman"/>
      <w:szCs w:val="24"/>
      <w:lang w:val="en-US" w:eastAsia="zh-CN" w:bidi="ar-SA"/>
    </w:rPr>
  </w:style>
  <w:style w:type="paragraph" w:customStyle="1" w:styleId="217">
    <w:name w:val="小标题"/>
    <w:basedOn w:val="1"/>
    <w:qFormat/>
    <w:uiPriority w:val="0"/>
    <w:pPr>
      <w:tabs>
        <w:tab w:val="left" w:pos="720"/>
      </w:tabs>
      <w:spacing w:before="120" w:after="120"/>
      <w:ind w:left="720" w:firstLine="454"/>
    </w:pPr>
    <w:rPr>
      <w:b/>
      <w:sz w:val="24"/>
      <w:szCs w:val="20"/>
    </w:rPr>
  </w:style>
  <w:style w:type="paragraph" w:customStyle="1" w:styleId="218">
    <w:name w:val="标题6"/>
    <w:basedOn w:val="1"/>
    <w:qFormat/>
    <w:uiPriority w:val="0"/>
    <w:pPr>
      <w:tabs>
        <w:tab w:val="left" w:pos="420"/>
      </w:tabs>
      <w:spacing w:line="480" w:lineRule="atLeast"/>
      <w:ind w:left="420" w:hanging="420"/>
      <w:jc w:val="left"/>
    </w:pPr>
    <w:rPr>
      <w:rFonts w:eastAsia="仿宋_GB2312"/>
      <w:spacing w:val="10"/>
      <w:sz w:val="30"/>
      <w:szCs w:val="20"/>
    </w:rPr>
  </w:style>
  <w:style w:type="paragraph" w:customStyle="1" w:styleId="219">
    <w:name w:val="自定义正文"/>
    <w:basedOn w:val="1"/>
    <w:qFormat/>
    <w:uiPriority w:val="0"/>
    <w:pPr>
      <w:spacing w:after="50" w:afterLines="50"/>
      <w:ind w:left="600" w:leftChars="600"/>
    </w:pPr>
  </w:style>
  <w:style w:type="paragraph" w:customStyle="1" w:styleId="220">
    <w:name w:val="首行缩进"/>
    <w:basedOn w:val="1"/>
    <w:qFormat/>
    <w:uiPriority w:val="0"/>
    <w:pPr>
      <w:ind w:firstLine="480" w:firstLineChars="200"/>
    </w:pPr>
    <w:rPr>
      <w:rFonts w:ascii="Tahoma" w:hAnsi="Tahoma"/>
      <w:sz w:val="24"/>
      <w:lang w:val="zh-CN"/>
    </w:rPr>
  </w:style>
  <w:style w:type="paragraph" w:customStyle="1" w:styleId="221">
    <w:name w:val="xl88"/>
    <w:basedOn w:val="1"/>
    <w:qFormat/>
    <w:uiPriority w:val="0"/>
    <w:pPr>
      <w:widowControl/>
      <w:pBdr>
        <w:top w:val="single" w:color="auto" w:sz="4" w:space="0"/>
        <w:left w:val="single" w:color="auto" w:sz="4" w:space="0"/>
        <w:bottom w:val="single" w:color="auto" w:sz="8" w:space="0"/>
        <w:right w:val="single" w:color="auto" w:sz="8" w:space="0"/>
      </w:pBdr>
      <w:shd w:val="clear" w:color="auto" w:fill="FFCC99"/>
      <w:spacing w:before="100" w:beforeAutospacing="1" w:after="100" w:afterAutospacing="1"/>
      <w:jc w:val="right"/>
      <w:textAlignment w:val="bottom"/>
    </w:pPr>
    <w:rPr>
      <w:rFonts w:hint="eastAsia" w:ascii="黑体" w:hAnsi="Arial Unicode MS" w:eastAsia="黑体" w:cs="Arial Unicode MS"/>
      <w:b/>
      <w:bCs/>
      <w:kern w:val="0"/>
      <w:sz w:val="24"/>
    </w:rPr>
  </w:style>
  <w:style w:type="paragraph" w:customStyle="1" w:styleId="222">
    <w:name w:val="xl84"/>
    <w:basedOn w:val="1"/>
    <w:qFormat/>
    <w:uiPriority w:val="0"/>
    <w:pPr>
      <w:widowControl/>
      <w:pBdr>
        <w:top w:val="single" w:color="auto" w:sz="8" w:space="0"/>
        <w:left w:val="single" w:color="auto" w:sz="4" w:space="0"/>
        <w:bottom w:val="single" w:color="auto" w:sz="4" w:space="0"/>
        <w:right w:val="single" w:color="auto" w:sz="8" w:space="0"/>
      </w:pBdr>
      <w:shd w:val="clear" w:color="auto" w:fill="99CCFF"/>
      <w:spacing w:before="100" w:beforeAutospacing="1" w:after="100" w:afterAutospacing="1"/>
      <w:jc w:val="center"/>
      <w:textAlignment w:val="bottom"/>
    </w:pPr>
    <w:rPr>
      <w:rFonts w:hint="eastAsia" w:ascii="黑体" w:hAnsi="Arial Unicode MS" w:eastAsia="黑体" w:cs="Arial Unicode MS"/>
      <w:kern w:val="0"/>
      <w:sz w:val="28"/>
      <w:szCs w:val="28"/>
    </w:rPr>
  </w:style>
  <w:style w:type="paragraph" w:customStyle="1" w:styleId="223">
    <w:name w:val="List Bulleted Item 2"/>
    <w:basedOn w:val="1"/>
    <w:qFormat/>
    <w:uiPriority w:val="0"/>
    <w:pPr>
      <w:widowControl/>
      <w:numPr>
        <w:ilvl w:val="0"/>
        <w:numId w:val="6"/>
      </w:numPr>
      <w:tabs>
        <w:tab w:val="left" w:pos="1410"/>
      </w:tabs>
      <w:spacing w:before="40" w:after="80" w:line="240" w:lineRule="exact"/>
      <w:ind w:left="1410"/>
      <w:jc w:val="left"/>
    </w:pPr>
    <w:rPr>
      <w:rFonts w:ascii="Arial" w:hAnsi="Arial"/>
      <w:kern w:val="0"/>
      <w:sz w:val="20"/>
      <w:szCs w:val="20"/>
      <w:lang w:eastAsia="en-US"/>
    </w:rPr>
  </w:style>
  <w:style w:type="paragraph" w:customStyle="1" w:styleId="224">
    <w:name w:val="xl8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Arial Unicode MS" w:hAnsi="Arial Unicode MS" w:eastAsia="Arial Unicode MS" w:cs="Arial Unicode MS"/>
      <w:kern w:val="0"/>
      <w:sz w:val="20"/>
      <w:szCs w:val="20"/>
    </w:rPr>
  </w:style>
  <w:style w:type="paragraph" w:customStyle="1" w:styleId="225">
    <w:name w:val="Char Char Char Char2"/>
    <w:basedOn w:val="1"/>
    <w:link w:val="273"/>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226">
    <w:name w:val="样式3"/>
    <w:basedOn w:val="1"/>
    <w:qFormat/>
    <w:uiPriority w:val="0"/>
    <w:pPr>
      <w:numPr>
        <w:ilvl w:val="2"/>
        <w:numId w:val="4"/>
      </w:numPr>
      <w:tabs>
        <w:tab w:val="left" w:pos="360"/>
        <w:tab w:val="left" w:pos="1080"/>
      </w:tabs>
      <w:spacing w:before="160" w:after="160" w:line="360" w:lineRule="auto"/>
    </w:pPr>
    <w:rPr>
      <w:b/>
      <w:sz w:val="30"/>
      <w:szCs w:val="20"/>
    </w:rPr>
  </w:style>
  <w:style w:type="paragraph" w:customStyle="1" w:styleId="227">
    <w:name w:val="xl4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pPr>
    <w:rPr>
      <w:rFonts w:ascii="Arial" w:hAnsi="Arial" w:eastAsia="Arial Unicode MS" w:cs="Arial"/>
      <w:kern w:val="0"/>
      <w:sz w:val="20"/>
      <w:szCs w:val="20"/>
    </w:rPr>
  </w:style>
  <w:style w:type="paragraph" w:customStyle="1" w:styleId="228">
    <w:name w:val="xl78"/>
    <w:basedOn w:val="1"/>
    <w:qFormat/>
    <w:uiPriority w:val="0"/>
    <w:pPr>
      <w:widowControl/>
      <w:pBdr>
        <w:top w:val="single" w:color="auto" w:sz="4" w:space="0"/>
        <w:bottom w:val="single" w:color="auto" w:sz="4" w:space="0"/>
      </w:pBdr>
      <w:shd w:val="clear" w:color="auto" w:fill="CCFFCC"/>
      <w:spacing w:before="100" w:beforeAutospacing="1" w:after="100" w:afterAutospacing="1"/>
      <w:textAlignment w:val="top"/>
    </w:pPr>
    <w:rPr>
      <w:rFonts w:ascii="Arial" w:hAnsi="Arial" w:eastAsia="Arial Unicode MS" w:cs="Arial"/>
      <w:kern w:val="0"/>
      <w:sz w:val="20"/>
      <w:szCs w:val="20"/>
    </w:rPr>
  </w:style>
  <w:style w:type="paragraph" w:customStyle="1" w:styleId="229">
    <w:name w:val="标题5"/>
    <w:basedOn w:val="7"/>
    <w:qFormat/>
    <w:uiPriority w:val="0"/>
    <w:pPr>
      <w:spacing w:before="156" w:after="156" w:line="180" w:lineRule="atLeast"/>
    </w:pPr>
    <w:rPr>
      <w:rFonts w:ascii="Times New Roman" w:hAnsi="Times New Roman" w:eastAsia="宋体"/>
      <w:b w:val="0"/>
      <w:bCs w:val="0"/>
      <w:sz w:val="24"/>
      <w:szCs w:val="20"/>
    </w:rPr>
  </w:style>
  <w:style w:type="paragraph" w:customStyle="1" w:styleId="230">
    <w:name w:val="xl53"/>
    <w:basedOn w:val="1"/>
    <w:qFormat/>
    <w:uiPriority w:val="0"/>
    <w:pPr>
      <w:widowControl/>
      <w:pBdr>
        <w:top w:val="single" w:color="auto" w:sz="4" w:space="0"/>
        <w:left w:val="single" w:color="auto" w:sz="4" w:space="0"/>
        <w:bottom w:val="single" w:color="auto" w:sz="4" w:space="0"/>
        <w:right w:val="single" w:color="auto" w:sz="8" w:space="0"/>
      </w:pBdr>
      <w:shd w:val="clear" w:color="auto" w:fill="CCFFCC"/>
      <w:spacing w:before="100" w:beforeAutospacing="1" w:after="100" w:afterAutospacing="1"/>
      <w:jc w:val="left"/>
    </w:pPr>
    <w:rPr>
      <w:rFonts w:ascii="Arial Unicode MS" w:hAnsi="Arial Unicode MS" w:eastAsia="Arial Unicode MS" w:cs="Arial Unicode MS"/>
      <w:kern w:val="0"/>
      <w:sz w:val="24"/>
    </w:rPr>
  </w:style>
  <w:style w:type="character" w:customStyle="1" w:styleId="231">
    <w:name w:val="active6"/>
    <w:qFormat/>
    <w:uiPriority w:val="0"/>
    <w:rPr>
      <w:color w:val="FFFFFF"/>
    </w:rPr>
  </w:style>
  <w:style w:type="character" w:customStyle="1" w:styleId="232">
    <w:name w:val="正文文本首行缩进 2 字符1"/>
    <w:basedOn w:val="233"/>
    <w:link w:val="47"/>
    <w:qFormat/>
    <w:uiPriority w:val="0"/>
    <w:rPr>
      <w:rFonts w:ascii="Times New Roman" w:hAnsi="Times New Roman"/>
      <w:kern w:val="2"/>
      <w:sz w:val="21"/>
      <w:szCs w:val="24"/>
    </w:rPr>
  </w:style>
  <w:style w:type="character" w:customStyle="1" w:styleId="233">
    <w:name w:val="正文文本缩进 字符1"/>
    <w:link w:val="22"/>
    <w:qFormat/>
    <w:uiPriority w:val="0"/>
    <w:rPr>
      <w:kern w:val="2"/>
      <w:sz w:val="21"/>
      <w:szCs w:val="24"/>
    </w:rPr>
  </w:style>
  <w:style w:type="character" w:customStyle="1" w:styleId="234">
    <w:name w:val="Ｒ07-!正! Char Char"/>
    <w:link w:val="99"/>
    <w:qFormat/>
    <w:uiPriority w:val="0"/>
    <w:rPr>
      <w:rFonts w:ascii="宋体" w:hAnsi="宋体" w:cs="宋体"/>
      <w:spacing w:val="8"/>
      <w:sz w:val="24"/>
      <w:szCs w:val="24"/>
    </w:rPr>
  </w:style>
  <w:style w:type="character" w:customStyle="1" w:styleId="235">
    <w:name w:val="页脚 字符"/>
    <w:qFormat/>
    <w:uiPriority w:val="0"/>
    <w:rPr>
      <w:kern w:val="2"/>
      <w:sz w:val="18"/>
      <w:szCs w:val="18"/>
    </w:rPr>
  </w:style>
  <w:style w:type="character" w:customStyle="1" w:styleId="236">
    <w:name w:val="批注框文本 字符1"/>
    <w:qFormat/>
    <w:uiPriority w:val="0"/>
    <w:rPr>
      <w:rFonts w:ascii="Verdana" w:hAnsi="Verdana" w:eastAsia="仿宋_GB2312"/>
      <w:kern w:val="2"/>
      <w:sz w:val="18"/>
      <w:szCs w:val="18"/>
      <w:lang w:eastAsia="en-US"/>
    </w:rPr>
  </w:style>
  <w:style w:type="character" w:customStyle="1" w:styleId="237">
    <w:name w:val="标题 3 Char"/>
    <w:qFormat/>
    <w:uiPriority w:val="0"/>
    <w:rPr>
      <w:rFonts w:ascii="黑体" w:eastAsia="黑体"/>
      <w:bCs/>
      <w:sz w:val="30"/>
    </w:rPr>
  </w:style>
  <w:style w:type="character" w:customStyle="1" w:styleId="238">
    <w:name w:val="font81"/>
    <w:qFormat/>
    <w:uiPriority w:val="0"/>
    <w:rPr>
      <w:rFonts w:hint="eastAsia" w:ascii="宋体" w:hAnsi="宋体" w:eastAsia="宋体" w:cs="宋体"/>
      <w:color w:val="000000"/>
      <w:sz w:val="20"/>
      <w:szCs w:val="20"/>
      <w:u w:val="none"/>
    </w:rPr>
  </w:style>
  <w:style w:type="character" w:customStyle="1" w:styleId="239">
    <w:name w:val="hilite6"/>
    <w:qFormat/>
    <w:uiPriority w:val="0"/>
    <w:rPr>
      <w:color w:val="000000"/>
    </w:rPr>
  </w:style>
  <w:style w:type="character" w:customStyle="1" w:styleId="240">
    <w:name w:val="content1"/>
    <w:qFormat/>
    <w:uiPriority w:val="0"/>
    <w:rPr>
      <w:rFonts w:hint="default" w:ascii="ˎ̥" w:hAnsi="ˎ̥"/>
      <w:color w:val="000000"/>
      <w:sz w:val="22"/>
      <w:u w:val="none"/>
    </w:rPr>
  </w:style>
  <w:style w:type="character" w:customStyle="1" w:styleId="241">
    <w:name w:val="批注主题 字符"/>
    <w:qFormat/>
    <w:uiPriority w:val="0"/>
    <w:rPr>
      <w:rFonts w:ascii="宋体" w:hAnsi="Verdana" w:eastAsia="仿宋_GB2312"/>
      <w:b/>
      <w:bCs/>
      <w:kern w:val="2"/>
      <w:sz w:val="21"/>
      <w:szCs w:val="24"/>
      <w:lang w:eastAsia="en-US"/>
    </w:rPr>
  </w:style>
  <w:style w:type="character" w:customStyle="1" w:styleId="242">
    <w:name w:val="页脚 Char"/>
    <w:qFormat/>
    <w:uiPriority w:val="0"/>
    <w:rPr>
      <w:rFonts w:ascii="Arial" w:hAnsi="Arial" w:eastAsia="楷体_GB2312"/>
      <w:sz w:val="18"/>
      <w:szCs w:val="18"/>
      <w:lang w:val="en-US" w:eastAsia="zh-CN" w:bidi="ar-SA"/>
    </w:rPr>
  </w:style>
  <w:style w:type="character" w:customStyle="1" w:styleId="243">
    <w:name w:val="apple-style-span"/>
    <w:basedOn w:val="50"/>
    <w:qFormat/>
    <w:uiPriority w:val="0"/>
  </w:style>
  <w:style w:type="character" w:customStyle="1" w:styleId="244">
    <w:name w:val="纯文本 字符"/>
    <w:link w:val="26"/>
    <w:qFormat/>
    <w:uiPriority w:val="99"/>
    <w:rPr>
      <w:rFonts w:ascii="宋体" w:hAnsi="Courier New"/>
      <w:kern w:val="2"/>
      <w:sz w:val="21"/>
    </w:rPr>
  </w:style>
  <w:style w:type="character" w:customStyle="1" w:styleId="245">
    <w:name w:val="正文缩进 字符2"/>
    <w:link w:val="10"/>
    <w:qFormat/>
    <w:uiPriority w:val="0"/>
    <w:rPr>
      <w:rFonts w:eastAsia="宋体"/>
      <w:kern w:val="2"/>
      <w:sz w:val="21"/>
      <w:lang w:val="en-US" w:eastAsia="zh-CN" w:bidi="ar-SA"/>
    </w:rPr>
  </w:style>
  <w:style w:type="character" w:customStyle="1" w:styleId="246">
    <w:name w:val="标题 3 字符"/>
    <w:qFormat/>
    <w:uiPriority w:val="0"/>
    <w:rPr>
      <w:rFonts w:ascii="宋体" w:hAnsi="宋体"/>
      <w:b/>
      <w:bCs/>
      <w:kern w:val="2"/>
      <w:sz w:val="28"/>
      <w:szCs w:val="32"/>
    </w:rPr>
  </w:style>
  <w:style w:type="character" w:customStyle="1" w:styleId="247">
    <w:name w:val="正文文本缩进 字符"/>
    <w:qFormat/>
    <w:uiPriority w:val="0"/>
    <w:rPr>
      <w:kern w:val="2"/>
      <w:sz w:val="21"/>
      <w:szCs w:val="24"/>
    </w:rPr>
  </w:style>
  <w:style w:type="character" w:customStyle="1" w:styleId="248">
    <w:name w:val="正文文本 字符"/>
    <w:qFormat/>
    <w:uiPriority w:val="0"/>
    <w:rPr>
      <w:rFonts w:ascii="Verdana" w:hAnsi="Verdana" w:eastAsia="仿宋_GB2312"/>
      <w:b/>
      <w:bCs/>
      <w:kern w:val="2"/>
      <w:sz w:val="24"/>
      <w:szCs w:val="24"/>
      <w:lang w:eastAsia="en-US"/>
    </w:rPr>
  </w:style>
  <w:style w:type="character" w:customStyle="1" w:styleId="249">
    <w:name w:val="hilite"/>
    <w:qFormat/>
    <w:uiPriority w:val="0"/>
    <w:rPr>
      <w:color w:val="000000"/>
    </w:rPr>
  </w:style>
  <w:style w:type="character" w:customStyle="1" w:styleId="250">
    <w:name w:val="页脚 Char1"/>
    <w:qFormat/>
    <w:uiPriority w:val="0"/>
    <w:rPr>
      <w:kern w:val="2"/>
      <w:sz w:val="18"/>
      <w:szCs w:val="18"/>
    </w:rPr>
  </w:style>
  <w:style w:type="character" w:customStyle="1" w:styleId="251">
    <w:name w:val="font31"/>
    <w:qFormat/>
    <w:uiPriority w:val="0"/>
    <w:rPr>
      <w:rFonts w:hint="eastAsia" w:ascii="宋体" w:hAnsi="宋体" w:eastAsia="宋体" w:cs="宋体"/>
      <w:color w:val="000000"/>
      <w:sz w:val="20"/>
      <w:szCs w:val="20"/>
      <w:u w:val="none"/>
    </w:rPr>
  </w:style>
  <w:style w:type="character" w:customStyle="1" w:styleId="252">
    <w:name w:val="标题 3 字符1"/>
    <w:link w:val="6"/>
    <w:qFormat/>
    <w:uiPriority w:val="0"/>
    <w:rPr>
      <w:rFonts w:ascii="宋体" w:hAnsi="宋体" w:eastAsia="宋体"/>
      <w:b/>
      <w:bCs/>
      <w:kern w:val="2"/>
      <w:sz w:val="28"/>
      <w:szCs w:val="32"/>
      <w:lang w:val="en-US" w:eastAsia="zh-CN" w:bidi="ar-SA"/>
    </w:rPr>
  </w:style>
  <w:style w:type="character" w:customStyle="1" w:styleId="253">
    <w:name w:val="页脚 字符1"/>
    <w:link w:val="31"/>
    <w:qFormat/>
    <w:uiPriority w:val="0"/>
    <w:rPr>
      <w:kern w:val="2"/>
      <w:sz w:val="18"/>
      <w:szCs w:val="18"/>
    </w:rPr>
  </w:style>
  <w:style w:type="character" w:customStyle="1" w:styleId="254">
    <w:name w:val="消息标题号"/>
    <w:qFormat/>
    <w:uiPriority w:val="0"/>
    <w:rPr>
      <w:rFonts w:ascii="Arial" w:hAnsi="Arial" w:eastAsia="楷体_GB2312"/>
      <w:b/>
      <w:bCs/>
      <w:spacing w:val="-4"/>
      <w:sz w:val="18"/>
      <w:szCs w:val="18"/>
      <w:lang w:eastAsia="zh-CN"/>
    </w:rPr>
  </w:style>
  <w:style w:type="character" w:customStyle="1" w:styleId="255">
    <w:name w:val="hilite5"/>
    <w:qFormat/>
    <w:uiPriority w:val="0"/>
    <w:rPr>
      <w:color w:val="000000"/>
    </w:rPr>
  </w:style>
  <w:style w:type="character" w:customStyle="1" w:styleId="256">
    <w:name w:val="*正文 Char"/>
    <w:link w:val="215"/>
    <w:qFormat/>
    <w:uiPriority w:val="0"/>
    <w:rPr>
      <w:rFonts w:ascii="仿宋_GB2312"/>
      <w:sz w:val="24"/>
      <w:szCs w:val="28"/>
    </w:rPr>
  </w:style>
  <w:style w:type="character" w:customStyle="1" w:styleId="257">
    <w:name w:val="p12"/>
    <w:basedOn w:val="50"/>
    <w:qFormat/>
    <w:uiPriority w:val="0"/>
  </w:style>
  <w:style w:type="character" w:customStyle="1" w:styleId="258">
    <w:name w:val="文档结构图 字符1"/>
    <w:link w:val="17"/>
    <w:qFormat/>
    <w:uiPriority w:val="0"/>
    <w:rPr>
      <w:kern w:val="2"/>
      <w:sz w:val="21"/>
      <w:szCs w:val="24"/>
      <w:shd w:val="clear" w:color="auto" w:fill="000080"/>
    </w:rPr>
  </w:style>
  <w:style w:type="character" w:customStyle="1" w:styleId="259">
    <w:name w:val="批注框文本 字符2"/>
    <w:link w:val="30"/>
    <w:qFormat/>
    <w:uiPriority w:val="0"/>
    <w:rPr>
      <w:rFonts w:ascii="Verdana" w:hAnsi="Verdana" w:eastAsia="仿宋_GB2312"/>
      <w:kern w:val="2"/>
      <w:sz w:val="18"/>
      <w:szCs w:val="18"/>
      <w:lang w:eastAsia="en-US"/>
    </w:rPr>
  </w:style>
  <w:style w:type="character" w:customStyle="1" w:styleId="260">
    <w:name w:val="font01"/>
    <w:qFormat/>
    <w:uiPriority w:val="0"/>
    <w:rPr>
      <w:rFonts w:hint="eastAsia" w:ascii="宋体" w:hAnsi="宋体" w:eastAsia="宋体" w:cs="宋体"/>
      <w:b/>
      <w:color w:val="FF0000"/>
      <w:sz w:val="22"/>
      <w:szCs w:val="22"/>
      <w:u w:val="none"/>
    </w:rPr>
  </w:style>
  <w:style w:type="character" w:customStyle="1" w:styleId="261">
    <w:name w:val="批注主题 字符1"/>
    <w:link w:val="45"/>
    <w:qFormat/>
    <w:uiPriority w:val="0"/>
    <w:rPr>
      <w:rFonts w:ascii="宋体" w:hAnsi="Verdana" w:eastAsia="仿宋_GB2312"/>
      <w:b/>
      <w:bCs/>
      <w:kern w:val="2"/>
      <w:sz w:val="21"/>
      <w:szCs w:val="24"/>
      <w:lang w:eastAsia="en-US"/>
    </w:rPr>
  </w:style>
  <w:style w:type="character" w:customStyle="1" w:styleId="262">
    <w:name w:val="批注框文本 字符"/>
    <w:qFormat/>
    <w:uiPriority w:val="0"/>
    <w:rPr>
      <w:rFonts w:eastAsia="宋体"/>
      <w:kern w:val="2"/>
      <w:sz w:val="18"/>
      <w:szCs w:val="18"/>
      <w:lang w:val="en-US" w:eastAsia="zh-CN" w:bidi="ar-SA"/>
    </w:rPr>
  </w:style>
  <w:style w:type="character" w:customStyle="1" w:styleId="263">
    <w:name w:val="标题 2 Char1"/>
    <w:qFormat/>
    <w:uiPriority w:val="9"/>
    <w:rPr>
      <w:bCs/>
      <w:sz w:val="24"/>
    </w:rPr>
  </w:style>
  <w:style w:type="character" w:customStyle="1" w:styleId="264">
    <w:name w:val="标题 1 字符1"/>
    <w:link w:val="4"/>
    <w:qFormat/>
    <w:uiPriority w:val="0"/>
    <w:rPr>
      <w:rFonts w:ascii="宋体" w:hAnsi="宋体" w:eastAsia="黑体"/>
      <w:b/>
      <w:bCs/>
      <w:kern w:val="44"/>
      <w:sz w:val="28"/>
      <w:szCs w:val="44"/>
      <w:lang w:val="en-US" w:eastAsia="zh-CN" w:bidi="ar-SA"/>
    </w:rPr>
  </w:style>
  <w:style w:type="character" w:customStyle="1" w:styleId="265">
    <w:name w:val="font61"/>
    <w:qFormat/>
    <w:uiPriority w:val="0"/>
    <w:rPr>
      <w:rFonts w:hint="eastAsia" w:ascii="宋体" w:hAnsi="宋体" w:eastAsia="宋体" w:cs="宋体"/>
      <w:color w:val="000000"/>
      <w:sz w:val="18"/>
      <w:szCs w:val="18"/>
      <w:u w:val="none"/>
    </w:rPr>
  </w:style>
  <w:style w:type="character" w:customStyle="1" w:styleId="266">
    <w:name w:val="hilite4"/>
    <w:qFormat/>
    <w:uiPriority w:val="0"/>
    <w:rPr>
      <w:color w:val="000000"/>
    </w:rPr>
  </w:style>
  <w:style w:type="character" w:customStyle="1" w:styleId="267">
    <w:name w:val="正文缩进 字符1"/>
    <w:qFormat/>
    <w:uiPriority w:val="0"/>
    <w:rPr>
      <w:rFonts w:eastAsia="宋体"/>
      <w:kern w:val="2"/>
      <w:sz w:val="21"/>
      <w:lang w:val="en-US" w:eastAsia="zh-CN" w:bidi="ar-SA"/>
    </w:rPr>
  </w:style>
  <w:style w:type="character" w:customStyle="1" w:styleId="268">
    <w:name w:val="active"/>
    <w:qFormat/>
    <w:uiPriority w:val="0"/>
    <w:rPr>
      <w:color w:val="FFFFFF"/>
    </w:rPr>
  </w:style>
  <w:style w:type="character" w:customStyle="1" w:styleId="269">
    <w:name w:val="NormalCharacter"/>
    <w:semiHidden/>
    <w:qFormat/>
    <w:uiPriority w:val="0"/>
    <w:rPr>
      <w:kern w:val="2"/>
      <w:sz w:val="21"/>
      <w:szCs w:val="24"/>
      <w:lang w:val="en-US" w:eastAsia="zh-CN" w:bidi="ar-SA"/>
    </w:rPr>
  </w:style>
  <w:style w:type="character" w:customStyle="1" w:styleId="270">
    <w:name w:val="文档结构图 字符"/>
    <w:qFormat/>
    <w:uiPriority w:val="0"/>
    <w:rPr>
      <w:kern w:val="2"/>
      <w:sz w:val="21"/>
      <w:szCs w:val="24"/>
      <w:shd w:val="clear" w:color="auto" w:fill="000080"/>
    </w:rPr>
  </w:style>
  <w:style w:type="character" w:customStyle="1" w:styleId="271">
    <w:name w:val="标题 1 字符"/>
    <w:qFormat/>
    <w:uiPriority w:val="0"/>
    <w:rPr>
      <w:rFonts w:ascii="宋体" w:hAnsi="宋体" w:eastAsia="黑体"/>
      <w:b/>
      <w:bCs/>
      <w:kern w:val="44"/>
      <w:sz w:val="28"/>
      <w:szCs w:val="44"/>
      <w:lang w:val="en-US" w:eastAsia="zh-CN" w:bidi="ar-SA"/>
    </w:rPr>
  </w:style>
  <w:style w:type="character" w:customStyle="1" w:styleId="272">
    <w:name w:val="正文文本首行缩进 字符"/>
    <w:link w:val="76"/>
    <w:qFormat/>
    <w:uiPriority w:val="0"/>
    <w:rPr>
      <w:rFonts w:ascii="Verdana" w:hAnsi="Verdana" w:eastAsia="仿宋_GB2312"/>
      <w:kern w:val="2"/>
      <w:sz w:val="21"/>
      <w:szCs w:val="24"/>
      <w:lang w:eastAsia="en-US"/>
    </w:rPr>
  </w:style>
  <w:style w:type="character" w:customStyle="1" w:styleId="273">
    <w:name w:val="Char Char Char Char Char Char"/>
    <w:link w:val="225"/>
    <w:qFormat/>
    <w:uiPriority w:val="0"/>
    <w:rPr>
      <w:rFonts w:ascii="Verdana" w:hAnsi="Verdana" w:eastAsia="仿宋_GB2312"/>
      <w:sz w:val="24"/>
      <w:lang w:eastAsia="en-US"/>
    </w:rPr>
  </w:style>
  <w:style w:type="character" w:customStyle="1" w:styleId="274">
    <w:name w:val="Default Char"/>
    <w:link w:val="164"/>
    <w:qFormat/>
    <w:uiPriority w:val="0"/>
    <w:rPr>
      <w:rFonts w:ascii="宋体" w:hAnsi="宋体" w:cs="宋体"/>
      <w:color w:val="000000"/>
      <w:sz w:val="24"/>
      <w:szCs w:val="24"/>
      <w:lang w:val="en-US" w:eastAsia="zh-CN" w:bidi="ar-SA"/>
    </w:rPr>
  </w:style>
  <w:style w:type="character" w:customStyle="1" w:styleId="275">
    <w:name w:val="标题 2 Char Char"/>
    <w:qFormat/>
    <w:uiPriority w:val="0"/>
    <w:rPr>
      <w:rFonts w:ascii="Arial" w:hAnsi="Arial" w:eastAsia="黑体"/>
      <w:bCs/>
      <w:kern w:val="2"/>
      <w:sz w:val="28"/>
      <w:szCs w:val="32"/>
      <w:lang w:val="en-US" w:eastAsia="zh-CN" w:bidi="ar-SA"/>
    </w:rPr>
  </w:style>
  <w:style w:type="character" w:customStyle="1" w:styleId="276">
    <w:name w:val="inline-help"/>
    <w:basedOn w:val="50"/>
    <w:qFormat/>
    <w:uiPriority w:val="0"/>
  </w:style>
  <w:style w:type="character" w:customStyle="1" w:styleId="277">
    <w:name w:val="批注文字 字符1"/>
    <w:link w:val="18"/>
    <w:qFormat/>
    <w:uiPriority w:val="0"/>
    <w:rPr>
      <w:rFonts w:ascii="宋体" w:hAnsi="Verdana" w:eastAsia="仿宋_GB2312"/>
      <w:sz w:val="34"/>
    </w:rPr>
  </w:style>
  <w:style w:type="character" w:customStyle="1" w:styleId="278">
    <w:name w:val="fielderror"/>
    <w:qFormat/>
    <w:uiPriority w:val="0"/>
    <w:rPr>
      <w:color w:val="800000"/>
    </w:rPr>
  </w:style>
  <w:style w:type="character" w:customStyle="1" w:styleId="279">
    <w:name w:val="称呼 字符"/>
    <w:qFormat/>
    <w:uiPriority w:val="0"/>
    <w:rPr>
      <w:rFonts w:ascii="Verdana" w:hAnsi="Verdana" w:eastAsia="仿宋_GB2312"/>
      <w:kern w:val="2"/>
      <w:sz w:val="24"/>
      <w:szCs w:val="20"/>
      <w:lang w:eastAsia="en-US"/>
    </w:rPr>
  </w:style>
  <w:style w:type="character" w:customStyle="1" w:styleId="280">
    <w:name w:val="标题 2 字符1"/>
    <w:link w:val="5"/>
    <w:qFormat/>
    <w:uiPriority w:val="0"/>
    <w:rPr>
      <w:bCs/>
      <w:sz w:val="24"/>
    </w:rPr>
  </w:style>
  <w:style w:type="character" w:customStyle="1" w:styleId="281">
    <w:name w:val="font51"/>
    <w:qFormat/>
    <w:uiPriority w:val="0"/>
    <w:rPr>
      <w:rFonts w:hint="eastAsia" w:ascii="宋体" w:hAnsi="宋体" w:eastAsia="宋体" w:cs="宋体"/>
      <w:color w:val="000000"/>
      <w:sz w:val="18"/>
      <w:szCs w:val="18"/>
      <w:u w:val="none"/>
    </w:rPr>
  </w:style>
  <w:style w:type="character" w:customStyle="1" w:styleId="282">
    <w:name w:val="bodycopy1"/>
    <w:qFormat/>
    <w:uiPriority w:val="0"/>
    <w:rPr>
      <w:rFonts w:hint="default" w:ascii="Arial" w:hAnsi="Arial"/>
      <w:color w:val="000000"/>
      <w:sz w:val="18"/>
      <w:u w:val="none"/>
    </w:rPr>
  </w:style>
  <w:style w:type="character" w:customStyle="1" w:styleId="283">
    <w:name w:val="正文文本 字符1"/>
    <w:link w:val="2"/>
    <w:qFormat/>
    <w:uiPriority w:val="0"/>
    <w:rPr>
      <w:rFonts w:ascii="Verdana" w:hAnsi="Verdana" w:eastAsia="仿宋_GB2312"/>
      <w:b/>
      <w:bCs/>
      <w:kern w:val="2"/>
      <w:sz w:val="24"/>
      <w:szCs w:val="24"/>
      <w:lang w:eastAsia="en-US"/>
    </w:rPr>
  </w:style>
  <w:style w:type="character" w:customStyle="1" w:styleId="284">
    <w:name w:val="font71"/>
    <w:qFormat/>
    <w:uiPriority w:val="0"/>
    <w:rPr>
      <w:rFonts w:hint="eastAsia" w:ascii="宋体" w:hAnsi="宋体" w:eastAsia="宋体" w:cs="宋体"/>
      <w:color w:val="000000"/>
      <w:sz w:val="16"/>
      <w:szCs w:val="16"/>
      <w:u w:val="none"/>
    </w:rPr>
  </w:style>
  <w:style w:type="character" w:customStyle="1" w:styleId="285">
    <w:name w:val="text_edit editable-title"/>
    <w:basedOn w:val="50"/>
    <w:qFormat/>
    <w:uiPriority w:val="0"/>
  </w:style>
  <w:style w:type="character" w:customStyle="1" w:styleId="286">
    <w:name w:val="正文文本首行缩进 字符1"/>
    <w:link w:val="46"/>
    <w:qFormat/>
    <w:uiPriority w:val="0"/>
    <w:rPr>
      <w:rFonts w:ascii="Verdana" w:hAnsi="Verdana" w:eastAsia="仿宋_GB2312"/>
      <w:kern w:val="2"/>
      <w:sz w:val="21"/>
      <w:szCs w:val="24"/>
      <w:lang w:eastAsia="en-US"/>
    </w:rPr>
  </w:style>
  <w:style w:type="character" w:customStyle="1" w:styleId="287">
    <w:name w:val="批注文字 字符"/>
    <w:qFormat/>
    <w:uiPriority w:val="0"/>
    <w:rPr>
      <w:rFonts w:ascii="宋体" w:hAnsi="Verdana" w:eastAsia="仿宋_GB2312"/>
      <w:kern w:val="0"/>
      <w:sz w:val="34"/>
      <w:szCs w:val="20"/>
      <w:lang w:eastAsia="en-US"/>
    </w:rPr>
  </w:style>
  <w:style w:type="character" w:customStyle="1" w:styleId="288">
    <w:name w:val="active4"/>
    <w:qFormat/>
    <w:uiPriority w:val="0"/>
    <w:rPr>
      <w:color w:val="FFFFFF"/>
    </w:rPr>
  </w:style>
  <w:style w:type="character" w:customStyle="1" w:styleId="289">
    <w:name w:val="v91"/>
    <w:qFormat/>
    <w:uiPriority w:val="0"/>
    <w:rPr>
      <w:sz w:val="18"/>
      <w:szCs w:val="18"/>
    </w:rPr>
  </w:style>
  <w:style w:type="character" w:customStyle="1" w:styleId="290">
    <w:name w:val="headline-content2"/>
    <w:basedOn w:val="50"/>
    <w:qFormat/>
    <w:uiPriority w:val="0"/>
  </w:style>
  <w:style w:type="character" w:customStyle="1" w:styleId="291">
    <w:name w:val="正文文本首行缩进 2 字符"/>
    <w:qFormat/>
    <w:uiPriority w:val="0"/>
  </w:style>
  <w:style w:type="character" w:customStyle="1" w:styleId="292">
    <w:name w:val="标题 2 字符"/>
    <w:qFormat/>
    <w:uiPriority w:val="9"/>
    <w:rPr>
      <w:bCs/>
      <w:sz w:val="24"/>
    </w:rPr>
  </w:style>
  <w:style w:type="character" w:customStyle="1" w:styleId="293">
    <w:name w:val="标题 4 字符1"/>
    <w:link w:val="7"/>
    <w:qFormat/>
    <w:uiPriority w:val="0"/>
    <w:rPr>
      <w:rFonts w:ascii="Arial" w:hAnsi="Arial" w:eastAsia="黑体"/>
      <w:b/>
      <w:bCs/>
      <w:kern w:val="2"/>
      <w:sz w:val="28"/>
      <w:szCs w:val="28"/>
      <w:lang w:val="en-US" w:eastAsia="zh-CN" w:bidi="ar-SA"/>
    </w:rPr>
  </w:style>
  <w:style w:type="character" w:customStyle="1" w:styleId="294">
    <w:name w:val="正文缩进 字符"/>
    <w:qFormat/>
    <w:uiPriority w:val="0"/>
    <w:rPr>
      <w:rFonts w:ascii="Arial" w:hAnsi="Arial" w:eastAsia="宋体"/>
      <w:kern w:val="2"/>
      <w:sz w:val="21"/>
      <w:szCs w:val="24"/>
      <w:lang w:val="en-US" w:eastAsia="zh-CN" w:bidi="ar-SA"/>
    </w:rPr>
  </w:style>
  <w:style w:type="character" w:customStyle="1" w:styleId="295">
    <w:name w:val="称呼 字符1"/>
    <w:link w:val="20"/>
    <w:qFormat/>
    <w:uiPriority w:val="0"/>
    <w:rPr>
      <w:rFonts w:ascii="Verdana" w:hAnsi="Verdana" w:eastAsia="仿宋_GB2312"/>
      <w:kern w:val="2"/>
      <w:sz w:val="24"/>
      <w:szCs w:val="20"/>
      <w:lang w:eastAsia="en-US"/>
    </w:rPr>
  </w:style>
  <w:style w:type="character" w:customStyle="1" w:styleId="296">
    <w:name w:val="三级 Char"/>
    <w:link w:val="172"/>
    <w:qFormat/>
    <w:uiPriority w:val="0"/>
    <w:rPr>
      <w:rFonts w:ascii="宋体" w:hAnsi="宋体"/>
      <w:kern w:val="2"/>
      <w:sz w:val="21"/>
      <w:szCs w:val="21"/>
    </w:rPr>
  </w:style>
  <w:style w:type="character" w:customStyle="1" w:styleId="297">
    <w:name w:val="标题 4 字符"/>
    <w:qFormat/>
    <w:uiPriority w:val="0"/>
    <w:rPr>
      <w:rFonts w:ascii="Arial" w:hAnsi="Arial" w:eastAsia="黑体"/>
      <w:b/>
      <w:bCs/>
      <w:kern w:val="2"/>
      <w:sz w:val="28"/>
      <w:szCs w:val="28"/>
      <w:lang w:val="en-US" w:eastAsia="zh-CN" w:bidi="ar-SA"/>
    </w:rPr>
  </w:style>
  <w:style w:type="character" w:customStyle="1" w:styleId="298">
    <w:name w:val="font41"/>
    <w:qFormat/>
    <w:uiPriority w:val="0"/>
    <w:rPr>
      <w:rFonts w:hint="eastAsia" w:ascii="宋体" w:hAnsi="宋体" w:eastAsia="宋体" w:cs="宋体"/>
      <w:color w:val="000000"/>
      <w:sz w:val="20"/>
      <w:szCs w:val="20"/>
      <w:u w:val="none"/>
    </w:rPr>
  </w:style>
  <w:style w:type="character" w:customStyle="1" w:styleId="299">
    <w:name w:val="main1"/>
    <w:qFormat/>
    <w:uiPriority w:val="0"/>
    <w:rPr>
      <w:color w:val="333333"/>
      <w:sz w:val="24"/>
      <w:szCs w:val="24"/>
    </w:rPr>
  </w:style>
  <w:style w:type="character" w:customStyle="1" w:styleId="300">
    <w:name w:val="标题 2 Char"/>
    <w:qFormat/>
    <w:uiPriority w:val="0"/>
    <w:rPr>
      <w:rFonts w:ascii="Arial" w:hAnsi="Arial" w:eastAsia="黑体"/>
      <w:b/>
      <w:bCs/>
      <w:kern w:val="2"/>
      <w:sz w:val="32"/>
      <w:szCs w:val="32"/>
      <w:lang w:val="en-US" w:eastAsia="zh-CN" w:bidi="ar-SA"/>
    </w:rPr>
  </w:style>
  <w:style w:type="character" w:customStyle="1" w:styleId="301">
    <w:name w:val="font21"/>
    <w:qFormat/>
    <w:uiPriority w:val="0"/>
    <w:rPr>
      <w:rFonts w:hint="eastAsia" w:ascii="宋体" w:hAnsi="宋体" w:eastAsia="宋体" w:cs="宋体"/>
      <w:b/>
      <w:color w:val="FF0000"/>
      <w:sz w:val="20"/>
      <w:szCs w:val="20"/>
      <w:u w:val="none"/>
    </w:rPr>
  </w:style>
  <w:style w:type="paragraph" w:styleId="302">
    <w:name w:val="List Paragraph"/>
    <w:basedOn w:val="1"/>
    <w:qFormat/>
    <w:uiPriority w:val="34"/>
    <w:pPr>
      <w:ind w:firstLine="420" w:firstLineChars="200"/>
    </w:pPr>
  </w:style>
  <w:style w:type="paragraph" w:customStyle="1" w:styleId="303">
    <w:name w:val="修订1"/>
    <w:hidden/>
    <w:semiHidden/>
    <w:qFormat/>
    <w:uiPriority w:val="99"/>
    <w:rPr>
      <w:rFonts w:ascii="Times New Roman" w:hAnsi="Times New Roman" w:eastAsia="宋体" w:cs="Times New Roman"/>
      <w:kern w:val="2"/>
      <w:sz w:val="21"/>
      <w:szCs w:val="24"/>
      <w:lang w:val="en-US" w:eastAsia="zh-CN" w:bidi="ar-SA"/>
    </w:rPr>
  </w:style>
  <w:style w:type="paragraph" w:customStyle="1" w:styleId="304">
    <w:name w:val="Revision"/>
    <w:hidden/>
    <w:unhideWhenUsed/>
    <w:qFormat/>
    <w:uiPriority w:val="99"/>
    <w:rPr>
      <w:rFonts w:ascii="Times New Roman" w:hAnsi="Times New Roman" w:eastAsia="宋体" w:cs="Times New Roman"/>
      <w:kern w:val="2"/>
      <w:sz w:val="21"/>
      <w:szCs w:val="24"/>
      <w:lang w:val="en-US" w:eastAsia="zh-CN" w:bidi="ar-SA"/>
    </w:rPr>
  </w:style>
  <w:style w:type="character" w:customStyle="1" w:styleId="305">
    <w:name w:val="font91"/>
    <w:qFormat/>
    <w:uiPriority w:val="0"/>
    <w:rPr>
      <w:rFonts w:hint="eastAsia" w:ascii="宋体" w:hAnsi="宋体" w:eastAsia="宋体" w:cs="宋体"/>
      <w:b/>
      <w:bCs/>
      <w:color w:val="FF0000"/>
      <w:sz w:val="20"/>
      <w:szCs w:val="20"/>
      <w:u w:val="none"/>
    </w:rPr>
  </w:style>
  <w:style w:type="character" w:customStyle="1" w:styleId="306">
    <w:name w:val="font101"/>
    <w:qFormat/>
    <w:uiPriority w:val="0"/>
    <w:rPr>
      <w:rFonts w:hint="eastAsia" w:ascii="宋体" w:hAnsi="宋体" w:eastAsia="宋体" w:cs="宋体"/>
      <w:color w:val="FF0000"/>
      <w:sz w:val="20"/>
      <w:szCs w:val="20"/>
      <w:u w:val="none"/>
    </w:rPr>
  </w:style>
  <w:style w:type="table" w:customStyle="1" w:styleId="307">
    <w:name w:val="网格型1"/>
    <w:basedOn w:val="48"/>
    <w:qFormat/>
    <w:uiPriority w:val="0"/>
    <w:pPr>
      <w:widowControl w:val="0"/>
      <w:jc w:val="both"/>
    </w:pPr>
    <w:rPr>
      <w:rFonts w:eastAsiaTheme="minorEastAsi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Company>DoubleOX</Company>
  <Pages>57</Pages>
  <Words>6886</Words>
  <Characters>39253</Characters>
  <Lines>327</Lines>
  <Paragraphs>92</Paragraphs>
  <TotalTime>7</TotalTime>
  <ScaleCrop>false</ScaleCrop>
  <LinksUpToDate>false</LinksUpToDate>
  <CharactersWithSpaces>46047</CharactersWithSpaces>
  <Application>WPS Office WWO_wpscloud_20240912200119-2f3a33a672</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2023-09-10T17:10:00Z</dcterms:created>
  <dc:creator>Admin</dc:creator>
  <cp:lastModifiedBy>Cx</cp:lastModifiedBy>
  <cp:lastPrinted>2024-09-05T17:12:00Z</cp:lastPrinted>
  <dcterms:modified xsi:type="dcterms:W3CDTF">2024-09-14T11:39:34Z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2052-12.9.0.18238</vt:lpwstr>
  </property>
  <property fmtid="{D5CDD505-2E9C-101B-9397-08002B2CF9AE}" pid="3" name="ICV">
    <vt:lpwstr>2A9B4CE08B134DA07605E566B6274CFE_43</vt:lpwstr>
  </property>
</Properties>
</file>