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4"/>
          <w:szCs w:val="34"/>
        </w:rPr>
      </w:pPr>
      <w:bookmarkStart w:colFirst="0" w:colLast="0" w:name="_tqc05e7vxku6" w:id="0"/>
      <w:bookmarkEnd w:id="0"/>
      <w:r w:rsidDel="00000000" w:rsidR="00000000" w:rsidRPr="00000000">
        <w:rPr>
          <w:sz w:val="34"/>
          <w:szCs w:val="34"/>
          <w:rtl w:val="0"/>
        </w:rPr>
        <w:t xml:space="preserve">How Oral Appliances Interact With the Whole Skeleton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 Biomechanical Primer for Sleep Appliance Manufacturers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cq9zxhwso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Workbook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manufacturers: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device failure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clinician complaints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outcomes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their brand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interdisciplinary care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ww15lmafx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Sections (Outline)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airway success ≠ biomechanical success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mandibular advancement affects cervical load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Cranial motion and nasal resistance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compensation after appliance use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 changes dentists never see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appliance choice matters biomechanically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manufacturers should request from DCs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devices with biomechanical awareness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9np1b2b0q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You Monetize This (Cleanly)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 Manufacturer Education License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fee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workbook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training sessions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feedback framework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CSA-Endorsed Biomechanical Compatibility Badge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 Training for Manufacturer Clinical Trainers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selling influence.</w:t>
        <w:br w:type="textWrapping"/>
        <w:t xml:space="preserve"> You are selling </w:t>
      </w:r>
      <w:r w:rsidDel="00000000" w:rsidR="00000000" w:rsidRPr="00000000">
        <w:rPr>
          <w:b w:val="1"/>
          <w:bCs w:val="1"/>
          <w:rtl w:val="0"/>
        </w:rPr>
        <w:t xml:space="preserve">risk reduction + outcome improvement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xkk4rnebt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Truth (No Sugarcoating)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not monetizing care.</w:t>
        <w:br w:type="textWrapping"/>
        <w:t xml:space="preserve"> You’re monetizing </w:t>
      </w:r>
      <w:r w:rsidDel="00000000" w:rsidR="00000000" w:rsidRPr="00000000">
        <w:rPr>
          <w:i w:val="1"/>
          <w:iCs w:val="1"/>
          <w:rtl w:val="0"/>
        </w:rPr>
        <w:t xml:space="preserve">what everyone else is missing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highest form of leverage.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