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1CB2" w14:textId="77777777" w:rsidR="009C6DB9" w:rsidRPr="009C6DB9" w:rsidRDefault="009C6DB9" w:rsidP="009C6DB9">
      <w:pPr>
        <w:rPr>
          <w:b/>
          <w:bCs/>
          <w:lang w:val="es-ES"/>
        </w:rPr>
      </w:pPr>
      <w:r w:rsidRPr="009C6DB9">
        <w:rPr>
          <w:lang w:val="es-ES"/>
        </w:rPr>
        <w:t>Informe de Estabilidad: Evaluación de Solvencia y Resiliencia Operativa</w:t>
      </w:r>
    </w:p>
    <w:p w14:paraId="3D749A9A" w14:textId="77777777" w:rsidR="009C6DB9" w:rsidRPr="009C6DB9" w:rsidRDefault="009C6DB9" w:rsidP="009C6DB9">
      <w:pPr>
        <w:rPr>
          <w:b/>
          <w:bCs/>
          <w:lang w:val="es-ES"/>
        </w:rPr>
      </w:pPr>
      <w:r w:rsidRPr="009C6DB9">
        <w:rPr>
          <w:lang w:val="es-ES"/>
        </w:rPr>
        <w:t>1. Análisis del Desempeño Operativo y Rentabilidad</w:t>
      </w:r>
    </w:p>
    <w:p w14:paraId="3D5BD9CA" w14:textId="77777777" w:rsidR="009C6DB9" w:rsidRPr="009C6DB9" w:rsidRDefault="009C6DB9" w:rsidP="009C6DB9">
      <w:pPr>
        <w:rPr>
          <w:lang w:val="es-ES"/>
        </w:rPr>
      </w:pPr>
      <w:r w:rsidRPr="009C6DB9">
        <w:rPr>
          <w:lang w:val="es-ES"/>
        </w:rPr>
        <w:t xml:space="preserve">La viabilidad de largo plazo de cualquier corporación depende intrínsecamente de su eficiencia operativa. El margen EBITDA no es simplemente un indicador contable, sino el termómetro estratégico que mide la sostenibilidad del modelo de negocio y su capacidad para generar caja orgánica antes de atender compromisos financieros o fiscales. En el actual escenario, monitorear esta métrica es crítico: un EBITDA negativo prolongado no solo destruye valor, sino que compromete la autonomía estratégica de la entidad, obligándola a consumir su patrimonio para financiar su operación </w:t>
      </w:r>
      <w:proofErr w:type="spellStart"/>
      <w:r w:rsidRPr="009C6DB9">
        <w:rPr>
          <w:lang w:val="es-ES"/>
        </w:rPr>
        <w:t>diaria.El</w:t>
      </w:r>
      <w:proofErr w:type="spellEnd"/>
      <w:r w:rsidRPr="009C6DB9">
        <w:rPr>
          <w:lang w:val="es-ES"/>
        </w:rPr>
        <w:t xml:space="preserve"> análisis de los flujos del ejercicio revela un déficit operativo estructural que presiona severamente la configuración de costos. A pesar de un volumen de actividad considerable, la brecha entre ingresos y egresos refleja una incapacidad de la estructura actual para alcanzar el punto de equilibrio. Los datos fundamentales se resumen a continuación:</w:t>
      </w:r>
    </w:p>
    <w:p w14:paraId="07BEFE0B" w14:textId="77777777" w:rsidR="009C6DB9" w:rsidRPr="009C6DB9" w:rsidRDefault="009C6DB9" w:rsidP="009C6DB9">
      <w:pPr>
        <w:numPr>
          <w:ilvl w:val="0"/>
          <w:numId w:val="1"/>
        </w:numPr>
        <w:rPr>
          <w:lang w:val="es-ES"/>
        </w:rPr>
      </w:pPr>
      <w:r w:rsidRPr="009C6DB9">
        <w:rPr>
          <w:b/>
          <w:bCs/>
          <w:lang w:val="es-ES"/>
        </w:rPr>
        <w:t>Ingresos Totales (Ventas Grupo 7):</w:t>
      </w:r>
      <w:r w:rsidRPr="009C6DB9">
        <w:rPr>
          <w:lang w:val="es-ES"/>
        </w:rPr>
        <w:t>  3.192.291 €</w:t>
      </w:r>
    </w:p>
    <w:p w14:paraId="45248F70" w14:textId="77777777" w:rsidR="009C6DB9" w:rsidRPr="009C6DB9" w:rsidRDefault="009C6DB9" w:rsidP="009C6DB9">
      <w:pPr>
        <w:numPr>
          <w:ilvl w:val="0"/>
          <w:numId w:val="1"/>
        </w:numPr>
        <w:rPr>
          <w:lang w:val="es-ES"/>
        </w:rPr>
      </w:pPr>
      <w:r w:rsidRPr="009C6DB9">
        <w:rPr>
          <w:b/>
          <w:bCs/>
          <w:lang w:val="es-ES"/>
        </w:rPr>
        <w:t>Gastos Totales (Compras Grupo 6):</w:t>
      </w:r>
      <w:r w:rsidRPr="009C6DB9">
        <w:rPr>
          <w:lang w:val="es-ES"/>
        </w:rPr>
        <w:t>  3.564.798 €</w:t>
      </w:r>
    </w:p>
    <w:p w14:paraId="269F924E" w14:textId="77777777" w:rsidR="009C6DB9" w:rsidRPr="009C6DB9" w:rsidRDefault="009C6DB9" w:rsidP="009C6DB9">
      <w:pPr>
        <w:numPr>
          <w:ilvl w:val="0"/>
          <w:numId w:val="1"/>
        </w:numPr>
        <w:rPr>
          <w:lang w:val="es-ES"/>
        </w:rPr>
      </w:pPr>
      <w:r w:rsidRPr="009C6DB9">
        <w:rPr>
          <w:b/>
          <w:bCs/>
          <w:lang w:val="es-ES"/>
        </w:rPr>
        <w:t>EBITDA (Resultado Operativo):</w:t>
      </w:r>
      <w:r w:rsidRPr="009C6DB9">
        <w:rPr>
          <w:lang w:val="es-ES"/>
        </w:rPr>
        <w:t>  -372.507 €</w:t>
      </w:r>
    </w:p>
    <w:p w14:paraId="52BC9346" w14:textId="77777777" w:rsidR="009C6DB9" w:rsidRPr="009C6DB9" w:rsidRDefault="009C6DB9" w:rsidP="009C6DB9">
      <w:pPr>
        <w:numPr>
          <w:ilvl w:val="0"/>
          <w:numId w:val="1"/>
        </w:numPr>
        <w:rPr>
          <w:lang w:val="es-ES"/>
        </w:rPr>
      </w:pPr>
      <w:r w:rsidRPr="009C6DB9">
        <w:rPr>
          <w:b/>
          <w:bCs/>
          <w:lang w:val="es-ES"/>
        </w:rPr>
        <w:t>Margen Operativo Porcentual:</w:t>
      </w:r>
      <w:r w:rsidRPr="009C6DB9">
        <w:rPr>
          <w:lang w:val="es-ES"/>
        </w:rPr>
        <w:t xml:space="preserve">  -11,67%Este margen negativo del -11,67% confirma que la entidad está operando en un ciclo de destrucción de valor interna. Cada euro de ingreso genera una pérdida incremental, lo que sugiere que la estructura de costos (Grupo 6) está sobredimensionada para la realidad actual de las ventas (Grupo 7). Sin una corrección inmediata en la eficiencia operativa, la entidad se enfrenta a un drenaje de recursos que pone a prueba su </w:t>
      </w:r>
      <w:proofErr w:type="spellStart"/>
      <w:r w:rsidRPr="009C6DB9">
        <w:rPr>
          <w:lang w:val="es-ES"/>
        </w:rPr>
        <w:t>resiliencia.Esta</w:t>
      </w:r>
      <w:proofErr w:type="spellEnd"/>
      <w:r w:rsidRPr="009C6DB9">
        <w:rPr>
          <w:lang w:val="es-ES"/>
        </w:rPr>
        <w:t xml:space="preserve"> erosión persistente del margen operativo hace imperativo evaluar con detenimiento los activos de reserva y la liquidez disponible, los cuales actúan actualmente como el único dique de contención frente a la insolvencia técnica.</w:t>
      </w:r>
    </w:p>
    <w:p w14:paraId="276AD593" w14:textId="77777777" w:rsidR="009C6DB9" w:rsidRPr="009C6DB9" w:rsidRDefault="009C6DB9" w:rsidP="009C6DB9">
      <w:pPr>
        <w:rPr>
          <w:b/>
          <w:bCs/>
          <w:lang w:val="es-ES"/>
        </w:rPr>
      </w:pPr>
      <w:r w:rsidRPr="009C6DB9">
        <w:rPr>
          <w:lang w:val="es-ES"/>
        </w:rPr>
        <w:t>2. Diagnóstico de Liquidez y Capacidad de Respuesta a Corto Plazo</w:t>
      </w:r>
    </w:p>
    <w:p w14:paraId="48902685" w14:textId="77777777" w:rsidR="009C6DB9" w:rsidRPr="009C6DB9" w:rsidRDefault="009C6DB9" w:rsidP="009C6DB9">
      <w:pPr>
        <w:rPr>
          <w:lang w:val="es-ES"/>
        </w:rPr>
      </w:pPr>
      <w:r w:rsidRPr="009C6DB9">
        <w:rPr>
          <w:lang w:val="es-ES"/>
        </w:rPr>
        <w:t xml:space="preserve">La liquidez representa la primera línea de defensa de una organización ante resultados operativos adversos. En mercados financieros estándar, un ratio de liquidez suele situarse entre 1.5 y 2.0; por lo tanto, la cifra de  </w:t>
      </w:r>
      <w:r w:rsidRPr="009C6DB9">
        <w:rPr>
          <w:b/>
          <w:bCs/>
          <w:lang w:val="es-ES"/>
        </w:rPr>
        <w:t>6.21</w:t>
      </w:r>
      <w:r w:rsidRPr="009C6DB9">
        <w:rPr>
          <w:lang w:val="es-ES"/>
        </w:rPr>
        <w:t xml:space="preserve">  observada en esta entidad es excepcionalmente atípica. Este nivel de liquidez indica una acumulación de activos corrientes masiva que, si bien otorga seguridad, también señala una ineficiencia en la gestión del capital circulante que no está siendo reinvertido para corregir las deficiencias del negocio </w:t>
      </w:r>
      <w:proofErr w:type="spellStart"/>
      <w:r w:rsidRPr="009C6DB9">
        <w:rPr>
          <w:lang w:val="es-ES"/>
        </w:rPr>
        <w:t>principal.Al</w:t>
      </w:r>
      <w:proofErr w:type="spellEnd"/>
      <w:r w:rsidRPr="009C6DB9">
        <w:rPr>
          <w:lang w:val="es-ES"/>
        </w:rPr>
        <w:t xml:space="preserve"> analizar el "Resumen Ejecutivo Mensual", se observa una volatilidad significativa con picos de gasto críticos en marzo y junio. Sin embargo, el dato más relevante para la estrategia de riesgo es la excepción de  </w:t>
      </w:r>
      <w:r w:rsidRPr="009C6DB9">
        <w:rPr>
          <w:b/>
          <w:bCs/>
          <w:lang w:val="es-ES"/>
        </w:rPr>
        <w:t>julio</w:t>
      </w:r>
      <w:r w:rsidRPr="009C6DB9">
        <w:rPr>
          <w:lang w:val="es-ES"/>
        </w:rPr>
        <w:t xml:space="preserve"> , el único mes del periodo que muestra un EBITDA positivo y un margen favorable. Este hito demuestra que la entidad posee la capacidad operativa para ser rentable bajo ciertas condiciones de control de gasto o estacionalidad, y debe ser utilizado como el  </w:t>
      </w:r>
      <w:proofErr w:type="spellStart"/>
      <w:r w:rsidRPr="009C6DB9">
        <w:rPr>
          <w:i/>
          <w:iCs/>
          <w:lang w:val="es-ES"/>
        </w:rPr>
        <w:t>benchmark</w:t>
      </w:r>
      <w:proofErr w:type="spellEnd"/>
      <w:r w:rsidRPr="009C6DB9">
        <w:rPr>
          <w:lang w:val="es-ES"/>
        </w:rPr>
        <w:t xml:space="preserve">  interno para una </w:t>
      </w:r>
      <w:proofErr w:type="spellStart"/>
      <w:r w:rsidRPr="009C6DB9">
        <w:rPr>
          <w:lang w:val="es-ES"/>
        </w:rPr>
        <w:t>reestructuración.Desde</w:t>
      </w:r>
      <w:proofErr w:type="spellEnd"/>
      <w:r w:rsidRPr="009C6DB9">
        <w:rPr>
          <w:lang w:val="es-ES"/>
        </w:rPr>
        <w:t xml:space="preserve"> una perspectiva técnica, el análisis de la "pista de aterrizaje" (</w:t>
      </w:r>
      <w:proofErr w:type="spellStart"/>
      <w:r w:rsidRPr="009C6DB9">
        <w:rPr>
          <w:lang w:val="es-ES"/>
        </w:rPr>
        <w:t>runway</w:t>
      </w:r>
      <w:proofErr w:type="spellEnd"/>
      <w:r w:rsidRPr="009C6DB9">
        <w:rPr>
          <w:lang w:val="es-ES"/>
        </w:rPr>
        <w:t xml:space="preserve">) es el siguiente: Con una pérdida operativa acumulada de 372.507 € (un promedio de aproximadamente 31.042 € mensuales), y considerando que el ratio de liquidez de 6.21 implica que los activos líquidos sextuplican las obligaciones inmediatas, la entidad posee un colchón financiero para sostener este ritmo de pérdidas durante </w:t>
      </w:r>
      <w:r w:rsidRPr="009C6DB9">
        <w:rPr>
          <w:lang w:val="es-ES"/>
        </w:rPr>
        <w:lastRenderedPageBreak/>
        <w:t xml:space="preserve">varios años antes de enfrentar una crisis de cesación de pagos. No obstante, este "capital ocioso" está perdiendo valor real mientras la operación principal siga siendo </w:t>
      </w:r>
      <w:proofErr w:type="spellStart"/>
      <w:r w:rsidRPr="009C6DB9">
        <w:rPr>
          <w:lang w:val="es-ES"/>
        </w:rPr>
        <w:t>deficitaria.La</w:t>
      </w:r>
      <w:proofErr w:type="spellEnd"/>
      <w:r w:rsidRPr="009C6DB9">
        <w:rPr>
          <w:lang w:val="es-ES"/>
        </w:rPr>
        <w:t xml:space="preserve"> liquidez inmediata, aunque extraordinariamente robusta, debe entenderse solo como un alivio temporal que requiere ser respaldado por una solvencia estructural a largo plazo para garantizar la continuidad del negocio.</w:t>
      </w:r>
    </w:p>
    <w:p w14:paraId="5D22860B" w14:textId="77777777" w:rsidR="009C6DB9" w:rsidRPr="009C6DB9" w:rsidRDefault="009C6DB9" w:rsidP="009C6DB9">
      <w:pPr>
        <w:rPr>
          <w:b/>
          <w:bCs/>
          <w:lang w:val="es-ES"/>
        </w:rPr>
      </w:pPr>
      <w:r w:rsidRPr="009C6DB9">
        <w:rPr>
          <w:lang w:val="es-ES"/>
        </w:rPr>
        <w:t>3. Evaluación de Solvencia, Endeudamiento y Estructura de Capital</w:t>
      </w:r>
    </w:p>
    <w:p w14:paraId="107D4A03" w14:textId="77777777" w:rsidR="009C6DB9" w:rsidRPr="009C6DB9" w:rsidRDefault="009C6DB9" w:rsidP="009C6DB9">
      <w:pPr>
        <w:rPr>
          <w:lang w:val="es-ES"/>
        </w:rPr>
      </w:pPr>
      <w:r w:rsidRPr="009C6DB9">
        <w:rPr>
          <w:lang w:val="es-ES"/>
        </w:rPr>
        <w:t xml:space="preserve">La solvencia y el apalancamiento son los pilares que sostienen la arquitectura financiera de la organización. Estos indicadores definen la capacidad de la entidad para absorber choques macroeconómicos y operativos sin comprometer su existencia. Un balance sólido es la base de la confianza para los  </w:t>
      </w:r>
      <w:proofErr w:type="spellStart"/>
      <w:r w:rsidRPr="009C6DB9">
        <w:rPr>
          <w:i/>
          <w:iCs/>
          <w:lang w:val="es-ES"/>
        </w:rPr>
        <w:t>stakeholders</w:t>
      </w:r>
      <w:proofErr w:type="spellEnd"/>
      <w:r w:rsidRPr="009C6DB9">
        <w:rPr>
          <w:lang w:val="es-ES"/>
        </w:rPr>
        <w:t xml:space="preserve"> , permitiendo que la entidad mantenga su capacidad de maniobra incluso en ciclos de rentabilidad </w:t>
      </w:r>
      <w:proofErr w:type="spellStart"/>
      <w:r w:rsidRPr="009C6DB9">
        <w:rPr>
          <w:lang w:val="es-ES"/>
        </w:rPr>
        <w:t>negativa.La</w:t>
      </w:r>
      <w:proofErr w:type="spellEnd"/>
      <w:r w:rsidRPr="009C6DB9">
        <w:rPr>
          <w:lang w:val="es-ES"/>
        </w:rPr>
        <w:t xml:space="preserve"> estructura de capital actual presenta una solidez patrimonial fuera de lo común, como se detalla a continuación:</w:t>
      </w:r>
    </w:p>
    <w:p w14:paraId="318D0BCA" w14:textId="77777777" w:rsidR="009C6DB9" w:rsidRPr="009C6DB9" w:rsidRDefault="009C6DB9" w:rsidP="009C6DB9">
      <w:pPr>
        <w:numPr>
          <w:ilvl w:val="0"/>
          <w:numId w:val="2"/>
        </w:numPr>
        <w:rPr>
          <w:lang w:val="es-ES"/>
        </w:rPr>
      </w:pPr>
      <w:r w:rsidRPr="009C6DB9">
        <w:rPr>
          <w:b/>
          <w:bCs/>
          <w:lang w:val="es-ES"/>
        </w:rPr>
        <w:t>Ratio de Solvencia:</w:t>
      </w:r>
      <w:r w:rsidRPr="009C6DB9">
        <w:rPr>
          <w:lang w:val="es-ES"/>
        </w:rPr>
        <w:t>  16.24</w:t>
      </w:r>
    </w:p>
    <w:p w14:paraId="0B0A0ECA" w14:textId="77777777" w:rsidR="009C6DB9" w:rsidRPr="009C6DB9" w:rsidRDefault="009C6DB9" w:rsidP="009C6DB9">
      <w:pPr>
        <w:numPr>
          <w:ilvl w:val="0"/>
          <w:numId w:val="2"/>
        </w:numPr>
        <w:rPr>
          <w:lang w:val="es-ES"/>
        </w:rPr>
      </w:pPr>
      <w:r w:rsidRPr="009C6DB9">
        <w:rPr>
          <w:b/>
          <w:bCs/>
          <w:lang w:val="es-ES"/>
        </w:rPr>
        <w:t>Nivel de Endeudamiento:</w:t>
      </w:r>
      <w:r w:rsidRPr="009C6DB9">
        <w:rPr>
          <w:lang w:val="es-ES"/>
        </w:rPr>
        <w:t xml:space="preserve">  5.35%Este escenario plantea una paradoja estratégica desde la óptica de un analista de riesgos: la entidad posee una solvencia de 16.24, lo que significa que el valor de sus activos respalda más de 16 veces sus deudas totales. Sin embargo, mantener un endeudamiento tan bajo (5.35%) en un contexto de margen negativo (-11.67%) sugiere la presencia de  </w:t>
      </w:r>
      <w:r w:rsidRPr="009C6DB9">
        <w:rPr>
          <w:b/>
          <w:bCs/>
          <w:lang w:val="es-ES"/>
        </w:rPr>
        <w:t>"capital perezoso"</w:t>
      </w:r>
      <w:r w:rsidRPr="009C6DB9">
        <w:rPr>
          <w:lang w:val="es-ES"/>
        </w:rPr>
        <w:t xml:space="preserve"> . La entidad está sobrecapitalizada; tiene recursos propios suficientes para no depender de financiamiento externo, pero no está utilizando esa fortaleza de balance para apalancar una transformación operativa o adquirir tecnología que revierta las pérdidas del Grupo 6. El bajo nivel de deuda actúa como un escudo protector definitivo contra la insolvencia técnica, pero no soluciona la ineficiencia del modelo de </w:t>
      </w:r>
      <w:proofErr w:type="spellStart"/>
      <w:r w:rsidRPr="009C6DB9">
        <w:rPr>
          <w:lang w:val="es-ES"/>
        </w:rPr>
        <w:t>ingresos.En</w:t>
      </w:r>
      <w:proofErr w:type="spellEnd"/>
      <w:r w:rsidRPr="009C6DB9">
        <w:rPr>
          <w:lang w:val="es-ES"/>
        </w:rPr>
        <w:t xml:space="preserve"> definitiva, la fortaleza excepcional del balance compensa actualmente las debilidades del estado de resultados, pero el costo de oportunidad de mantener tal nivel de solvencia sin rentabilidad operativa es cada vez más alto.</w:t>
      </w:r>
    </w:p>
    <w:p w14:paraId="1BE61D06" w14:textId="77777777" w:rsidR="009C6DB9" w:rsidRPr="009C6DB9" w:rsidRDefault="009C6DB9" w:rsidP="009C6DB9">
      <w:pPr>
        <w:rPr>
          <w:b/>
          <w:bCs/>
          <w:lang w:val="es-ES"/>
        </w:rPr>
      </w:pPr>
      <w:r w:rsidRPr="009C6DB9">
        <w:rPr>
          <w:lang w:val="es-ES"/>
        </w:rPr>
        <w:t>4. Síntesis de Resiliencia Financiera y Conclusión Técnica</w:t>
      </w:r>
    </w:p>
    <w:p w14:paraId="65F42726" w14:textId="77777777" w:rsidR="009C6DB9" w:rsidRPr="009C6DB9" w:rsidRDefault="009C6DB9" w:rsidP="009C6DB9">
      <w:pPr>
        <w:rPr>
          <w:lang w:val="es-ES"/>
        </w:rPr>
      </w:pPr>
      <w:r w:rsidRPr="009C6DB9">
        <w:rPr>
          <w:lang w:val="es-ES"/>
        </w:rPr>
        <w:t xml:space="preserve">La entidad presenta una dicotomía financiera extrema. Existe una brecha profunda entre una gestión operativa ineficiente, que consume recursos mensualmente, y una salud financiera estructural que se sitúa en niveles de seguridad muy superiores a la media del mercado. La resiliencia es, por tanto, muy alta en términos de tiempo de supervivencia, pero baja en términos de eficiencia </w:t>
      </w:r>
      <w:proofErr w:type="spellStart"/>
      <w:r w:rsidRPr="009C6DB9">
        <w:rPr>
          <w:lang w:val="es-ES"/>
        </w:rPr>
        <w:t>dinámica.A</w:t>
      </w:r>
      <w:proofErr w:type="spellEnd"/>
      <w:r w:rsidRPr="009C6DB9">
        <w:rPr>
          <w:lang w:val="es-ES"/>
        </w:rPr>
        <w:t xml:space="preserve"> continuación se sintetiza la situación financiera:| Debilidades Operativas (Estado de Resultados) | Fortalezas Estructurales (Balance General) || ------ | ------ || </w:t>
      </w:r>
      <w:r w:rsidRPr="009C6DB9">
        <w:rPr>
          <w:b/>
          <w:bCs/>
          <w:lang w:val="es-ES"/>
        </w:rPr>
        <w:t>EBITDA Deficitario:</w:t>
      </w:r>
      <w:r w:rsidRPr="009C6DB9">
        <w:rPr>
          <w:lang w:val="es-ES"/>
        </w:rPr>
        <w:t xml:space="preserve">  -372.507 € (Drenaje de caja) | </w:t>
      </w:r>
      <w:r w:rsidRPr="009C6DB9">
        <w:rPr>
          <w:b/>
          <w:bCs/>
          <w:lang w:val="es-ES"/>
        </w:rPr>
        <w:t>Liquidez Excepcional:</w:t>
      </w:r>
      <w:r w:rsidRPr="009C6DB9">
        <w:rPr>
          <w:lang w:val="es-ES"/>
        </w:rPr>
        <w:t xml:space="preserve">  6.21 (Capacidad de pago 6x) || </w:t>
      </w:r>
      <w:r w:rsidRPr="009C6DB9">
        <w:rPr>
          <w:b/>
          <w:bCs/>
          <w:lang w:val="es-ES"/>
        </w:rPr>
        <w:t>Margen Negativo:</w:t>
      </w:r>
      <w:r w:rsidRPr="009C6DB9">
        <w:rPr>
          <w:lang w:val="es-ES"/>
        </w:rPr>
        <w:t xml:space="preserve">  -11,67% (Modelo no rentable) | </w:t>
      </w:r>
      <w:r w:rsidRPr="009C6DB9">
        <w:rPr>
          <w:b/>
          <w:bCs/>
          <w:lang w:val="es-ES"/>
        </w:rPr>
        <w:t>Solvencia Extrema:</w:t>
      </w:r>
      <w:r w:rsidRPr="009C6DB9">
        <w:rPr>
          <w:lang w:val="es-ES"/>
        </w:rPr>
        <w:t xml:space="preserve">  16.24 (Respaldo de activos total) || </w:t>
      </w:r>
      <w:r w:rsidRPr="009C6DB9">
        <w:rPr>
          <w:b/>
          <w:bCs/>
          <w:lang w:val="es-ES"/>
        </w:rPr>
        <w:t>Inconsistencia Mensual:</w:t>
      </w:r>
      <w:r w:rsidRPr="009C6DB9">
        <w:rPr>
          <w:lang w:val="es-ES"/>
        </w:rPr>
        <w:t xml:space="preserve">  Gastos fuera de control | </w:t>
      </w:r>
      <w:r w:rsidRPr="009C6DB9">
        <w:rPr>
          <w:b/>
          <w:bCs/>
          <w:lang w:val="es-ES"/>
        </w:rPr>
        <w:t>Apalancamiento Mínimo:</w:t>
      </w:r>
      <w:r w:rsidRPr="009C6DB9">
        <w:rPr>
          <w:lang w:val="es-ES"/>
        </w:rPr>
        <w:t>  5.35% (Sin riesgo de deuda) |</w:t>
      </w:r>
    </w:p>
    <w:p w14:paraId="628ED0F1" w14:textId="77777777" w:rsidR="009C6DB9" w:rsidRPr="009C6DB9" w:rsidRDefault="009C6DB9" w:rsidP="009C6DB9">
      <w:pPr>
        <w:rPr>
          <w:lang w:val="es-ES"/>
        </w:rPr>
      </w:pPr>
      <w:proofErr w:type="gramStart"/>
      <w:r w:rsidRPr="009C6DB9">
        <w:rPr>
          <w:b/>
          <w:bCs/>
          <w:lang w:val="es-ES"/>
        </w:rPr>
        <w:t>Veredicto Final</w:t>
      </w:r>
      <w:proofErr w:type="gramEnd"/>
      <w:r w:rsidRPr="009C6DB9">
        <w:rPr>
          <w:b/>
          <w:bCs/>
          <w:lang w:val="es-ES"/>
        </w:rPr>
        <w:t>:</w:t>
      </w:r>
      <w:r w:rsidRPr="009C6DB9">
        <w:rPr>
          <w:lang w:val="es-ES"/>
        </w:rPr>
        <w:t xml:space="preserve">  La entidad posee la robustez necesaria para reestructurar sus operaciones sin riesgo de quiebra inminente. Los ratios de  </w:t>
      </w:r>
      <w:r w:rsidRPr="009C6DB9">
        <w:rPr>
          <w:b/>
          <w:bCs/>
          <w:lang w:val="es-ES"/>
        </w:rPr>
        <w:t>6.21 (Liquidez)</w:t>
      </w:r>
      <w:r w:rsidRPr="009C6DB9">
        <w:rPr>
          <w:lang w:val="es-ES"/>
        </w:rPr>
        <w:t xml:space="preserve">  y  </w:t>
      </w:r>
      <w:r w:rsidRPr="009C6DB9">
        <w:rPr>
          <w:b/>
          <w:bCs/>
          <w:lang w:val="es-ES"/>
        </w:rPr>
        <w:t>16.24 (Solvencia)</w:t>
      </w:r>
      <w:r w:rsidRPr="009C6DB9">
        <w:rPr>
          <w:lang w:val="es-ES"/>
        </w:rPr>
        <w:t xml:space="preserve">  otorgan una ventana de oportunidad temporal sumamente amplia para ejecutar un  </w:t>
      </w:r>
      <w:r w:rsidRPr="009C6DB9">
        <w:rPr>
          <w:b/>
          <w:bCs/>
          <w:lang w:val="es-ES"/>
        </w:rPr>
        <w:t xml:space="preserve">Plan de </w:t>
      </w:r>
      <w:proofErr w:type="spellStart"/>
      <w:r w:rsidRPr="009C6DB9">
        <w:rPr>
          <w:b/>
          <w:bCs/>
          <w:lang w:val="es-ES"/>
        </w:rPr>
        <w:t>Turnaround</w:t>
      </w:r>
      <w:proofErr w:type="spellEnd"/>
      <w:r w:rsidRPr="009C6DB9">
        <w:rPr>
          <w:lang w:val="es-ES"/>
        </w:rPr>
        <w:t xml:space="preserve"> . No existe un riesgo de insolvencia técnica a corto o </w:t>
      </w:r>
      <w:r w:rsidRPr="009C6DB9">
        <w:rPr>
          <w:lang w:val="es-ES"/>
        </w:rPr>
        <w:lastRenderedPageBreak/>
        <w:t>mediano plazo debido a la ausencia casi total de deuda externa y al enorme respaldo patrimonial. No obstante, esta "pista de aterrizaje" no es infinita. El éxito futuro depende de replicar la eficiencia observada en el mes de julio para detener la destrucción de valor, transformando el capital ocioso del balance en un motor de rentabilidad operativa.</w:t>
      </w:r>
    </w:p>
    <w:p w14:paraId="3404138A" w14:textId="77777777" w:rsidR="00F42817" w:rsidRDefault="00F42817"/>
    <w:sectPr w:rsidR="00F428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30CD"/>
    <w:multiLevelType w:val="multilevel"/>
    <w:tmpl w:val="CAA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774E6"/>
    <w:multiLevelType w:val="multilevel"/>
    <w:tmpl w:val="EE7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94624">
    <w:abstractNumId w:val="0"/>
  </w:num>
  <w:num w:numId="2" w16cid:durableId="1769041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B9"/>
    <w:rsid w:val="00362DD7"/>
    <w:rsid w:val="009C6DB9"/>
    <w:rsid w:val="00BF3013"/>
    <w:rsid w:val="00EA378F"/>
    <w:rsid w:val="00F4281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B775"/>
  <w15:chartTrackingRefBased/>
  <w15:docId w15:val="{FC0E2501-9987-4FDF-80FC-EFA15124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9C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6D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6D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6D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6D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6D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6D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6D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DB9"/>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9C6DB9"/>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9C6DB9"/>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9C6DB9"/>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9C6DB9"/>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9C6DB9"/>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9C6DB9"/>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9C6DB9"/>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9C6DB9"/>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9C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6DB9"/>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9C6D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6DB9"/>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9C6DB9"/>
    <w:pPr>
      <w:spacing w:before="160"/>
      <w:jc w:val="center"/>
    </w:pPr>
    <w:rPr>
      <w:i/>
      <w:iCs/>
      <w:color w:val="404040" w:themeColor="text1" w:themeTint="BF"/>
    </w:rPr>
  </w:style>
  <w:style w:type="character" w:customStyle="1" w:styleId="CitaCar">
    <w:name w:val="Cita Car"/>
    <w:basedOn w:val="Fuentedeprrafopredeter"/>
    <w:link w:val="Cita"/>
    <w:uiPriority w:val="29"/>
    <w:rsid w:val="009C6DB9"/>
    <w:rPr>
      <w:i/>
      <w:iCs/>
      <w:color w:val="404040" w:themeColor="text1" w:themeTint="BF"/>
      <w:lang w:val="es-ES_tradnl"/>
    </w:rPr>
  </w:style>
  <w:style w:type="paragraph" w:styleId="Prrafodelista">
    <w:name w:val="List Paragraph"/>
    <w:basedOn w:val="Normal"/>
    <w:uiPriority w:val="34"/>
    <w:qFormat/>
    <w:rsid w:val="009C6DB9"/>
    <w:pPr>
      <w:ind w:left="720"/>
      <w:contextualSpacing/>
    </w:pPr>
  </w:style>
  <w:style w:type="character" w:styleId="nfasisintenso">
    <w:name w:val="Intense Emphasis"/>
    <w:basedOn w:val="Fuentedeprrafopredeter"/>
    <w:uiPriority w:val="21"/>
    <w:qFormat/>
    <w:rsid w:val="009C6DB9"/>
    <w:rPr>
      <w:i/>
      <w:iCs/>
      <w:color w:val="0F4761" w:themeColor="accent1" w:themeShade="BF"/>
    </w:rPr>
  </w:style>
  <w:style w:type="paragraph" w:styleId="Citadestacada">
    <w:name w:val="Intense Quote"/>
    <w:basedOn w:val="Normal"/>
    <w:next w:val="Normal"/>
    <w:link w:val="CitadestacadaCar"/>
    <w:uiPriority w:val="30"/>
    <w:qFormat/>
    <w:rsid w:val="009C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6DB9"/>
    <w:rPr>
      <w:i/>
      <w:iCs/>
      <w:color w:val="0F4761" w:themeColor="accent1" w:themeShade="BF"/>
      <w:lang w:val="es-ES_tradnl"/>
    </w:rPr>
  </w:style>
  <w:style w:type="character" w:styleId="Referenciaintensa">
    <w:name w:val="Intense Reference"/>
    <w:basedOn w:val="Fuentedeprrafopredeter"/>
    <w:uiPriority w:val="32"/>
    <w:qFormat/>
    <w:rsid w:val="009C6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1097</Words>
  <Characters>6036</Characters>
  <Application>Microsoft Office Word</Application>
  <DocSecurity>0</DocSecurity>
  <Lines>50</Lines>
  <Paragraphs>14</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Vergara</dc:creator>
  <cp:keywords/>
  <dc:description/>
  <cp:lastModifiedBy>Miguel Vergara</cp:lastModifiedBy>
  <cp:revision>1</cp:revision>
  <dcterms:created xsi:type="dcterms:W3CDTF">2026-02-13T07:12:00Z</dcterms:created>
  <dcterms:modified xsi:type="dcterms:W3CDTF">2026-02-13T07:12:00Z</dcterms:modified>
</cp:coreProperties>
</file>