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Sales &amp; Revenue Forecast Report</w:t>
      </w:r>
    </w:p>
    <w:p>
      <w:pPr>
        <w:jc w:val="center"/>
      </w:pPr>
      <w:r>
        <w:rPr>
          <w:i/>
          <w:sz w:val="20"/>
        </w:rPr>
        <w:t>Generated: March 07, 2026 at 15:10</w:t>
      </w:r>
    </w:p>
    <w:p/>
    <w:p>
      <w:pPr>
        <w:pStyle w:val="Heading1"/>
      </w:pPr>
      <w:r>
        <w:t>Executive Summary</w:t>
      </w:r>
    </w:p>
    <w:p>
      <w:pPr>
        <w:spacing w:after="240"/>
      </w:pPr>
      <w:r>
        <w:t>This report presents sales and revenue forecasts based on historical data analysis. The forecast covers 6 periods into the future using Linear Regression as the best performing model.</w:t>
      </w:r>
    </w:p>
    <w:p>
      <w:pPr>
        <w:pStyle w:val="Heading1"/>
      </w:pPr>
      <w:r>
        <w:t>Key Findings</w:t>
      </w:r>
    </w:p>
    <w:p>
      <w:pPr>
        <w:pStyle w:val="ListBullet"/>
      </w:pPr>
      <w:r>
        <w:t>Best Model: Linear Regression</w:t>
      </w:r>
    </w:p>
    <w:p>
      <w:pPr>
        <w:pStyle w:val="ListBullet"/>
      </w:pPr>
      <w:r>
        <w:t>Model Accuracy: 85.92%</w:t>
      </w:r>
    </w:p>
    <w:p>
      <w:pPr>
        <w:pStyle w:val="ListBullet"/>
      </w:pPr>
      <w:r>
        <w:t>Forecast Periods: 6</w:t>
      </w:r>
    </w:p>
    <w:p>
      <w:pPr>
        <w:pStyle w:val="ListBullet"/>
      </w:pPr>
      <w:r>
        <w:t>Average Historical Sales: 269.48</w:t>
      </w:r>
    </w:p>
    <w:p>
      <w:pPr>
        <w:pStyle w:val="ListBullet"/>
      </w:pPr>
      <w:r>
        <w:t>Average Historical Revenue: 2,694.79</w:t>
      </w:r>
    </w:p>
    <w:p>
      <w:pPr>
        <w:pStyle w:val="ListBullet"/>
      </w:pPr>
      <w:r>
        <w:t>Sales Range: 140.00 - 445.00</w:t>
      </w:r>
    </w:p>
    <w:p/>
    <w:p>
      <w:pPr>
        <w:pStyle w:val="Heading1"/>
      </w:pPr>
      <w:r>
        <w:t>Historical Data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Average Sales</w:t>
            </w:r>
          </w:p>
        </w:tc>
        <w:tc>
          <w:tcPr>
            <w:tcW w:type="dxa" w:w="4320"/>
          </w:tcPr>
          <w:p>
            <w:r>
              <w:t>269.48</w:t>
            </w:r>
          </w:p>
        </w:tc>
      </w:tr>
      <w:tr>
        <w:tc>
          <w:tcPr>
            <w:tcW w:type="dxa" w:w="4320"/>
          </w:tcPr>
          <w:p>
            <w:r>
              <w:t>Average Revenue</w:t>
            </w:r>
          </w:p>
        </w:tc>
        <w:tc>
          <w:tcPr>
            <w:tcW w:type="dxa" w:w="4320"/>
          </w:tcPr>
          <w:p>
            <w:r>
              <w:t>2,694.79</w:t>
            </w:r>
          </w:p>
        </w:tc>
      </w:tr>
      <w:tr>
        <w:tc>
          <w:tcPr>
            <w:tcW w:type="dxa" w:w="4320"/>
          </w:tcPr>
          <w:p>
            <w:r>
              <w:t>Minimum Sales</w:t>
            </w:r>
          </w:p>
        </w:tc>
        <w:tc>
          <w:tcPr>
            <w:tcW w:type="dxa" w:w="4320"/>
          </w:tcPr>
          <w:p>
            <w:r>
              <w:t>140.00</w:t>
            </w:r>
          </w:p>
        </w:tc>
      </w:tr>
      <w:tr>
        <w:tc>
          <w:tcPr>
            <w:tcW w:type="dxa" w:w="4320"/>
          </w:tcPr>
          <w:p>
            <w:r>
              <w:t>Maximum Sales</w:t>
            </w:r>
          </w:p>
        </w:tc>
        <w:tc>
          <w:tcPr>
            <w:tcW w:type="dxa" w:w="4320"/>
          </w:tcPr>
          <w:p>
            <w:r>
              <w:t>445.00</w:t>
            </w:r>
          </w:p>
        </w:tc>
      </w:tr>
    </w:tbl>
    <w:p/>
    <w:p>
      <w:pPr>
        <w:pStyle w:val="Heading1"/>
      </w:pPr>
      <w:r>
        <w:t>Forecast Summary</w:t>
      </w:r>
    </w:p>
    <w:p>
      <w:pPr>
        <w:pStyle w:val="ListBullet"/>
      </w:pPr>
      <w:r>
        <w:t>Forecast Periods: 6</w:t>
      </w:r>
    </w:p>
    <w:p>
      <w:pPr>
        <w:pStyle w:val="ListBullet"/>
      </w:pPr>
      <w:r>
        <w:t>Projected Average Sales: 396.23</w:t>
      </w:r>
    </w:p>
    <w:p>
      <w:pPr>
        <w:pStyle w:val="ListBullet"/>
      </w:pPr>
      <w:r>
        <w:t>Projected Average Revenue: 3,962.27</w:t>
      </w:r>
    </w:p>
    <w:p>
      <w:pPr>
        <w:pStyle w:val="ListBullet"/>
      </w:pPr>
      <w:r>
        <w:t>Projected Peak Sales: 407.96</w:t>
      </w:r>
    </w:p>
    <w:p/>
    <w:p>
      <w:pPr>
        <w:pStyle w:val="Heading1"/>
      </w:pPr>
      <w:r>
        <w:t>Model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Accuracy (%)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MAPE (%)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RMSE</w:t>
            </w:r>
          </w:p>
        </w:tc>
      </w:tr>
      <w:tr>
        <w:tc>
          <w:tcPr>
            <w:tcW w:type="dxa" w:w="2160"/>
          </w:tcPr>
          <w:p>
            <w:r>
              <w:t>Prophet</w:t>
            </w:r>
          </w:p>
        </w:tc>
        <w:tc>
          <w:tcPr>
            <w:tcW w:type="dxa" w:w="2160"/>
          </w:tcPr>
          <w:p>
            <w:r>
              <w:t>83.96</w:t>
            </w:r>
          </w:p>
        </w:tc>
        <w:tc>
          <w:tcPr>
            <w:tcW w:type="dxa" w:w="2160"/>
          </w:tcPr>
          <w:p>
            <w:r>
              <w:t>16.04</w:t>
            </w:r>
          </w:p>
        </w:tc>
        <w:tc>
          <w:tcPr>
            <w:tcW w:type="dxa" w:w="2160"/>
          </w:tcPr>
          <w:p>
            <w:r>
              <w:t>63.7</w:t>
            </w:r>
          </w:p>
        </w:tc>
      </w:tr>
      <w:tr>
        <w:tc>
          <w:tcPr>
            <w:tcW w:type="dxa" w:w="2160"/>
          </w:tcPr>
          <w:p>
            <w:r>
              <w:t>ARIMA</w:t>
            </w:r>
          </w:p>
        </w:tc>
        <w:tc>
          <w:tcPr>
            <w:tcW w:type="dxa" w:w="2160"/>
          </w:tcPr>
          <w:p>
            <w:r>
              <w:t>80.83</w:t>
            </w:r>
          </w:p>
        </w:tc>
        <w:tc>
          <w:tcPr>
            <w:tcW w:type="dxa" w:w="2160"/>
          </w:tcPr>
          <w:p>
            <w:r>
              <w:t>19.17</w:t>
            </w:r>
          </w:p>
        </w:tc>
        <w:tc>
          <w:tcPr>
            <w:tcW w:type="dxa" w:w="2160"/>
          </w:tcPr>
          <w:p>
            <w:r>
              <w:t>86.87</w:t>
            </w:r>
          </w:p>
        </w:tc>
      </w:tr>
      <w:tr>
        <w:tc>
          <w:tcPr>
            <w:tcW w:type="dxa" w:w="2160"/>
          </w:tcPr>
          <w:p>
            <w:r>
              <w:t>Exponential Smoothing</w:t>
            </w:r>
          </w:p>
        </w:tc>
        <w:tc>
          <w:tcPr>
            <w:tcW w:type="dxa" w:w="2160"/>
          </w:tcPr>
          <w:p>
            <w:r>
              <w:t>84.77</w:t>
            </w:r>
          </w:p>
        </w:tc>
        <w:tc>
          <w:tcPr>
            <w:tcW w:type="dxa" w:w="2160"/>
          </w:tcPr>
          <w:p>
            <w:r>
              <w:t>15.23</w:t>
            </w:r>
          </w:p>
        </w:tc>
        <w:tc>
          <w:tcPr>
            <w:tcW w:type="dxa" w:w="2160"/>
          </w:tcPr>
          <w:p>
            <w:r>
              <w:t>63.8</w:t>
            </w:r>
          </w:p>
        </w:tc>
      </w:tr>
      <w:tr>
        <w:tc>
          <w:tcPr>
            <w:tcW w:type="dxa" w:w="2160"/>
          </w:tcPr>
          <w:p>
            <w:r>
              <w:t>SARIMA</w:t>
            </w:r>
          </w:p>
        </w:tc>
        <w:tc>
          <w:tcPr>
            <w:tcW w:type="dxa" w:w="2160"/>
          </w:tcPr>
          <w:p>
            <w:r>
              <w:t>79.25</w:t>
            </w:r>
          </w:p>
        </w:tc>
        <w:tc>
          <w:tcPr>
            <w:tcW w:type="dxa" w:w="2160"/>
          </w:tcPr>
          <w:p>
            <w:r>
              <w:t>20.75</w:t>
            </w:r>
          </w:p>
        </w:tc>
        <w:tc>
          <w:tcPr>
            <w:tcW w:type="dxa" w:w="2160"/>
          </w:tcPr>
          <w:p>
            <w:r>
              <w:t>90.3</w:t>
            </w:r>
          </w:p>
        </w:tc>
      </w:tr>
      <w:tr>
        <w:tc>
          <w:tcPr>
            <w:tcW w:type="dxa" w:w="2160"/>
          </w:tcPr>
          <w:p>
            <w:r>
              <w:t>Moving Average</w:t>
            </w:r>
          </w:p>
        </w:tc>
        <w:tc>
          <w:tcPr>
            <w:tcW w:type="dxa" w:w="2160"/>
          </w:tcPr>
          <w:p>
            <w:r>
              <w:t>73.89</w:t>
            </w:r>
          </w:p>
        </w:tc>
        <w:tc>
          <w:tcPr>
            <w:tcW w:type="dxa" w:w="2160"/>
          </w:tcPr>
          <w:p>
            <w:r>
              <w:t>26.11</w:t>
            </w:r>
          </w:p>
        </w:tc>
        <w:tc>
          <w:tcPr>
            <w:tcW w:type="dxa" w:w="2160"/>
          </w:tcPr>
          <w:p>
            <w:r>
              <w:t>114.63</w:t>
            </w:r>
          </w:p>
        </w:tc>
      </w:tr>
      <w:tr>
        <w:tc>
          <w:tcPr>
            <w:tcW w:type="dxa" w:w="2160"/>
          </w:tcPr>
          <w:p>
            <w:r>
              <w:t>Simple Exponential Smoothing</w:t>
            </w:r>
          </w:p>
        </w:tc>
        <w:tc>
          <w:tcPr>
            <w:tcW w:type="dxa" w:w="2160"/>
          </w:tcPr>
          <w:p>
            <w:r>
              <w:t>80.67</w:t>
            </w:r>
          </w:p>
        </w:tc>
        <w:tc>
          <w:tcPr>
            <w:tcW w:type="dxa" w:w="2160"/>
          </w:tcPr>
          <w:p>
            <w:r>
              <w:t>19.33</w:t>
            </w:r>
          </w:p>
        </w:tc>
        <w:tc>
          <w:tcPr>
            <w:tcW w:type="dxa" w:w="2160"/>
          </w:tcPr>
          <w:p>
            <w:r>
              <w:t>87.37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85.92</w:t>
            </w:r>
          </w:p>
        </w:tc>
        <w:tc>
          <w:tcPr>
            <w:tcW w:type="dxa" w:w="2160"/>
          </w:tcPr>
          <w:p>
            <w:r>
              <w:t>14.08</w:t>
            </w:r>
          </w:p>
        </w:tc>
        <w:tc>
          <w:tcPr>
            <w:tcW w:type="dxa" w:w="2160"/>
          </w:tcPr>
          <w:p>
            <w:r>
              <w:t>63.41</w:t>
            </w:r>
          </w:p>
        </w:tc>
      </w:tr>
    </w:tbl>
    <w:p/>
    <w:p>
      <w:pPr>
        <w:pStyle w:val="Heading1"/>
      </w:pPr>
      <w:r>
        <w:t>Insights &amp; Recommendations</w:t>
      </w:r>
    </w:p>
    <w:p>
      <w:r>
        <w:t>The forecast shows strong growth potential of 23.8%. Consider increasing inventory and marketing efforts to capitalize on the projected demand increase.</w:t>
      </w:r>
    </w:p>
    <w:p>
      <w:r>
        <w:br w:type="page"/>
      </w:r>
    </w:p>
    <w:p>
      <w:pPr>
        <w:pStyle w:val="Heading1"/>
      </w:pPr>
      <w:r>
        <w:t>Methodology</w:t>
      </w:r>
    </w:p>
    <w:p>
      <w:r>
        <w:br/>
        <w:t>This report uses advanced time series forecasting models to predict future sales and revenue patterns.</w:t>
        <w:br/>
        <w:t>The analysis evaluates multiple forecasting algorithms to select the best performing model based on accuracy metrics.</w:t>
        <w:br/>
        <w:br/>
        <w:t>Models Evaluated:</w:t>
        <w:br/>
        <w:t>- Prophet: Robust with seasonality handling</w:t>
        <w:br/>
        <w:t>- ARIMA: Classic time series model</w:t>
        <w:br/>
        <w:t>- Exponential Smoothing: Smooth trend estimation</w:t>
        <w:br/>
        <w:t>- SARIMA: Seasonal ARIMA</w:t>
        <w:br/>
        <w:t>- Moving Average: Simple trend following</w:t>
        <w:br/>
        <w:t>- Simple Exponential Smoothing: Basic smoothing</w:t>
        <w:br/>
        <w:t>- Linear Regression: Linear trend projection</w:t>
        <w:br/>
        <w:br/>
        <w:t>Metrics Used:</w:t>
        <w:br/>
        <w:t>- Accuracy: Overall prediction accuracy percentage</w:t>
        <w:br/>
        <w:t>- MAPE: Mean Absolute Percentage Error</w:t>
        <w:br/>
        <w:t>- RMSE: Root Mean Square Error</w:t>
        <w:br/>
        <w:t xml:space="preserve">    </w:t>
      </w:r>
    </w:p>
    <w:p/>
    <w:p>
      <w:r>
        <w:rPr>
          <w:b/>
        </w:rPr>
        <w:t>Disclaimer:</w:t>
      </w:r>
    </w:p>
    <w:p>
      <w:r>
        <w:t>This forecast report is generated using statistical models based on historical data. Actual results may vary due to external factors. Use this report as guidance for planning purposes.</w:t>
      </w:r>
    </w:p>
    <w:p>
      <w:pPr>
        <w:jc w:val="center"/>
      </w:pPr>
      <w:r>
        <w:rPr>
          <w:i/>
          <w:sz w:val="18"/>
        </w:rPr>
        <w:t>Report Generated: 2026-03-07 15:10:20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