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2"/>
      </w:pPr>
      <w:r>
        <w:rPr/>
        <w:t>I.- Datos Generales</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2277"/>
        <w:gridCol w:w="7468"/>
      </w:tblGrid>
      <w:tr>
        <w:trPr>
          <w:tblHeader w:val="true"/>
          <w:cantSplit/>
        </w:trPr>
        <w:tc>
          <w:tcPr>
            <w:tcW w:w="2277" w:type="dxa"/>
            <w:shd w:val="clear" w:color="auto" w:fill="ECECEC"/>
          </w:tcPr>
          <w:p>
            <w:pPr>
              <w:pStyle w:val="Compact"/>
              <w:spacing w:before="20" w:after="20"/>
            </w:pPr>
            <w:r>
              <w:rPr>
                <w:b/>
                <w:sz w:val="17"/>
              </w:rPr>
              <w:t>Código</w:t>
            </w:r>
          </w:p>
        </w:tc>
        <w:tc>
          <w:tcPr>
            <w:tcW w:w="7468" w:type="dxa"/>
            <w:shd w:val="clear" w:color="auto" w:fill="ECECEC"/>
          </w:tcPr>
          <w:p>
            <w:pPr>
              <w:pStyle w:val="Compact"/>
              <w:spacing w:before="20" w:after="20"/>
            </w:pPr>
            <w:r>
              <w:rPr>
                <w:b/>
                <w:sz w:val="17"/>
              </w:rPr>
              <w:t>Título</w:t>
            </w:r>
          </w:p>
        </w:tc>
      </w:tr>
      <w:tr>
        <w:tc>
          <w:tcPr>
            <w:tcW w:w="2277" w:type="dxa"/>
          </w:tcPr>
          <w:p>
            <w:pPr>
              <w:pStyle w:val="Compact"/>
              <w:spacing w:before="20" w:after="20"/>
            </w:pPr>
            <w:r>
              <w:rPr>
                <w:sz w:val="17"/>
              </w:rPr>
              <w:t>[Asignado por el CONOCER]</w:t>
            </w:r>
          </w:p>
        </w:tc>
        <w:tc>
          <w:tcPr>
            <w:tcW w:w="7468" w:type="dxa"/>
          </w:tcPr>
          <w:p>
            <w:pPr>
              <w:pStyle w:val="Compact"/>
              <w:spacing w:before="20" w:after="20"/>
            </w:pPr>
            <w:r>
              <w:rPr>
                <w:sz w:val="17"/>
              </w:rPr>
              <w:t>Gestión de riesgos y controles en el uso de sistemas de inteligencia artificial en la organización</w:t>
            </w:r>
          </w:p>
        </w:tc>
      </w:tr>
    </w:tbl>
    <w:p>
      <w:pPr>
        <w:pStyle w:val="BodyText"/>
      </w:pPr>
    </w:p>
    <w:p>
      <w:pPr>
        <w:pStyle w:val="Heading3"/>
      </w:pPr>
      <w:r>
        <w:rPr/>
        <w:t>Propósito del Estándar de Competencia</w:t>
      </w:r>
    </w:p>
    <w:p>
      <w:pPr>
        <w:pStyle w:val="FirstParagraph"/>
      </w:pPr>
      <w:r>
        <w:rPr/>
        <w:t>Servir como referente para la evaluación y certificación de las personas que gestionan los riesgos y controles del uso de sistemas de inteligencia artificial en una organización, y que integran el inventario de sistemas, evalúan los riesgos y el impacto de sus usos, establecen la política de uso y los controles, y supervisan su cumplimiento y la atención de los incidentes.</w:t>
      </w:r>
    </w:p>
    <w:p>
      <w:pPr>
        <w:pStyle w:val="BodyText"/>
      </w:pPr>
      <w:r>
        <w:rPr/>
        <w:t>Asimismo, puede ser referente para el desarrollo de programas de capacitación y de formación basados en Estándares de Competencia (EC).</w:t>
      </w:r>
    </w:p>
    <w:p>
      <w:pPr>
        <w:pStyle w:val="BodyText"/>
      </w:pPr>
      <w:r>
        <w:rPr/>
        <w:t>El presente EC se refiere únicamente a funciones para cuya realización no se requiere por disposición legal, la posesión de un título profesional. Por lo que para certificarse en este EC no deberá ser requisito el poseer dicho documento académico.</w:t>
      </w:r>
    </w:p>
    <w:p>
      <w:pPr>
        <w:pStyle w:val="Heading3"/>
      </w:pPr>
      <w:r>
        <w:rPr/>
        <w:t>Descripción general del Estándar de Competencia</w:t>
      </w:r>
    </w:p>
    <w:p>
      <w:pPr>
        <w:pStyle w:val="FirstParagraph"/>
      </w:pPr>
      <w:r>
        <w:rPr/>
        <w:t>Este EC expresa las funciones que una persona realiza para gestionar el uso de la inteligencia artificial en una organización, desde la integración del inventario de los sistemas de IA en uso, incluidos los no autorizados, y la evaluación de los riesgos y del impacto de cada uso en materia de protección de datos personales, seguridad de la información, exactitud de los resultados, sesgo y discriminación, derechos de las personas trabajadoras, propiedad intelectual e imagen y voz de las personas, y continuidad de la operación, hasta el establecimiento de la política de uso, la revisión de las condiciones de los proveedores, el plan de controles y el programa de capacitación, así como la supervisión de los controles, la gestión de incidentes y el informe a la dirección.</w:t>
      </w:r>
    </w:p>
    <w:p>
      <w:pPr>
        <w:pStyle w:val="BodyText"/>
      </w:pPr>
      <w:r>
        <w:rPr/>
        <w:t>También establece los conocimientos teóricos, básicos y prácticos con los que debe contar para realizar un trabajo, así como las actitudes relevantes en su desempeño.</w:t>
      </w:r>
    </w:p>
    <w:p>
      <w:pPr>
        <w:pStyle w:val="BodyText"/>
      </w:pPr>
      <w:r>
        <w:rPr/>
        <w:t>El presente EC se fundamenta en criterios rectores de legalidad, competitividad, libre acceso, respeto, trabajo digno y responsabilidad social.</w:t>
      </w:r>
    </w:p>
    <w:p>
      <w:pPr>
        <w:pStyle w:val="Heading3"/>
      </w:pPr>
      <w:r>
        <w:rPr/>
        <w:t>Nivel en el Sistema Nacional de Competencias: Cuatro</w:t>
      </w:r>
    </w:p>
    <w:p>
      <w:pPr>
        <w:pStyle w:val="FirstParagraph"/>
      </w:pPr>
      <w:r>
        <w:rPr/>
        <w:t>Desempeña diversas actividades tanto programadas, poco rutinarias como impredecibles que suponen la aplicación de técnicas y principios básicos. Recibe lineamientos generales de un superior. Requiere emitir orientaciones generales e instrucciones específicas a personas y equipos de trabajo subordinados. Es responsable de los resultados de las actividades de sus subordinados y del suyo propio.</w:t>
      </w:r>
    </w:p>
    <w:p>
      <w:pPr>
        <w:pStyle w:val="Heading3"/>
      </w:pPr>
      <w:r>
        <w:rPr/>
        <w:t>Comité de Gestión por Competencias que lo desarrolló</w:t>
      </w:r>
    </w:p>
    <w:p>
      <w:pPr>
        <w:pStyle w:val="FirstParagraph"/>
      </w:pPr>
      <w:r>
        <w:rPr/>
        <w:t>[Por designar]</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4666"/>
        <w:gridCol w:w="5079"/>
      </w:tblGrid>
      <w:tr>
        <w:trPr>
          <w:tblHeader w:val="true"/>
          <w:cantSplit/>
        </w:trPr>
        <w:tc>
          <w:tcPr>
            <w:tcW w:w="4666" w:type="dxa"/>
            <w:shd w:val="clear" w:color="auto" w:fill="ECECEC"/>
          </w:tcPr>
          <w:p>
            <w:pPr>
              <w:pStyle w:val="Compact"/>
              <w:spacing w:before="20" w:after="20"/>
            </w:pPr>
            <w:r>
              <w:rPr>
                <w:b/>
                <w:sz w:val="17"/>
              </w:rPr>
              <w:t>Fecha de aprobación por el Comité Técnico del CONOCER</w:t>
            </w:r>
          </w:p>
        </w:tc>
        <w:tc>
          <w:tcPr>
            <w:tcW w:w="5079" w:type="dxa"/>
            <w:shd w:val="clear" w:color="auto" w:fill="ECECEC"/>
          </w:tcPr>
          <w:p>
            <w:pPr>
              <w:pStyle w:val="Compact"/>
              <w:spacing w:before="20" w:after="20"/>
            </w:pPr>
            <w:r>
              <w:rPr>
                <w:b/>
                <w:sz w:val="17"/>
              </w:rPr>
              <w:t>Fecha de publicación en el Diario Oficial de la Federación</w:t>
            </w:r>
          </w:p>
        </w:tc>
      </w:tr>
      <w:tr>
        <w:tc>
          <w:tcPr>
            <w:tcW w:w="4666" w:type="dxa"/>
          </w:tcPr>
          <w:p>
            <w:pPr>
              <w:pStyle w:val="Compact"/>
              <w:spacing w:before="20" w:after="20"/>
            </w:pPr>
            <w:r>
              <w:rPr>
                <w:sz w:val="17"/>
              </w:rPr>
              <w:t>[ ]</w:t>
            </w:r>
          </w:p>
        </w:tc>
        <w:tc>
          <w:tcPr>
            <w:tcW w:w="5079" w:type="dxa"/>
          </w:tcPr>
          <w:p>
            <w:pPr>
              <w:pStyle w:val="Compact"/>
              <w:spacing w:before="20" w:after="20"/>
            </w:pPr>
            <w:r>
              <w:rPr>
                <w:sz w:val="17"/>
              </w:rPr>
              <w:t>[ ]</w:t>
            </w:r>
          </w:p>
        </w:tc>
      </w:tr>
    </w:tbl>
    <w:p>
      <w:pPr>
        <w:pStyle w:val="BodyText"/>
      </w:pP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4632"/>
        <w:gridCol w:w="5113"/>
      </w:tblGrid>
      <w:tr>
        <w:trPr>
          <w:tblHeader w:val="true"/>
          <w:cantSplit/>
        </w:trPr>
        <w:tc>
          <w:tcPr>
            <w:tcW w:w="4632" w:type="dxa"/>
            <w:shd w:val="clear" w:color="auto" w:fill="ECECEC"/>
          </w:tcPr>
          <w:p>
            <w:pPr>
              <w:pStyle w:val="Compact"/>
              <w:spacing w:before="20" w:after="20"/>
            </w:pPr>
            <w:r>
              <w:rPr>
                <w:b/>
                <w:sz w:val="17"/>
              </w:rPr>
              <w:t>Periodo sugerido de revisión/actualización del EC</w:t>
            </w:r>
          </w:p>
        </w:tc>
        <w:tc>
          <w:tcPr>
            <w:tcW w:w="5113" w:type="dxa"/>
            <w:shd w:val="clear" w:color="auto" w:fill="ECECEC"/>
          </w:tcPr>
          <w:p>
            <w:pPr>
              <w:pStyle w:val="Compact"/>
              <w:spacing w:before="20" w:after="20"/>
            </w:pPr>
            <w:r>
              <w:rPr>
                <w:b/>
                <w:sz w:val="17"/>
              </w:rPr>
              <w:t>Tiempo de Vigencia del Certificado de competencia en este EC</w:t>
            </w:r>
          </w:p>
        </w:tc>
      </w:tr>
      <w:tr>
        <w:tc>
          <w:tcPr>
            <w:tcW w:w="4632" w:type="dxa"/>
          </w:tcPr>
          <w:p>
            <w:pPr>
              <w:pStyle w:val="Compact"/>
              <w:spacing w:before="20" w:after="20"/>
            </w:pPr>
            <w:r>
              <w:rPr>
                <w:sz w:val="17"/>
              </w:rPr>
              <w:t>2 años</w:t>
            </w:r>
          </w:p>
        </w:tc>
        <w:tc>
          <w:tcPr>
            <w:tcW w:w="5113" w:type="dxa"/>
          </w:tcPr>
          <w:p>
            <w:pPr>
              <w:pStyle w:val="Compact"/>
              <w:spacing w:before="20" w:after="20"/>
            </w:pPr>
            <w:r>
              <w:rPr>
                <w:sz w:val="17"/>
              </w:rPr>
              <w:t>2 años</w:t>
            </w:r>
          </w:p>
        </w:tc>
      </w:tr>
    </w:tbl>
    <w:p>
      <w:pPr>
        <w:pStyle w:val="BodyText"/>
      </w:pPr>
    </w:p>
    <w:p>
      <w:pPr>
        <w:pStyle w:val="Heading3"/>
      </w:pPr>
      <w:r>
        <w:rPr/>
        <w:t>Ocupaciones relacionadas con este EC de acuerdo con el Sistema Nacional de Clasificación de Ocupaciones (SINCO)</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5632"/>
        <w:gridCol w:w="4113"/>
      </w:tblGrid>
      <w:tr>
        <w:trPr>
          <w:tblHeader w:val="true"/>
          <w:cantSplit/>
        </w:trPr>
        <w:tc>
          <w:tcPr>
            <w:tcW w:w="5632" w:type="dxa"/>
            <w:shd w:val="clear" w:color="auto" w:fill="ECECEC"/>
          </w:tcPr>
          <w:p>
            <w:pPr>
              <w:pStyle w:val="Compact"/>
              <w:spacing w:before="20" w:after="20"/>
            </w:pPr>
            <w:r>
              <w:rPr>
                <w:b/>
                <w:sz w:val="17"/>
              </w:rPr>
              <w:t>Grupo unitario</w:t>
            </w:r>
          </w:p>
        </w:tc>
        <w:tc>
          <w:tcPr>
            <w:tcW w:w="4113" w:type="dxa"/>
            <w:shd w:val="clear" w:color="auto" w:fill="ECECEC"/>
          </w:tcPr>
          <w:p>
            <w:pPr>
              <w:pStyle w:val="Compact"/>
              <w:spacing w:before="20" w:after="20"/>
            </w:pPr>
            <w:r>
              <w:rPr>
                <w:b/>
                <w:sz w:val="17"/>
              </w:rPr>
              <w:t>Ocupaciones asociadas</w:t>
            </w:r>
          </w:p>
        </w:tc>
      </w:tr>
      <w:tr>
        <w:tc>
          <w:tcPr>
            <w:tcW w:w="5632" w:type="dxa"/>
          </w:tcPr>
          <w:p>
            <w:pPr>
              <w:pStyle w:val="Compact"/>
              <w:spacing w:before="20" w:after="20"/>
            </w:pPr>
            <w:r>
              <w:rPr>
                <w:sz w:val="17"/>
              </w:rPr>
              <w:t>9999 Ocupaciones no especificadas</w:t>
            </w:r>
          </w:p>
        </w:tc>
        <w:tc>
          <w:tcPr>
            <w:tcW w:w="4113" w:type="dxa"/>
          </w:tcPr>
          <w:p>
            <w:pPr>
              <w:pStyle w:val="Compact"/>
              <w:spacing w:before="20" w:after="20"/>
            </w:pPr>
            <w:r>
              <w:rPr>
                <w:sz w:val="17"/>
              </w:rPr>
              <w:t>Sin referente</w:t>
            </w:r>
          </w:p>
        </w:tc>
      </w:tr>
    </w:tbl>
    <w:p>
      <w:pPr>
        <w:pStyle w:val="BodyText"/>
      </w:pPr>
    </w:p>
    <w:p>
      <w:pPr>
        <w:pStyle w:val="BodyText"/>
      </w:pPr>
      <w:r>
        <w:rPr>
          <w:b/>
        </w:rPr>
        <w:t>Ocupaciones no contenidas en el Sistema Nacional de Clasificación de Ocupaciones y reconocidas en el Sector para este EC:</w:t>
      </w:r>
    </w:p>
    <w:p>
      <w:pPr>
        <w:pStyle w:val="Compact"/>
        <w:numPr>
          <w:ilvl w:val="0"/>
          <w:numId w:val="1043"/>
        </w:numPr>
      </w:pPr>
      <w:r>
        <w:rPr/>
        <w:t>Responsable de gobernanza de inteligencia artificial</w:t>
      </w:r>
    </w:p>
    <w:p>
      <w:pPr>
        <w:pStyle w:val="Compact"/>
        <w:numPr>
          <w:ilvl w:val="0"/>
          <w:numId w:val="1043"/>
        </w:numPr>
      </w:pPr>
      <w:r>
        <w:rPr/>
        <w:t>Oficial de cumplimiento</w:t>
      </w:r>
    </w:p>
    <w:p>
      <w:pPr>
        <w:pStyle w:val="Compact"/>
        <w:numPr>
          <w:ilvl w:val="0"/>
          <w:numId w:val="1043"/>
        </w:numPr>
      </w:pPr>
      <w:r>
        <w:rPr/>
        <w:t>Responsable de protección de datos personales</w:t>
      </w:r>
    </w:p>
    <w:p>
      <w:pPr>
        <w:pStyle w:val="Compact"/>
        <w:numPr>
          <w:ilvl w:val="0"/>
          <w:numId w:val="1043"/>
        </w:numPr>
      </w:pPr>
      <w:r>
        <w:rPr/>
        <w:t>Responsable de seguridad de la información</w:t>
      </w:r>
    </w:p>
    <w:p>
      <w:pPr>
        <w:pStyle w:val="Compact"/>
        <w:numPr>
          <w:ilvl w:val="0"/>
          <w:numId w:val="1043"/>
        </w:numPr>
      </w:pPr>
      <w:r>
        <w:rPr/>
        <w:t>Gerente de riesgos tecnológicos</w:t>
      </w:r>
    </w:p>
    <w:p>
      <w:pPr>
        <w:pStyle w:val="Heading3"/>
      </w:pPr>
      <w:r>
        <w:rPr/>
        <w:t>Clasificación según el Sistema de Clasificación Industrial de América del Norte (SCIAN)</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910"/>
        <w:gridCol w:w="1917"/>
        <w:gridCol w:w="2120"/>
        <w:gridCol w:w="1894"/>
        <w:gridCol w:w="1902"/>
      </w:tblGrid>
      <w:tr>
        <w:trPr>
          <w:tblHeader w:val="true"/>
          <w:cantSplit/>
        </w:trPr>
        <w:tc>
          <w:tcPr>
            <w:tcW w:w="1910" w:type="dxa"/>
            <w:shd w:val="clear" w:color="auto" w:fill="ECECEC"/>
          </w:tcPr>
          <w:p>
            <w:pPr>
              <w:pStyle w:val="Compact"/>
              <w:spacing w:before="20" w:after="20"/>
            </w:pPr>
            <w:r>
              <w:rPr>
                <w:b/>
                <w:sz w:val="17"/>
              </w:rPr>
              <w:t>Sector</w:t>
            </w:r>
          </w:p>
        </w:tc>
        <w:tc>
          <w:tcPr>
            <w:tcW w:w="1917" w:type="dxa"/>
            <w:shd w:val="clear" w:color="auto" w:fill="ECECEC"/>
          </w:tcPr>
          <w:p>
            <w:pPr>
              <w:pStyle w:val="Compact"/>
              <w:spacing w:before="20" w:after="20"/>
            </w:pPr>
            <w:r>
              <w:rPr>
                <w:b/>
                <w:sz w:val="17"/>
              </w:rPr>
              <w:t>Subsector</w:t>
            </w:r>
          </w:p>
        </w:tc>
        <w:tc>
          <w:tcPr>
            <w:tcW w:w="2120" w:type="dxa"/>
            <w:shd w:val="clear" w:color="auto" w:fill="ECECEC"/>
          </w:tcPr>
          <w:p>
            <w:pPr>
              <w:pStyle w:val="Compact"/>
              <w:spacing w:before="20" w:after="20"/>
            </w:pPr>
            <w:r>
              <w:rPr>
                <w:b/>
                <w:sz w:val="17"/>
              </w:rPr>
              <w:t>Rama</w:t>
            </w:r>
          </w:p>
        </w:tc>
        <w:tc>
          <w:tcPr>
            <w:tcW w:w="1894" w:type="dxa"/>
            <w:shd w:val="clear" w:color="auto" w:fill="ECECEC"/>
          </w:tcPr>
          <w:p>
            <w:pPr>
              <w:pStyle w:val="Compact"/>
              <w:spacing w:before="20" w:after="20"/>
            </w:pPr>
            <w:r>
              <w:rPr>
                <w:b/>
                <w:sz w:val="17"/>
              </w:rPr>
              <w:t>Subrama</w:t>
            </w:r>
          </w:p>
        </w:tc>
        <w:tc>
          <w:tcPr>
            <w:tcW w:w="1902" w:type="dxa"/>
            <w:shd w:val="clear" w:color="auto" w:fill="ECECEC"/>
          </w:tcPr>
          <w:p>
            <w:pPr>
              <w:pStyle w:val="Compact"/>
              <w:spacing w:before="20" w:after="20"/>
            </w:pPr>
            <w:r>
              <w:rPr>
                <w:b/>
                <w:sz w:val="17"/>
              </w:rPr>
              <w:t>Clase</w:t>
            </w:r>
          </w:p>
        </w:tc>
      </w:tr>
      <w:tr>
        <w:tc>
          <w:tcPr>
            <w:tcW w:w="1910" w:type="dxa"/>
          </w:tcPr>
          <w:p>
            <w:pPr>
              <w:pStyle w:val="Compact"/>
              <w:spacing w:before="20" w:after="20"/>
            </w:pPr>
            <w:r>
              <w:rPr>
                <w:sz w:val="17"/>
              </w:rPr>
              <w:t>54 Servicios profesionales, científicos y técnicos</w:t>
            </w:r>
          </w:p>
        </w:tc>
        <w:tc>
          <w:tcPr>
            <w:tcW w:w="1917" w:type="dxa"/>
          </w:tcPr>
          <w:p>
            <w:pPr>
              <w:pStyle w:val="Compact"/>
              <w:spacing w:before="20" w:after="20"/>
            </w:pPr>
            <w:r>
              <w:rPr>
                <w:sz w:val="17"/>
              </w:rPr>
              <w:t>541 Servicios profesionales, científicos y técnicos</w:t>
            </w:r>
          </w:p>
        </w:tc>
        <w:tc>
          <w:tcPr>
            <w:tcW w:w="2120" w:type="dxa"/>
          </w:tcPr>
          <w:p>
            <w:pPr>
              <w:pStyle w:val="Compact"/>
              <w:spacing w:before="20" w:after="20"/>
            </w:pPr>
            <w:r>
              <w:rPr>
                <w:sz w:val="17"/>
              </w:rPr>
              <w:t>5416 Servicios de consultoría administrativa, científica y técnica</w:t>
            </w:r>
          </w:p>
        </w:tc>
        <w:tc>
          <w:tcPr>
            <w:tcW w:w="1894" w:type="dxa"/>
          </w:tcPr>
          <w:p>
            <w:pPr>
              <w:pStyle w:val="Compact"/>
              <w:spacing w:before="20" w:after="20"/>
            </w:pPr>
            <w:r>
              <w:rPr>
                <w:sz w:val="17"/>
              </w:rPr>
              <w:t>54161 Servicios de consultoría en administración</w:t>
            </w:r>
          </w:p>
        </w:tc>
        <w:tc>
          <w:tcPr>
            <w:tcW w:w="1902" w:type="dxa"/>
          </w:tcPr>
          <w:p>
            <w:pPr>
              <w:pStyle w:val="Compact"/>
              <w:spacing w:before="20" w:after="20"/>
            </w:pPr>
            <w:r>
              <w:rPr>
                <w:sz w:val="17"/>
              </w:rPr>
              <w:t>541610 Servicios de consultoría en administración</w:t>
            </w:r>
          </w:p>
        </w:tc>
      </w:tr>
    </w:tbl>
    <w:p>
      <w:pPr>
        <w:pStyle w:val="BodyText"/>
      </w:pPr>
    </w:p>
    <w:p>
      <w:pPr>
        <w:pStyle w:val="BodyText"/>
      </w:pPr>
      <w:r>
        <w:rPr>
          <w:i/>
        </w:rPr>
        <w:t>Clasificación propuesta, por confirmar con el CONOCER.</w:t>
      </w:r>
    </w:p>
    <w:p>
      <w:pPr>
        <w:pStyle w:val="BodyText"/>
      </w:pPr>
      <w:r>
        <w:rPr/>
        <w:t>El presente EC, una vez publicado en el Diario Oficial de la Federación, se integrará en el Registro Nacional de Estándares de Competencia que opera el CONOCER a fin de facilitar su uso y consulta gratuita.</w:t>
      </w:r>
    </w:p>
    <w:p>
      <w:pPr>
        <w:pStyle w:val="Heading3"/>
      </w:pPr>
      <w:r>
        <w:rPr/>
        <w:t>Organizaciones participantes en el desarrollo del Estándar de Competencia</w:t>
      </w:r>
    </w:p>
    <w:p>
      <w:pPr>
        <w:pStyle w:val="Compact"/>
        <w:numPr>
          <w:ilvl w:val="0"/>
          <w:numId w:val="1043"/>
        </w:numPr>
      </w:pPr>
      <w:r>
        <w:rPr/>
        <w:t>[Por integrar: empresa desarrolladora, centro de evaluación, empresas de sectores regulados, cámaras empresariales y especialistas en protección de datos]</w:t>
      </w:r>
    </w:p>
    <w:p>
      <w:pPr>
        <w:pStyle w:val="Heading3"/>
      </w:pPr>
      <w:r>
        <w:rPr/>
        <w:t>Aspectos relevantes de la evaluación</w:t>
      </w:r>
    </w:p>
    <w:p>
      <w:pPr>
        <w:pStyle w:val="FirstParagraph"/>
      </w:pPr>
      <w:r>
        <w:rPr>
          <w:b/>
        </w:rPr>
        <w:t>Detalles de la práctica a considerar</w:t>
      </w:r>
    </w:p>
    <w:p>
      <w:pPr>
        <w:pStyle w:val="Compact"/>
        <w:numPr>
          <w:ilvl w:val="0"/>
          <w:numId w:val="1043"/>
        </w:numPr>
      </w:pPr>
      <w:r>
        <w:rPr/>
        <w:t>La evaluación se lleva a cabo en situación simulada, sobre el caso práctico de una organización ficticia que describe sus áreas, procesos, sistemas de IA en uso, autorizados y no autorizados, proveedores, tipos de información que procesa y un incidente.</w:t>
      </w:r>
    </w:p>
    <w:p>
      <w:pPr>
        <w:pStyle w:val="Compact"/>
        <w:numPr>
          <w:ilvl w:val="0"/>
          <w:numId w:val="1043"/>
        </w:numPr>
      </w:pPr>
      <w:r>
        <w:rPr/>
        <w:t>La persona elabora los productos de los cuatro elementos a partir del mismo caso e integra un expediente de gestión de IA.</w:t>
      </w:r>
    </w:p>
    <w:p>
      <w:pPr>
        <w:pStyle w:val="Compact"/>
        <w:numPr>
          <w:ilvl w:val="0"/>
          <w:numId w:val="1043"/>
        </w:numPr>
      </w:pPr>
      <w:r>
        <w:rPr/>
        <w:t>Los desempeños se evalúan mediante simulaciones conducidas por el evaluador: entrevista con el responsable de un área usuaria (Elemento 1 de 4), presentación a la dirección (Elemento 2 de 4), comunicación de la política a personas usuarias (Elemento 3 de 4) y atención de un incidente (Elemento 4 de 4).</w:t>
      </w:r>
    </w:p>
    <w:p>
      <w:pPr>
        <w:pStyle w:val="Compact"/>
        <w:numPr>
          <w:ilvl w:val="0"/>
          <w:numId w:val="1043"/>
        </w:numPr>
      </w:pPr>
      <w:r>
        <w:rPr/>
        <w:t>En ningún momento deben utilizarse datos personales ni información confidencial reales.</w:t>
      </w:r>
    </w:p>
    <w:p>
      <w:pPr>
        <w:pStyle w:val="BodyText"/>
      </w:pPr>
      <w:r>
        <w:rPr>
          <w:b/>
        </w:rPr>
        <w:t>Apoyos/Requerimientos</w:t>
      </w:r>
    </w:p>
    <w:p>
      <w:pPr>
        <w:pStyle w:val="Compact"/>
        <w:numPr>
          <w:ilvl w:val="0"/>
          <w:numId w:val="1043"/>
        </w:numPr>
      </w:pPr>
      <w:r>
        <w:rPr/>
        <w:t>Equipo de cómputo con procesador de textos y hoja de cálculo.</w:t>
      </w:r>
    </w:p>
    <w:p>
      <w:pPr>
        <w:pStyle w:val="Compact"/>
        <w:numPr>
          <w:ilvl w:val="0"/>
          <w:numId w:val="1043"/>
        </w:numPr>
      </w:pPr>
      <w:r>
        <w:rPr/>
        <w:t>Caso práctico de la organización ficticia con sus anexos: perfil de la organización, respuestas al cuestionario de levantamiento, relación de contrataciones y licencias de software, registro técnico de accesos a servicios de IA, extracto de las condiciones de servicio de un proveedor de IA, directorio y formatos. El incidente se presenta durante la simulación.</w:t>
      </w:r>
    </w:p>
    <w:p>
      <w:pPr>
        <w:pStyle w:val="Compact"/>
        <w:numPr>
          <w:ilvl w:val="0"/>
          <w:numId w:val="1043"/>
        </w:numPr>
      </w:pPr>
      <w:r>
        <w:rPr/>
        <w:t>Espacio para las simulaciones de entrevista, presentación, comunicación de la política y atención del incidente.</w:t>
      </w:r>
    </w:p>
    <w:p>
      <w:pPr>
        <w:pStyle w:val="BodyText"/>
      </w:pPr>
      <w:r>
        <w:rPr>
          <w:b/>
        </w:rPr>
        <w:t>Duración estimada de la evaluación</w:t>
      </w:r>
    </w:p>
    <w:p>
      <w:pPr>
        <w:pStyle w:val="Compact"/>
        <w:numPr>
          <w:ilvl w:val="0"/>
          <w:numId w:val="1043"/>
        </w:numPr>
      </w:pPr>
      <w:r>
        <w:rPr/>
        <w:t>1 hora en gabinete y 4 horas en campo, totalizando 5 horas.</w:t>
      </w:r>
    </w:p>
    <w:p>
      <w:pPr>
        <w:pStyle w:val="Heading3"/>
      </w:pPr>
      <w:r>
        <w:rPr/>
        <w:t>Referencias de Información</w:t>
      </w:r>
    </w:p>
    <w:p>
      <w:pPr>
        <w:pStyle w:val="Compact"/>
        <w:numPr>
          <w:ilvl w:val="0"/>
          <w:numId w:val="1043"/>
        </w:numPr>
      </w:pPr>
      <w:r>
        <w:rPr/>
        <w:t>Ley Federal de Protección de Datos Personales en Posesión de los Particulares. Diario Oficial de la Federación, 20 de marzo de 2025 (última reforma: 14 de noviembre de 2025).</w:t>
      </w:r>
    </w:p>
    <w:p>
      <w:pPr>
        <w:pStyle w:val="Compact"/>
        <w:numPr>
          <w:ilvl w:val="0"/>
          <w:numId w:val="1043"/>
        </w:numPr>
      </w:pPr>
      <w:r>
        <w:rPr/>
        <w:t>Ley Federal del Trabajo (última reforma: 14 de mayo de 2026).</w:t>
      </w:r>
    </w:p>
    <w:p>
      <w:pPr>
        <w:pStyle w:val="Compact"/>
        <w:numPr>
          <w:ilvl w:val="0"/>
          <w:numId w:val="1043"/>
        </w:numPr>
      </w:pPr>
      <w:r>
        <w:rPr/>
        <w:t>Ley Federal del Derecho de Autor (última reforma: 14 de mayo de 2026).</w:t>
      </w:r>
    </w:p>
    <w:p>
      <w:pPr>
        <w:pStyle w:val="Compact"/>
        <w:numPr>
          <w:ilvl w:val="0"/>
          <w:numId w:val="1043"/>
        </w:numPr>
      </w:pPr>
      <w:r>
        <w:rPr/>
        <w:t>Ley Federal para Prevenir y Eliminar la Discriminación.</w:t>
      </w:r>
    </w:p>
    <w:p>
      <w:pPr>
        <w:pStyle w:val="Compact"/>
        <w:numPr>
          <w:ilvl w:val="0"/>
          <w:numId w:val="1043"/>
        </w:numPr>
      </w:pPr>
      <w:r>
        <w:rPr/>
        <w:t>ISO 31000:2018. Risk management — Guidelines.</w:t>
      </w:r>
    </w:p>
    <w:p>
      <w:pPr>
        <w:pStyle w:val="Compact"/>
        <w:numPr>
          <w:ilvl w:val="0"/>
          <w:numId w:val="1043"/>
        </w:numPr>
      </w:pPr>
      <w:r>
        <w:rPr/>
        <w:t>ISO/IEC 22989:2022. Information technology — Artificial intelligence — Artificial intelligence concepts and terminology.</w:t>
      </w:r>
    </w:p>
    <w:p>
      <w:pPr>
        <w:pStyle w:val="Compact"/>
        <w:numPr>
          <w:ilvl w:val="0"/>
          <w:numId w:val="1043"/>
        </w:numPr>
      </w:pPr>
      <w:r>
        <w:rPr/>
        <w:t>ISO/IEC 23894:2023. Information technology — Artificial intelligence — Guidance on risk management.</w:t>
      </w:r>
    </w:p>
    <w:p>
      <w:pPr>
        <w:pStyle w:val="Compact"/>
        <w:numPr>
          <w:ilvl w:val="0"/>
          <w:numId w:val="1043"/>
        </w:numPr>
      </w:pPr>
      <w:r>
        <w:rPr/>
        <w:t>ISO/IEC 27001:2022. Information security, cybersecurity and privacy protection — Information security management systems — Requirements.</w:t>
      </w:r>
    </w:p>
    <w:p>
      <w:pPr>
        <w:pStyle w:val="Compact"/>
        <w:numPr>
          <w:ilvl w:val="0"/>
          <w:numId w:val="1043"/>
        </w:numPr>
      </w:pPr>
      <w:r>
        <w:rPr/>
        <w:t>ISO/IEC 42001:2023. Information technology — Artificial intelligence — Management system.</w:t>
      </w:r>
    </w:p>
    <w:p>
      <w:pPr>
        <w:pStyle w:val="Compact"/>
        <w:numPr>
          <w:ilvl w:val="0"/>
          <w:numId w:val="1043"/>
        </w:numPr>
      </w:pPr>
      <w:r>
        <w:rPr/>
        <w:t>National Institute of Standards and Technology (2023). NIST AI 100-1. Artificial Intelligence Risk Management Framework (AI RMF 1.0).</w:t>
      </w:r>
    </w:p>
    <w:p>
      <w:pPr>
        <w:pStyle w:val="Compact"/>
        <w:numPr>
          <w:ilvl w:val="0"/>
          <w:numId w:val="1043"/>
        </w:numPr>
      </w:pPr>
      <w:r>
        <w:rPr/>
        <w:t>National Institute of Standards and Technology (2024). NIST AI 600-1. Artificial Intelligence Risk Management Framework: Generative Artificial Intelligence Profile.</w:t>
      </w:r>
    </w:p>
    <w:p>
      <w:pPr>
        <w:pStyle w:val="Compact"/>
        <w:numPr>
          <w:ilvl w:val="0"/>
          <w:numId w:val="1043"/>
        </w:numPr>
      </w:pPr>
      <w:r>
        <w:rPr/>
        <w:t>OWASP Foundation (2025). OWASP Top 10 for Large Language Model Applications.</w:t>
      </w:r>
    </w:p>
    <w:p>
      <w:pPr>
        <w:pStyle w:val="Compact"/>
        <w:numPr>
          <w:ilvl w:val="0"/>
          <w:numId w:val="1043"/>
        </w:numPr>
      </w:pPr>
      <w:r>
        <w:rPr/>
        <w:t>Reglamento (UE) 2024/1689 del Parlamento Europeo y del Consejo, por el que se establecen normas armonizadas en materia de inteligencia artificial, modificado por el Reglamento (UE) 2026/1744 (DOUE, 24 de julio de 2026).</w:t>
      </w:r>
    </w:p>
    <w:p>
      <w:pPr>
        <w:pStyle w:val="Compact"/>
        <w:numPr>
          <w:ilvl w:val="0"/>
          <w:numId w:val="1043"/>
        </w:numPr>
      </w:pPr>
      <w:r>
        <w:rPr/>
        <w:t>UNESCO (2021). Recomendación sobre la ética de la inteligencia artificial.</w:t>
      </w:r>
    </w:p>
    <w:p>
      <w:pPr>
        <w:pStyle w:val="BodyText"/>
        <w:pBdr>
          <w:bottom w:val="single" w:sz="4" w:space="1" w:color="BFC0C0"/>
        </w:pBdr>
      </w:pPr>
    </w:p>
    <w:p>
      <w:pPr>
        <w:pStyle w:val="Heading2"/>
      </w:pPr>
      <w:r>
        <w:rPr/>
        <w:t>II.- Perfil del Estándar de Competencia</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4570"/>
        <w:gridCol w:w="5175"/>
      </w:tblGrid>
      <w:tr>
        <w:trPr>
          <w:tblHeader w:val="true"/>
          <w:cantSplit/>
        </w:trPr>
        <w:tc>
          <w:tcPr>
            <w:tcW w:w="4570" w:type="dxa"/>
            <w:shd w:val="clear" w:color="auto" w:fill="ECECEC"/>
          </w:tcPr>
          <w:p>
            <w:pPr>
              <w:pStyle w:val="Compact"/>
              <w:spacing w:before="20" w:after="20"/>
            </w:pPr>
            <w:r>
              <w:rPr>
                <w:b/>
                <w:sz w:val="17"/>
              </w:rPr>
              <w:t>Estándar de Competencia</w:t>
            </w:r>
          </w:p>
        </w:tc>
        <w:tc>
          <w:tcPr>
            <w:tcW w:w="5175" w:type="dxa"/>
            <w:shd w:val="clear" w:color="auto" w:fill="ECECEC"/>
          </w:tcPr>
          <w:p>
            <w:pPr>
              <w:pStyle w:val="Compact"/>
              <w:spacing w:before="20" w:after="20"/>
            </w:pPr>
            <w:r>
              <w:rPr>
                <w:b/>
                <w:sz w:val="17"/>
              </w:rPr>
              <w:t>Elementos</w:t>
            </w:r>
          </w:p>
        </w:tc>
      </w:tr>
      <w:tr>
        <w:tc>
          <w:tcPr>
            <w:tcW w:w="4570" w:type="dxa"/>
          </w:tcPr>
          <w:p>
            <w:pPr>
              <w:pStyle w:val="Compact"/>
              <w:spacing w:before="20" w:after="20"/>
            </w:pPr>
            <w:r>
              <w:rPr>
                <w:sz w:val="17"/>
              </w:rPr>
              <w:t>Gestión de riesgos y controles en el uso de sistemas de inteligencia artificial en la organización</w:t>
            </w:r>
          </w:p>
        </w:tc>
        <w:tc>
          <w:tcPr>
            <w:tcW w:w="5175" w:type="dxa"/>
          </w:tcPr>
          <w:p>
            <w:pPr>
              <w:pStyle w:val="Compact"/>
              <w:spacing w:before="20" w:after="20"/>
            </w:pPr>
            <w:r>
              <w:rPr>
                <w:b/>
                <w:sz w:val="17"/>
              </w:rPr>
              <w:t>Elemento 1 de 4</w:t>
            </w:r>
            <w:r>
              <w:rPr>
                <w:sz w:val="17"/>
              </w:rPr>
              <w:t xml:space="preserve"> · Integrar el inventario de sistemas de inteligencia artificial de la organización</w:t>
            </w:r>
          </w:p>
        </w:tc>
      </w:tr>
      <w:tr>
        <w:tc>
          <w:tcPr>
            <w:tcW w:w="4570" w:type="dxa"/>
          </w:tcPr>
          <w:p>
            <w:pPr>
              <w:pStyle w:val="Compact"/>
              <w:spacing w:before="20" w:after="20"/>
            </w:pPr>
          </w:p>
        </w:tc>
        <w:tc>
          <w:tcPr>
            <w:tcW w:w="5175" w:type="dxa"/>
          </w:tcPr>
          <w:p>
            <w:pPr>
              <w:pStyle w:val="Compact"/>
              <w:spacing w:before="20" w:after="20"/>
            </w:pPr>
            <w:r>
              <w:rPr>
                <w:b/>
                <w:sz w:val="17"/>
              </w:rPr>
              <w:t>Elemento 2 de 4</w:t>
            </w:r>
            <w:r>
              <w:rPr>
                <w:sz w:val="17"/>
              </w:rPr>
              <w:t xml:space="preserve"> · Evaluar los riesgos de los usos de inteligencia artificial de la organización</w:t>
            </w:r>
          </w:p>
        </w:tc>
      </w:tr>
      <w:tr>
        <w:tc>
          <w:tcPr>
            <w:tcW w:w="4570" w:type="dxa"/>
          </w:tcPr>
          <w:p>
            <w:pPr>
              <w:pStyle w:val="Compact"/>
              <w:spacing w:before="20" w:after="20"/>
            </w:pPr>
          </w:p>
        </w:tc>
        <w:tc>
          <w:tcPr>
            <w:tcW w:w="5175" w:type="dxa"/>
          </w:tcPr>
          <w:p>
            <w:pPr>
              <w:pStyle w:val="Compact"/>
              <w:spacing w:before="20" w:after="20"/>
            </w:pPr>
            <w:r>
              <w:rPr>
                <w:b/>
                <w:sz w:val="17"/>
              </w:rPr>
              <w:t>Elemento 3 de 4</w:t>
            </w:r>
            <w:r>
              <w:rPr>
                <w:sz w:val="17"/>
              </w:rPr>
              <w:t xml:space="preserve"> · Establecer la política de uso y los controles de inteligencia artificial</w:t>
            </w:r>
          </w:p>
        </w:tc>
      </w:tr>
      <w:tr>
        <w:tc>
          <w:tcPr>
            <w:tcW w:w="4570" w:type="dxa"/>
          </w:tcPr>
          <w:p>
            <w:pPr>
              <w:pStyle w:val="Compact"/>
              <w:spacing w:before="20" w:after="20"/>
            </w:pPr>
          </w:p>
        </w:tc>
        <w:tc>
          <w:tcPr>
            <w:tcW w:w="5175" w:type="dxa"/>
          </w:tcPr>
          <w:p>
            <w:pPr>
              <w:pStyle w:val="Compact"/>
              <w:spacing w:before="20" w:after="20"/>
            </w:pPr>
            <w:r>
              <w:rPr>
                <w:b/>
                <w:sz w:val="17"/>
              </w:rPr>
              <w:t>Elemento 4 de 4</w:t>
            </w:r>
            <w:r>
              <w:rPr>
                <w:sz w:val="17"/>
              </w:rPr>
              <w:t xml:space="preserve"> · Supervisar el cumplimiento de los controles y gestionar los incidentes de inteligencia artificial</w:t>
            </w:r>
          </w:p>
        </w:tc>
      </w:tr>
    </w:tbl>
    <w:p>
      <w:pPr>
        <w:pStyle w:val="BodyText"/>
      </w:pPr>
    </w:p>
    <w:p>
      <w:pPr>
        <w:pStyle w:val="BodyText"/>
        <w:pBdr>
          <w:bottom w:val="single" w:sz="4" w:space="1" w:color="BFC0C0"/>
        </w:pBdr>
      </w:pPr>
    </w:p>
    <w:p>
      <w:pPr>
        <w:pStyle w:val="Heading2"/>
      </w:pPr>
      <w:r>
        <w:rPr/>
        <w:t>III.- Elementos que conforman el Estándar de Competencia</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354"/>
        <w:gridCol w:w="966"/>
        <w:gridCol w:w="7425"/>
      </w:tblGrid>
      <w:tr>
        <w:trPr>
          <w:tblHeader w:val="true"/>
          <w:cantSplit/>
        </w:trPr>
        <w:tc>
          <w:tcPr>
            <w:tcW w:w="1354" w:type="dxa"/>
            <w:shd w:val="clear" w:color="auto" w:fill="ECECEC"/>
          </w:tcPr>
          <w:p>
            <w:pPr>
              <w:pStyle w:val="Compact"/>
              <w:spacing w:before="20" w:after="20"/>
            </w:pPr>
            <w:r>
              <w:rPr>
                <w:b/>
                <w:sz w:val="17"/>
              </w:rPr>
              <w:t>Referencia</w:t>
            </w:r>
          </w:p>
        </w:tc>
        <w:tc>
          <w:tcPr>
            <w:tcW w:w="966" w:type="dxa"/>
            <w:shd w:val="clear" w:color="auto" w:fill="ECECEC"/>
          </w:tcPr>
          <w:p>
            <w:pPr>
              <w:pStyle w:val="Compact"/>
              <w:spacing w:before="20" w:after="20"/>
            </w:pPr>
            <w:r>
              <w:rPr>
                <w:b/>
                <w:sz w:val="17"/>
              </w:rPr>
              <w:t>Código</w:t>
            </w:r>
          </w:p>
        </w:tc>
        <w:tc>
          <w:tcPr>
            <w:tcW w:w="7425" w:type="dxa"/>
            <w:shd w:val="clear" w:color="auto" w:fill="ECECEC"/>
          </w:tcPr>
          <w:p>
            <w:pPr>
              <w:pStyle w:val="Compact"/>
              <w:spacing w:before="20" w:after="20"/>
            </w:pPr>
            <w:r>
              <w:rPr>
                <w:b/>
                <w:sz w:val="17"/>
              </w:rPr>
              <w:t>Título</w:t>
            </w:r>
          </w:p>
        </w:tc>
      </w:tr>
      <w:tr>
        <w:tc>
          <w:tcPr>
            <w:tcW w:w="1354" w:type="dxa"/>
          </w:tcPr>
          <w:p>
            <w:pPr>
              <w:pStyle w:val="Compact"/>
              <w:spacing w:before="20" w:after="20"/>
            </w:pPr>
            <w:r>
              <w:rPr>
                <w:sz w:val="17"/>
              </w:rPr>
              <w:t>1 de 4</w:t>
            </w:r>
          </w:p>
        </w:tc>
        <w:tc>
          <w:tcPr>
            <w:tcW w:w="966" w:type="dxa"/>
          </w:tcPr>
          <w:p>
            <w:pPr>
              <w:pStyle w:val="Compact"/>
              <w:spacing w:before="20" w:after="20"/>
            </w:pPr>
            <w:r>
              <w:rPr>
                <w:sz w:val="17"/>
              </w:rPr>
              <w:t>[E0000]</w:t>
            </w:r>
          </w:p>
        </w:tc>
        <w:tc>
          <w:tcPr>
            <w:tcW w:w="7425" w:type="dxa"/>
          </w:tcPr>
          <w:p>
            <w:pPr>
              <w:pStyle w:val="Compact"/>
              <w:spacing w:before="20" w:after="20"/>
            </w:pPr>
            <w:r>
              <w:rPr>
                <w:sz w:val="17"/>
              </w:rPr>
              <w:t>Integrar el inventario de sistemas de inteligencia artificial de la organización</w:t>
            </w:r>
          </w:p>
        </w:tc>
      </w:tr>
    </w:tbl>
    <w:p>
      <w:pPr>
        <w:pStyle w:val="BodyText"/>
      </w:pPr>
    </w:p>
    <w:p>
      <w:pPr>
        <w:pStyle w:val="Heading3"/>
      </w:pPr>
      <w:r>
        <w:rPr/>
        <w:t>CRITERIOS DE EVALUACIÓN</w:t>
      </w:r>
    </w:p>
    <w:p>
      <w:pPr>
        <w:pStyle w:val="FirstParagraph"/>
      </w:pPr>
      <w:r>
        <w:rPr/>
        <w:t>La persona es competente cuando demuestra el siguiente:</w:t>
      </w:r>
    </w:p>
    <w:p>
      <w:pPr>
        <w:pStyle w:val="BodyText"/>
      </w:pPr>
      <w:r>
        <w:rPr>
          <w:b/>
        </w:rPr>
        <w:t>DESEMPEÑO</w:t>
      </w:r>
    </w:p>
    <w:p>
      <w:pPr>
        <w:pStyle w:val="Compact"/>
        <w:numPr>
          <w:ilvl w:val="0"/>
          <w:numId w:val="1044"/>
        </w:numPr>
      </w:pPr>
      <w:r>
        <w:rPr/>
        <w:t>Realiza la entrevista de levantamiento con el responsable de un área usuaria:</w:t>
      </w:r>
      <w:r>
        <w:rPr/>
        <w:t xml:space="preserve"> </w:t>
      </w:r>
    </w:p>
    <w:p>
      <w:pPr>
        <w:pStyle w:val="Compact"/>
        <w:numPr>
          <w:ilvl w:val="1"/>
          <w:numId w:val="1043"/>
        </w:numPr>
      </w:pPr>
      <w:r>
        <w:rPr/>
        <w:t>Explicando el propósito del inventario y el uso que se dará a la información,</w:t>
      </w:r>
    </w:p>
    <w:p>
      <w:pPr>
        <w:pStyle w:val="Compact"/>
        <w:numPr>
          <w:ilvl w:val="1"/>
          <w:numId w:val="1043"/>
        </w:numPr>
      </w:pPr>
      <w:r>
        <w:rPr/>
        <w:t>Preguntando por los sistemas de IA que utiliza el área, incluidos los de uso personal y las funciones de IA incorporadas en otro software,</w:t>
      </w:r>
    </w:p>
    <w:p>
      <w:pPr>
        <w:pStyle w:val="Compact"/>
        <w:numPr>
          <w:ilvl w:val="1"/>
          <w:numId w:val="1043"/>
        </w:numPr>
      </w:pPr>
      <w:r>
        <w:rPr/>
        <w:t>Preguntando por la finalidad de cada uso, la información que se ingresa y las decisiones que apoya, y</w:t>
      </w:r>
    </w:p>
    <w:p>
      <w:pPr>
        <w:pStyle w:val="Compact"/>
        <w:numPr>
          <w:ilvl w:val="1"/>
          <w:numId w:val="1043"/>
        </w:numPr>
      </w:pPr>
      <w:r>
        <w:rPr/>
        <w:t>Confirmando con la persona entrevistada la información registrada.</w:t>
      </w:r>
    </w:p>
    <w:p>
      <w:pPr>
        <w:pStyle w:val="BodyText"/>
      </w:pPr>
      <w:r>
        <w:rPr/>
        <w:t>La persona es competente cuando obtiene los siguientes:</w:t>
      </w:r>
    </w:p>
    <w:p>
      <w:pPr>
        <w:pStyle w:val="BodyText"/>
      </w:pPr>
      <w:r>
        <w:rPr>
          <w:b/>
        </w:rPr>
        <w:t>PRODUCTOS</w:t>
      </w:r>
    </w:p>
    <w:p>
      <w:pPr>
        <w:pStyle w:val="Compact"/>
        <w:numPr>
          <w:ilvl w:val="0"/>
          <w:numId w:val="1045"/>
        </w:numPr>
      </w:pPr>
      <w:r>
        <w:rPr/>
        <w:t>El instrumento de levantamiento de información elaborado:</w:t>
      </w:r>
      <w:r>
        <w:rPr/>
        <w:t xml:space="preserve"> </w:t>
      </w:r>
    </w:p>
    <w:p>
      <w:pPr>
        <w:pStyle w:val="Compact"/>
        <w:numPr>
          <w:ilvl w:val="1"/>
          <w:numId w:val="1043"/>
        </w:numPr>
      </w:pPr>
      <w:r>
        <w:rPr/>
        <w:t>Contiene preguntas sobre los sistemas utilizados, la finalidad de uso, la frecuencia, la información ingresada y las decisiones que apoyan,</w:t>
      </w:r>
    </w:p>
    <w:p>
      <w:pPr>
        <w:pStyle w:val="Compact"/>
        <w:numPr>
          <w:ilvl w:val="1"/>
          <w:numId w:val="1043"/>
        </w:numPr>
      </w:pPr>
      <w:r>
        <w:rPr/>
        <w:t>Indica el puesto al que está dirigido, e</w:t>
      </w:r>
    </w:p>
    <w:p>
      <w:pPr>
        <w:pStyle w:val="Compact"/>
        <w:numPr>
          <w:ilvl w:val="1"/>
          <w:numId w:val="1043"/>
        </w:numPr>
      </w:pPr>
      <w:r>
        <w:rPr/>
        <w:t>Incluye las instrucciones para su llenado.</w:t>
      </w:r>
    </w:p>
    <w:p>
      <w:pPr>
        <w:pStyle w:val="Compact"/>
        <w:numPr>
          <w:ilvl w:val="0"/>
          <w:numId w:val="1045"/>
        </w:numPr>
      </w:pPr>
      <w:r>
        <w:rPr/>
        <w:t>El inventario de sistemas de IA integrado:</w:t>
      </w:r>
      <w:r>
        <w:rPr/>
        <w:t xml:space="preserve"> </w:t>
      </w:r>
    </w:p>
    <w:p>
      <w:pPr>
        <w:pStyle w:val="Compact"/>
        <w:numPr>
          <w:ilvl w:val="1"/>
          <w:numId w:val="1043"/>
        </w:numPr>
      </w:pPr>
      <w:r>
        <w:rPr/>
        <w:t>Contiene cada sistema identificado en el caso, con su nombre y su proveedor,</w:t>
      </w:r>
    </w:p>
    <w:p>
      <w:pPr>
        <w:pStyle w:val="Compact"/>
        <w:numPr>
          <w:ilvl w:val="1"/>
          <w:numId w:val="1043"/>
        </w:numPr>
      </w:pPr>
      <w:r>
        <w:rPr/>
        <w:t>Indica la fuente por la que se identificó cada sistema: entrevista, contratación o licencia, o registro técnico,</w:t>
      </w:r>
    </w:p>
    <w:p>
      <w:pPr>
        <w:pStyle w:val="Compact"/>
        <w:numPr>
          <w:ilvl w:val="1"/>
          <w:numId w:val="1043"/>
        </w:numPr>
      </w:pPr>
      <w:r>
        <w:rPr/>
        <w:t>Especifica la finalidad de uso y el proceso en el que interviene,</w:t>
      </w:r>
    </w:p>
    <w:p>
      <w:pPr>
        <w:pStyle w:val="Compact"/>
        <w:numPr>
          <w:ilvl w:val="1"/>
          <w:numId w:val="1043"/>
        </w:numPr>
      </w:pPr>
      <w:r>
        <w:rPr/>
        <w:t>Indica el área usuaria y la persona responsable del uso,</w:t>
      </w:r>
    </w:p>
    <w:p>
      <w:pPr>
        <w:pStyle w:val="Compact"/>
        <w:numPr>
          <w:ilvl w:val="1"/>
          <w:numId w:val="1043"/>
        </w:numPr>
      </w:pPr>
      <w:r>
        <w:rPr/>
        <w:t>Especifica los tipos de información que procesa: pública, interna, confidencial, datos personales y datos personales sensibles,</w:t>
      </w:r>
    </w:p>
    <w:p>
      <w:pPr>
        <w:pStyle w:val="Compact"/>
        <w:numPr>
          <w:ilvl w:val="1"/>
          <w:numId w:val="1043"/>
        </w:numPr>
      </w:pPr>
      <w:r>
        <w:rPr/>
        <w:t>Indica si toma o apoya decisiones que afectan a personas,</w:t>
      </w:r>
    </w:p>
    <w:p>
      <w:pPr>
        <w:pStyle w:val="Compact"/>
        <w:numPr>
          <w:ilvl w:val="1"/>
          <w:numId w:val="1043"/>
        </w:numPr>
      </w:pPr>
      <w:r>
        <w:rPr/>
        <w:t>Indica la modalidad de acceso: cuenta personal, cuenta institucional o integración en otros sistemas,</w:t>
      </w:r>
    </w:p>
    <w:p>
      <w:pPr>
        <w:pStyle w:val="Compact"/>
        <w:numPr>
          <w:ilvl w:val="1"/>
          <w:numId w:val="1043"/>
        </w:numPr>
      </w:pPr>
      <w:r>
        <w:rPr/>
        <w:t>Indica la condición de autorizado o no autorizado, e</w:t>
      </w:r>
    </w:p>
    <w:p>
      <w:pPr>
        <w:pStyle w:val="Compact"/>
        <w:numPr>
          <w:ilvl w:val="1"/>
          <w:numId w:val="1043"/>
        </w:numPr>
      </w:pPr>
      <w:r>
        <w:rPr/>
        <w:t>Incluye la fecha de actualización.</w:t>
      </w:r>
    </w:p>
    <w:p>
      <w:pPr>
        <w:pStyle w:val="BodyText"/>
      </w:pPr>
      <w:r>
        <w:rPr/>
        <w:t>La persona es competente cuando posee los siguientes:</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398"/>
        <w:gridCol w:w="1347"/>
      </w:tblGrid>
      <w:tr>
        <w:trPr>
          <w:tblHeader w:val="true"/>
          <w:cantSplit/>
        </w:trPr>
        <w:tc>
          <w:tcPr>
            <w:tcW w:w="8398" w:type="dxa"/>
            <w:shd w:val="clear" w:color="auto" w:fill="ECECEC"/>
          </w:tcPr>
          <w:p>
            <w:pPr>
              <w:pStyle w:val="Compact"/>
              <w:spacing w:before="20" w:after="20"/>
            </w:pPr>
            <w:r>
              <w:rPr>
                <w:b/>
                <w:sz w:val="17"/>
              </w:rPr>
              <w:t>CONOCIMIENTOS</w:t>
            </w:r>
          </w:p>
        </w:tc>
        <w:tc>
          <w:tcPr>
            <w:tcW w:w="1347" w:type="dxa"/>
            <w:shd w:val="clear" w:color="auto" w:fill="ECECEC"/>
          </w:tcPr>
          <w:p>
            <w:pPr>
              <w:pStyle w:val="Compact"/>
              <w:spacing w:before="20" w:after="20"/>
            </w:pPr>
            <w:r>
              <w:rPr>
                <w:b/>
                <w:sz w:val="17"/>
              </w:rPr>
              <w:t>NIVEL</w:t>
            </w:r>
          </w:p>
        </w:tc>
      </w:tr>
      <w:tr>
        <w:tc>
          <w:tcPr>
            <w:tcW w:w="8398" w:type="dxa"/>
          </w:tcPr>
          <w:p>
            <w:pPr>
              <w:pStyle w:val="Compact"/>
              <w:spacing w:before="20" w:after="20"/>
            </w:pPr>
            <w:r>
              <w:rPr>
                <w:sz w:val="17"/>
              </w:rPr>
              <w:t>1. Tipos de sistemas de IA: generativos, de recomendación, de clasificación y de decisión automatizada.</w:t>
            </w:r>
          </w:p>
        </w:tc>
        <w:tc>
          <w:tcPr>
            <w:tcW w:w="1347" w:type="dxa"/>
          </w:tcPr>
          <w:p>
            <w:pPr>
              <w:pStyle w:val="Compact"/>
              <w:spacing w:before="20" w:after="20"/>
            </w:pPr>
            <w:r>
              <w:rPr>
                <w:sz w:val="17"/>
              </w:rPr>
              <w:t>Comprensión</w:t>
            </w:r>
          </w:p>
        </w:tc>
      </w:tr>
      <w:tr>
        <w:tc>
          <w:tcPr>
            <w:tcW w:w="8398" w:type="dxa"/>
          </w:tcPr>
          <w:p>
            <w:pPr>
              <w:pStyle w:val="Compact"/>
              <w:spacing w:before="20" w:after="20"/>
            </w:pPr>
            <w:r>
              <w:rPr>
                <w:sz w:val="17"/>
              </w:rPr>
              <w:t>2. Formas de uso no autorizado de la IA en las organizaciones y fuentes para identificarlo.</w:t>
            </w:r>
          </w:p>
        </w:tc>
        <w:tc>
          <w:tcPr>
            <w:tcW w:w="1347" w:type="dxa"/>
          </w:tcPr>
          <w:p>
            <w:pPr>
              <w:pStyle w:val="Compact"/>
              <w:spacing w:before="20" w:after="20"/>
            </w:pPr>
            <w:r>
              <w:rPr>
                <w:sz w:val="17"/>
              </w:rPr>
              <w:t>Comprensión</w:t>
            </w:r>
          </w:p>
        </w:tc>
      </w:tr>
      <w:tr>
        <w:tc>
          <w:tcPr>
            <w:tcW w:w="8398" w:type="dxa"/>
          </w:tcPr>
          <w:p>
            <w:pPr>
              <w:pStyle w:val="Compact"/>
              <w:spacing w:before="20" w:after="20"/>
            </w:pPr>
            <w:r>
              <w:rPr>
                <w:sz w:val="17"/>
              </w:rPr>
              <w:t>3. Técnicas de entrevista para el levantamiento de información.</w:t>
            </w:r>
          </w:p>
        </w:tc>
        <w:tc>
          <w:tcPr>
            <w:tcW w:w="1347" w:type="dxa"/>
          </w:tcPr>
          <w:p>
            <w:pPr>
              <w:pStyle w:val="Compact"/>
              <w:spacing w:before="20" w:after="20"/>
            </w:pPr>
            <w:r>
              <w:rPr>
                <w:sz w:val="17"/>
              </w:rPr>
              <w:t>Aplicación</w:t>
            </w:r>
          </w:p>
        </w:tc>
      </w:tr>
    </w:tbl>
    <w:p>
      <w:pPr>
        <w:pStyle w:val="BodyText"/>
      </w:pPr>
    </w:p>
    <w:p>
      <w:pPr>
        <w:pStyle w:val="BodyText"/>
      </w:pPr>
      <w:r>
        <w:rPr/>
        <w:t>La persona es competente cuando demuestra las siguientes:</w:t>
      </w:r>
    </w:p>
    <w:p>
      <w:pPr>
        <w:pStyle w:val="BodyText"/>
      </w:pPr>
      <w:r>
        <w:rPr>
          <w:b/>
        </w:rPr>
        <w:t>ACTITUDES/HÁBITOS/VALORES</w:t>
      </w:r>
    </w:p>
    <w:p>
      <w:pPr>
        <w:pStyle w:val="Compact"/>
        <w:numPr>
          <w:ilvl w:val="0"/>
          <w:numId w:val="1046"/>
        </w:numPr>
      </w:pPr>
      <w:r>
        <w:rPr/>
        <w:t>Amabilidad: La manera en que trata a la persona entrevistada durante el levantamiento de información.</w:t>
      </w:r>
    </w:p>
    <w:p>
      <w:pPr>
        <w:pStyle w:val="Compact"/>
        <w:numPr>
          <w:ilvl w:val="0"/>
          <w:numId w:val="1046"/>
        </w:numPr>
      </w:pPr>
      <w:r>
        <w:rPr/>
        <w:t>Orden: La manera en que registra cada sistema en el inventario siguiendo la estructura establecida.</w:t>
      </w:r>
    </w:p>
    <w:p>
      <w:pPr>
        <w:pStyle w:val="BodyText"/>
      </w:pPr>
      <w:r>
        <w:rPr>
          <w:b/>
        </w:rPr>
        <w:t>GLOSARIO</w:t>
      </w:r>
    </w:p>
    <w:p>
      <w:pPr>
        <w:pStyle w:val="Compact"/>
        <w:numPr>
          <w:ilvl w:val="0"/>
          <w:numId w:val="1047"/>
        </w:numPr>
      </w:pPr>
      <w:r>
        <w:rPr/>
        <w:t>Función de IA incorporada: Capacidad de IA integrada en un software de uso general de la organización, como un procesador de textos, un sistema de correo o un sistema de gestión.</w:t>
      </w:r>
    </w:p>
    <w:p>
      <w:pPr>
        <w:pStyle w:val="Compact"/>
        <w:numPr>
          <w:ilvl w:val="0"/>
          <w:numId w:val="1047"/>
        </w:numPr>
      </w:pPr>
      <w:r>
        <w:rPr/>
        <w:t>Inventario de IA: Registro actualizado de los sistemas de IA que utiliza la organización y de sus características relevantes para la gestión de riesgos.</w:t>
      </w:r>
    </w:p>
    <w:p>
      <w:pPr>
        <w:pStyle w:val="Compact"/>
        <w:numPr>
          <w:ilvl w:val="0"/>
          <w:numId w:val="1047"/>
        </w:numPr>
      </w:pPr>
      <w:r>
        <w:rPr/>
        <w:t>Sistema de IA: Sistema basado en máquinas que, a partir de la información que recibe, genera resultados como contenido, predicciones, recomendaciones o decisiones; incluye las herramientas de IA generativa.</w:t>
      </w:r>
    </w:p>
    <w:p>
      <w:pPr>
        <w:pStyle w:val="Compact"/>
        <w:numPr>
          <w:ilvl w:val="0"/>
          <w:numId w:val="1047"/>
        </w:numPr>
      </w:pPr>
      <w:r>
        <w:rPr/>
        <w:t>Sistema de IA no autorizado: Sistema de IA que el personal de la organización utiliza sin la aprobación expresa del responsable designado.</w:t>
      </w:r>
    </w:p>
    <w:p>
      <w:pPr>
        <w:pStyle w:val="BodyText"/>
        <w:pBdr>
          <w:bottom w:val="single" w:sz="4" w:space="1" w:color="BFC0C0"/>
        </w:pBdr>
      </w:pP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354"/>
        <w:gridCol w:w="966"/>
        <w:gridCol w:w="7425"/>
      </w:tblGrid>
      <w:tr>
        <w:trPr>
          <w:tblHeader w:val="true"/>
          <w:cantSplit/>
        </w:trPr>
        <w:tc>
          <w:tcPr>
            <w:tcW w:w="1354" w:type="dxa"/>
            <w:shd w:val="clear" w:color="auto" w:fill="ECECEC"/>
          </w:tcPr>
          <w:p>
            <w:pPr>
              <w:pStyle w:val="Compact"/>
              <w:spacing w:before="20" w:after="20"/>
            </w:pPr>
            <w:r>
              <w:rPr>
                <w:b/>
                <w:sz w:val="17"/>
              </w:rPr>
              <w:t>Referencia</w:t>
            </w:r>
          </w:p>
        </w:tc>
        <w:tc>
          <w:tcPr>
            <w:tcW w:w="966" w:type="dxa"/>
            <w:shd w:val="clear" w:color="auto" w:fill="ECECEC"/>
          </w:tcPr>
          <w:p>
            <w:pPr>
              <w:pStyle w:val="Compact"/>
              <w:spacing w:before="20" w:after="20"/>
            </w:pPr>
            <w:r>
              <w:rPr>
                <w:b/>
                <w:sz w:val="17"/>
              </w:rPr>
              <w:t>Código</w:t>
            </w:r>
          </w:p>
        </w:tc>
        <w:tc>
          <w:tcPr>
            <w:tcW w:w="7425" w:type="dxa"/>
            <w:shd w:val="clear" w:color="auto" w:fill="ECECEC"/>
          </w:tcPr>
          <w:p>
            <w:pPr>
              <w:pStyle w:val="Compact"/>
              <w:spacing w:before="20" w:after="20"/>
            </w:pPr>
            <w:r>
              <w:rPr>
                <w:b/>
                <w:sz w:val="17"/>
              </w:rPr>
              <w:t>Título</w:t>
            </w:r>
          </w:p>
        </w:tc>
      </w:tr>
      <w:tr>
        <w:tc>
          <w:tcPr>
            <w:tcW w:w="1354" w:type="dxa"/>
          </w:tcPr>
          <w:p>
            <w:pPr>
              <w:pStyle w:val="Compact"/>
              <w:spacing w:before="20" w:after="20"/>
            </w:pPr>
            <w:r>
              <w:rPr>
                <w:sz w:val="17"/>
              </w:rPr>
              <w:t>2 de 4</w:t>
            </w:r>
          </w:p>
        </w:tc>
        <w:tc>
          <w:tcPr>
            <w:tcW w:w="966" w:type="dxa"/>
          </w:tcPr>
          <w:p>
            <w:pPr>
              <w:pStyle w:val="Compact"/>
              <w:spacing w:before="20" w:after="20"/>
            </w:pPr>
            <w:r>
              <w:rPr>
                <w:sz w:val="17"/>
              </w:rPr>
              <w:t>[E0000]</w:t>
            </w:r>
          </w:p>
        </w:tc>
        <w:tc>
          <w:tcPr>
            <w:tcW w:w="7425" w:type="dxa"/>
          </w:tcPr>
          <w:p>
            <w:pPr>
              <w:pStyle w:val="Compact"/>
              <w:spacing w:before="20" w:after="20"/>
            </w:pPr>
            <w:r>
              <w:rPr>
                <w:sz w:val="17"/>
              </w:rPr>
              <w:t>Evaluar los riesgos de los usos de inteligencia artificial de la organización</w:t>
            </w:r>
          </w:p>
        </w:tc>
      </w:tr>
    </w:tbl>
    <w:p>
      <w:pPr>
        <w:pStyle w:val="BodyText"/>
      </w:pPr>
    </w:p>
    <w:p>
      <w:pPr>
        <w:pStyle w:val="Heading3"/>
      </w:pPr>
      <w:r>
        <w:rPr/>
        <w:t>CRITERIOS DE EVALUACIÓN</w:t>
      </w:r>
    </w:p>
    <w:p>
      <w:pPr>
        <w:pStyle w:val="FirstParagraph"/>
      </w:pPr>
      <w:r>
        <w:rPr/>
        <w:t>La persona es competente cuando demuestra el siguiente:</w:t>
      </w:r>
    </w:p>
    <w:p>
      <w:pPr>
        <w:pStyle w:val="BodyText"/>
      </w:pPr>
      <w:r>
        <w:rPr>
          <w:b/>
        </w:rPr>
        <w:t>DESEMPEÑO</w:t>
      </w:r>
    </w:p>
    <w:p>
      <w:pPr>
        <w:pStyle w:val="Compact"/>
        <w:numPr>
          <w:ilvl w:val="0"/>
          <w:numId w:val="1048"/>
        </w:numPr>
      </w:pPr>
      <w:r>
        <w:rPr/>
        <w:t>Presenta los resultados de la evaluación de riesgos a la dirección de la organización:</w:t>
      </w:r>
      <w:r>
        <w:rPr/>
        <w:t xml:space="preserve"> </w:t>
      </w:r>
    </w:p>
    <w:p>
      <w:pPr>
        <w:pStyle w:val="Compact"/>
        <w:numPr>
          <w:ilvl w:val="1"/>
          <w:numId w:val="1043"/>
        </w:numPr>
      </w:pPr>
      <w:r>
        <w:rPr/>
        <w:t>Explicando la escala utilizada para valorar la probabilidad y el impacto,</w:t>
      </w:r>
    </w:p>
    <w:p>
      <w:pPr>
        <w:pStyle w:val="Compact"/>
        <w:numPr>
          <w:ilvl w:val="1"/>
          <w:numId w:val="1043"/>
        </w:numPr>
      </w:pPr>
      <w:r>
        <w:rPr/>
        <w:t>Señalando los usos de riesgo alto y las razones de su valoración,</w:t>
      </w:r>
    </w:p>
    <w:p>
      <w:pPr>
        <w:pStyle w:val="Compact"/>
        <w:numPr>
          <w:ilvl w:val="1"/>
          <w:numId w:val="1043"/>
        </w:numPr>
      </w:pPr>
      <w:r>
        <w:rPr/>
        <w:t>Proponiendo el tratamiento de cada riesgo alto, y</w:t>
      </w:r>
    </w:p>
    <w:p>
      <w:pPr>
        <w:pStyle w:val="Compact"/>
        <w:numPr>
          <w:ilvl w:val="1"/>
          <w:numId w:val="1043"/>
        </w:numPr>
      </w:pPr>
      <w:r>
        <w:rPr/>
        <w:t>Respondiendo las preguntas planteadas con base en la información del caso.</w:t>
      </w:r>
    </w:p>
    <w:p>
      <w:pPr>
        <w:pStyle w:val="BodyText"/>
      </w:pPr>
      <w:r>
        <w:rPr/>
        <w:t>La persona es competente cuando obtiene los siguientes:</w:t>
      </w:r>
    </w:p>
    <w:p>
      <w:pPr>
        <w:pStyle w:val="BodyText"/>
      </w:pPr>
      <w:r>
        <w:rPr>
          <w:b/>
        </w:rPr>
        <w:t>PRODUCTOS</w:t>
      </w:r>
    </w:p>
    <w:p>
      <w:pPr>
        <w:pStyle w:val="Compact"/>
        <w:numPr>
          <w:ilvl w:val="0"/>
          <w:numId w:val="1049"/>
        </w:numPr>
      </w:pPr>
      <w:r>
        <w:rPr/>
        <w:t>La escala de valoración de riesgos elaborada:</w:t>
      </w:r>
      <w:r>
        <w:rPr/>
        <w:t xml:space="preserve"> </w:t>
      </w:r>
    </w:p>
    <w:p>
      <w:pPr>
        <w:pStyle w:val="Compact"/>
        <w:numPr>
          <w:ilvl w:val="1"/>
          <w:numId w:val="1043"/>
        </w:numPr>
      </w:pPr>
      <w:r>
        <w:rPr/>
        <w:t>Define al menos tres niveles de probabilidad, con el criterio de cada uno,</w:t>
      </w:r>
    </w:p>
    <w:p>
      <w:pPr>
        <w:pStyle w:val="Compact"/>
        <w:numPr>
          <w:ilvl w:val="1"/>
          <w:numId w:val="1043"/>
        </w:numPr>
      </w:pPr>
      <w:r>
        <w:rPr/>
        <w:t>Define al menos tres niveles de impacto, con el criterio de cada uno, y</w:t>
      </w:r>
    </w:p>
    <w:p>
      <w:pPr>
        <w:pStyle w:val="Compact"/>
        <w:numPr>
          <w:ilvl w:val="1"/>
          <w:numId w:val="1043"/>
        </w:numPr>
      </w:pPr>
      <w:r>
        <w:rPr/>
        <w:t>Establece la regla para obtener el nivel de riesgo y el nivel a partir del cual un riesgo se considera alto.</w:t>
      </w:r>
    </w:p>
    <w:p>
      <w:pPr>
        <w:pStyle w:val="Compact"/>
        <w:numPr>
          <w:ilvl w:val="0"/>
          <w:numId w:val="1049"/>
        </w:numPr>
      </w:pPr>
      <w:r>
        <w:rPr/>
        <w:t>La matriz de riesgos de los usos de IA elaborada:</w:t>
      </w:r>
      <w:r>
        <w:rPr/>
        <w:t xml:space="preserve"> </w:t>
      </w:r>
    </w:p>
    <w:p>
      <w:pPr>
        <w:pStyle w:val="Compact"/>
        <w:numPr>
          <w:ilvl w:val="1"/>
          <w:numId w:val="1043"/>
        </w:numPr>
      </w:pPr>
      <w:r>
        <w:rPr/>
        <w:t>Contiene cada uso de IA registrado en el inventario,</w:t>
      </w:r>
    </w:p>
    <w:p>
      <w:pPr>
        <w:pStyle w:val="Compact"/>
        <w:numPr>
          <w:ilvl w:val="1"/>
          <w:numId w:val="1043"/>
        </w:numPr>
      </w:pPr>
      <w:r>
        <w:rPr/>
        <w:t>Identifica los riesgos de cada uso en las categorías de protección de datos personales, seguridad de la información, exactitud de los resultados, sesgo y discriminación, derechos de las personas trabajadoras, propiedad intelectual e imagen y voz de las personas, y continuidad de la operación,</w:t>
      </w:r>
    </w:p>
    <w:p>
      <w:pPr>
        <w:pStyle w:val="Compact"/>
        <w:numPr>
          <w:ilvl w:val="1"/>
          <w:numId w:val="1043"/>
        </w:numPr>
      </w:pPr>
      <w:r>
        <w:rPr/>
        <w:t>Especifica las personas o grupos que pueden resultar afectados,</w:t>
      </w:r>
    </w:p>
    <w:p>
      <w:pPr>
        <w:pStyle w:val="Compact"/>
        <w:numPr>
          <w:ilvl w:val="1"/>
          <w:numId w:val="1043"/>
        </w:numPr>
      </w:pPr>
      <w:r>
        <w:rPr/>
        <w:t>Valora la probabilidad y el impacto de cada riesgo conforme a la escala,</w:t>
      </w:r>
    </w:p>
    <w:p>
      <w:pPr>
        <w:pStyle w:val="Compact"/>
        <w:numPr>
          <w:ilvl w:val="1"/>
          <w:numId w:val="1043"/>
        </w:numPr>
      </w:pPr>
      <w:r>
        <w:rPr/>
        <w:t>Asigna el nivel de riesgo resultante,</w:t>
      </w:r>
    </w:p>
    <w:p>
      <w:pPr>
        <w:pStyle w:val="Compact"/>
        <w:numPr>
          <w:ilvl w:val="1"/>
          <w:numId w:val="1043"/>
        </w:numPr>
      </w:pPr>
      <w:r>
        <w:rPr/>
        <w:t>Indica los controles existentes, e</w:t>
      </w:r>
    </w:p>
    <w:p>
      <w:pPr>
        <w:pStyle w:val="Compact"/>
        <w:numPr>
          <w:ilvl w:val="1"/>
          <w:numId w:val="1043"/>
        </w:numPr>
      </w:pPr>
      <w:r>
        <w:rPr/>
        <w:t>Indica el tratamiento propuesto: evitar, reducir, compartir o aceptar el riesgo.</w:t>
      </w:r>
    </w:p>
    <w:p>
      <w:pPr>
        <w:pStyle w:val="Compact"/>
        <w:numPr>
          <w:ilvl w:val="0"/>
          <w:numId w:val="1049"/>
        </w:numPr>
      </w:pPr>
      <w:r>
        <w:rPr/>
        <w:t>La evaluación de impacto de un uso de IA de riesgo alto elaborada:</w:t>
      </w:r>
      <w:r>
        <w:rPr/>
        <w:t xml:space="preserve"> </w:t>
      </w:r>
    </w:p>
    <w:p>
      <w:pPr>
        <w:pStyle w:val="Compact"/>
        <w:numPr>
          <w:ilvl w:val="1"/>
          <w:numId w:val="1043"/>
        </w:numPr>
      </w:pPr>
      <w:r>
        <w:rPr/>
        <w:t>Describe la finalidad y el funcionamiento general del uso,</w:t>
      </w:r>
    </w:p>
    <w:p>
      <w:pPr>
        <w:pStyle w:val="Compact"/>
        <w:numPr>
          <w:ilvl w:val="1"/>
          <w:numId w:val="1043"/>
        </w:numPr>
      </w:pPr>
      <w:r>
        <w:rPr/>
        <w:t>Identifica la información que procesa y su origen,</w:t>
      </w:r>
    </w:p>
    <w:p>
      <w:pPr>
        <w:pStyle w:val="Compact"/>
        <w:numPr>
          <w:ilvl w:val="1"/>
          <w:numId w:val="1043"/>
        </w:numPr>
      </w:pPr>
      <w:r>
        <w:rPr/>
        <w:t>Describe las decisiones que el uso apoya o toma y las personas a las que afectan,</w:t>
      </w:r>
    </w:p>
    <w:p>
      <w:pPr>
        <w:pStyle w:val="Compact"/>
        <w:numPr>
          <w:ilvl w:val="1"/>
          <w:numId w:val="1043"/>
        </w:numPr>
      </w:pPr>
      <w:r>
        <w:rPr/>
        <w:t>Analiza la necesidad y la proporcionalidad del uso respecto de su finalidad,</w:t>
      </w:r>
    </w:p>
    <w:p>
      <w:pPr>
        <w:pStyle w:val="Compact"/>
        <w:numPr>
          <w:ilvl w:val="1"/>
          <w:numId w:val="1043"/>
        </w:numPr>
      </w:pPr>
      <w:r>
        <w:rPr/>
        <w:t>Especifica el mecanismo de intervención humana,</w:t>
      </w:r>
    </w:p>
    <w:p>
      <w:pPr>
        <w:pStyle w:val="Compact"/>
        <w:numPr>
          <w:ilvl w:val="1"/>
          <w:numId w:val="1043"/>
        </w:numPr>
      </w:pPr>
      <w:r>
        <w:rPr/>
        <w:t>Contiene las medidas para reducir el riesgo, e</w:t>
      </w:r>
    </w:p>
    <w:p>
      <w:pPr>
        <w:pStyle w:val="Compact"/>
        <w:numPr>
          <w:ilvl w:val="1"/>
          <w:numId w:val="1043"/>
        </w:numPr>
      </w:pPr>
      <w:r>
        <w:rPr/>
        <w:t>Indica el riesgo residual después de aplicar las medidas.</w:t>
      </w:r>
    </w:p>
    <w:p>
      <w:pPr>
        <w:pStyle w:val="BodyText"/>
      </w:pPr>
      <w:r>
        <w:rPr/>
        <w:t>La persona es competente cuando posee los siguientes:</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398"/>
        <w:gridCol w:w="1347"/>
      </w:tblGrid>
      <w:tr>
        <w:trPr>
          <w:tblHeader w:val="true"/>
          <w:cantSplit/>
        </w:trPr>
        <w:tc>
          <w:tcPr>
            <w:tcW w:w="8398" w:type="dxa"/>
            <w:shd w:val="clear" w:color="auto" w:fill="ECECEC"/>
          </w:tcPr>
          <w:p>
            <w:pPr>
              <w:pStyle w:val="Compact"/>
              <w:spacing w:before="20" w:after="20"/>
            </w:pPr>
            <w:r>
              <w:rPr>
                <w:b/>
                <w:sz w:val="17"/>
              </w:rPr>
              <w:t>CONOCIMIENTOS</w:t>
            </w:r>
          </w:p>
        </w:tc>
        <w:tc>
          <w:tcPr>
            <w:tcW w:w="1347" w:type="dxa"/>
            <w:shd w:val="clear" w:color="auto" w:fill="ECECEC"/>
          </w:tcPr>
          <w:p>
            <w:pPr>
              <w:pStyle w:val="Compact"/>
              <w:spacing w:before="20" w:after="20"/>
            </w:pPr>
            <w:r>
              <w:rPr>
                <w:b/>
                <w:sz w:val="17"/>
              </w:rPr>
              <w:t>NIVEL</w:t>
            </w:r>
          </w:p>
        </w:tc>
      </w:tr>
      <w:tr>
        <w:tc>
          <w:tcPr>
            <w:tcW w:w="8398" w:type="dxa"/>
          </w:tcPr>
          <w:p>
            <w:pPr>
              <w:pStyle w:val="Compact"/>
              <w:spacing w:before="20" w:after="20"/>
            </w:pPr>
            <w:r>
              <w:rPr>
                <w:sz w:val="17"/>
              </w:rPr>
              <w:t>1. Principios de protección de datos personales: licitud, consentimiento, información, calidad, finalidad, lealtad, proporcionalidad y responsabilidad; medidas de seguridad, vulneraciones, transferencias y tratamiento por personas encargadas.</w:t>
            </w:r>
          </w:p>
        </w:tc>
        <w:tc>
          <w:tcPr>
            <w:tcW w:w="1347" w:type="dxa"/>
          </w:tcPr>
          <w:p>
            <w:pPr>
              <w:pStyle w:val="Compact"/>
              <w:spacing w:before="20" w:after="20"/>
            </w:pPr>
            <w:r>
              <w:rPr>
                <w:sz w:val="17"/>
              </w:rPr>
              <w:t>Comprensión</w:t>
            </w:r>
          </w:p>
        </w:tc>
      </w:tr>
      <w:tr>
        <w:tc>
          <w:tcPr>
            <w:tcW w:w="8398" w:type="dxa"/>
          </w:tcPr>
          <w:p>
            <w:pPr>
              <w:pStyle w:val="Compact"/>
              <w:spacing w:before="20" w:after="20"/>
            </w:pPr>
            <w:r>
              <w:rPr>
                <w:sz w:val="17"/>
              </w:rPr>
              <w:t>2. Proceso de gestión de riesgos: identificación, análisis, valoración y tratamiento.</w:t>
            </w:r>
          </w:p>
        </w:tc>
        <w:tc>
          <w:tcPr>
            <w:tcW w:w="1347" w:type="dxa"/>
          </w:tcPr>
          <w:p>
            <w:pPr>
              <w:pStyle w:val="Compact"/>
              <w:spacing w:before="20" w:after="20"/>
            </w:pPr>
            <w:r>
              <w:rPr>
                <w:sz w:val="17"/>
              </w:rPr>
              <w:t>Aplicación</w:t>
            </w:r>
          </w:p>
        </w:tc>
      </w:tr>
      <w:tr>
        <w:tc>
          <w:tcPr>
            <w:tcW w:w="8398" w:type="dxa"/>
          </w:tcPr>
          <w:p>
            <w:pPr>
              <w:pStyle w:val="Compact"/>
              <w:spacing w:before="20" w:after="20"/>
            </w:pPr>
            <w:r>
              <w:rPr>
                <w:sz w:val="17"/>
              </w:rPr>
              <w:t>3. Riesgos propios de la IA: información inventada, sesgo, opacidad, filtración de información, inyección de instrucciones y suplantación mediante contenido sintético.</w:t>
            </w:r>
          </w:p>
        </w:tc>
        <w:tc>
          <w:tcPr>
            <w:tcW w:w="1347" w:type="dxa"/>
          </w:tcPr>
          <w:p>
            <w:pPr>
              <w:pStyle w:val="Compact"/>
              <w:spacing w:before="20" w:after="20"/>
            </w:pPr>
            <w:r>
              <w:rPr>
                <w:sz w:val="17"/>
              </w:rPr>
              <w:t>Comprensión</w:t>
            </w:r>
          </w:p>
        </w:tc>
      </w:tr>
      <w:tr>
        <w:tc>
          <w:tcPr>
            <w:tcW w:w="8398" w:type="dxa"/>
          </w:tcPr>
          <w:p>
            <w:pPr>
              <w:pStyle w:val="Compact"/>
              <w:spacing w:before="20" w:after="20"/>
            </w:pPr>
            <w:r>
              <w:rPr>
                <w:sz w:val="17"/>
              </w:rPr>
              <w:t>4. Usos de IA que afectan derechos de las personas trabajadoras: selección, evaluación del desempeño, supervisión y terminación de la relación laboral; no discriminación, oposición a decisiones automatizadas y proporcionalidad de la supervisión.</w:t>
            </w:r>
          </w:p>
        </w:tc>
        <w:tc>
          <w:tcPr>
            <w:tcW w:w="1347" w:type="dxa"/>
          </w:tcPr>
          <w:p>
            <w:pPr>
              <w:pStyle w:val="Compact"/>
              <w:spacing w:before="20" w:after="20"/>
            </w:pPr>
            <w:r>
              <w:rPr>
                <w:sz w:val="17"/>
              </w:rPr>
              <w:t>Comprensión</w:t>
            </w:r>
          </w:p>
        </w:tc>
      </w:tr>
    </w:tbl>
    <w:p>
      <w:pPr>
        <w:pStyle w:val="BodyText"/>
      </w:pPr>
    </w:p>
    <w:p>
      <w:pPr>
        <w:pStyle w:val="BodyText"/>
      </w:pPr>
      <w:r>
        <w:rPr/>
        <w:t>La persona es competente cuando demuestra las siguientes:</w:t>
      </w:r>
    </w:p>
    <w:p>
      <w:pPr>
        <w:pStyle w:val="BodyText"/>
      </w:pPr>
      <w:r>
        <w:rPr>
          <w:b/>
        </w:rPr>
        <w:t>ACTITUDES/HÁBITOS/VALORES</w:t>
      </w:r>
    </w:p>
    <w:p>
      <w:pPr>
        <w:pStyle w:val="Compact"/>
        <w:numPr>
          <w:ilvl w:val="0"/>
          <w:numId w:val="1050"/>
        </w:numPr>
      </w:pPr>
      <w:r>
        <w:rPr/>
        <w:t>Responsabilidad: La manera en que fundamenta el nivel asignado a cada riesgo con la información del caso.</w:t>
      </w:r>
    </w:p>
    <w:p>
      <w:pPr>
        <w:pStyle w:val="Compact"/>
        <w:numPr>
          <w:ilvl w:val="0"/>
          <w:numId w:val="1050"/>
        </w:numPr>
      </w:pPr>
      <w:r>
        <w:rPr/>
        <w:t>Tolerancia: La manera en que atiende las preguntas y objeciones de la dirección.</w:t>
      </w:r>
    </w:p>
    <w:p>
      <w:pPr>
        <w:pStyle w:val="BodyText"/>
      </w:pPr>
      <w:r>
        <w:rPr>
          <w:b/>
        </w:rPr>
        <w:t>GLOSARIO</w:t>
      </w:r>
    </w:p>
    <w:p>
      <w:pPr>
        <w:pStyle w:val="Compact"/>
        <w:numPr>
          <w:ilvl w:val="0"/>
          <w:numId w:val="1051"/>
        </w:numPr>
      </w:pPr>
      <w:r>
        <w:rPr/>
        <w:t>Evaluación de impacto: Análisis documentado de los efectos que un uso de IA puede tener sobre las personas y la organización, y de las medidas para reducirlos.</w:t>
      </w:r>
    </w:p>
    <w:p>
      <w:pPr>
        <w:pStyle w:val="Compact"/>
        <w:numPr>
          <w:ilvl w:val="0"/>
          <w:numId w:val="1051"/>
        </w:numPr>
      </w:pPr>
      <w:r>
        <w:rPr/>
        <w:t>Inyección de instrucciones: Técnica que introduce instrucciones, de forma directa o dentro del contenido que procesa un sistema de IA, para alterar su comportamiento.</w:t>
      </w:r>
    </w:p>
    <w:p>
      <w:pPr>
        <w:pStyle w:val="Compact"/>
        <w:numPr>
          <w:ilvl w:val="0"/>
          <w:numId w:val="1051"/>
        </w:numPr>
      </w:pPr>
      <w:r>
        <w:rPr/>
        <w:t>Intervención humana: Revisión del resultado de un sistema de IA por una persona con facultades para confirmarlo, modificarlo o rechazarlo y con conocimiento del proceso en que se usa, antes de que produzca efectos.</w:t>
      </w:r>
    </w:p>
    <w:p>
      <w:pPr>
        <w:pStyle w:val="Compact"/>
        <w:numPr>
          <w:ilvl w:val="0"/>
          <w:numId w:val="1051"/>
        </w:numPr>
      </w:pPr>
      <w:r>
        <w:rPr/>
        <w:t>Nivel de riesgo: Resultado de combinar la probabilidad de ocurrencia y el impacto de un riesgo.</w:t>
      </w:r>
    </w:p>
    <w:p>
      <w:pPr>
        <w:pStyle w:val="Compact"/>
        <w:numPr>
          <w:ilvl w:val="0"/>
          <w:numId w:val="1051"/>
        </w:numPr>
      </w:pPr>
      <w:r>
        <w:rPr/>
        <w:t>Riesgo residual: Riesgo que permanece después de aplicar las medidas de tratamiento.</w:t>
      </w:r>
    </w:p>
    <w:p>
      <w:pPr>
        <w:pStyle w:val="Compact"/>
        <w:numPr>
          <w:ilvl w:val="0"/>
          <w:numId w:val="1051"/>
        </w:numPr>
      </w:pPr>
      <w:r>
        <w:rPr/>
        <w:t>Tratamiento del riesgo: Decisión de evitar, reducir, compartir o aceptar un riesgo, y las medidas que la acompañan.</w:t>
      </w:r>
    </w:p>
    <w:p>
      <w:pPr>
        <w:pStyle w:val="BodyText"/>
        <w:pBdr>
          <w:bottom w:val="single" w:sz="4" w:space="1" w:color="BFC0C0"/>
        </w:pBdr>
      </w:pP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392"/>
        <w:gridCol w:w="994"/>
        <w:gridCol w:w="7359"/>
      </w:tblGrid>
      <w:tr>
        <w:trPr>
          <w:tblHeader w:val="true"/>
          <w:cantSplit/>
        </w:trPr>
        <w:tc>
          <w:tcPr>
            <w:tcW w:w="1392" w:type="dxa"/>
            <w:shd w:val="clear" w:color="auto" w:fill="ECECEC"/>
          </w:tcPr>
          <w:p>
            <w:pPr>
              <w:pStyle w:val="Compact"/>
              <w:spacing w:before="20" w:after="20"/>
            </w:pPr>
            <w:r>
              <w:rPr>
                <w:b/>
                <w:sz w:val="17"/>
              </w:rPr>
              <w:t>Referencia</w:t>
            </w:r>
          </w:p>
        </w:tc>
        <w:tc>
          <w:tcPr>
            <w:tcW w:w="994" w:type="dxa"/>
            <w:shd w:val="clear" w:color="auto" w:fill="ECECEC"/>
          </w:tcPr>
          <w:p>
            <w:pPr>
              <w:pStyle w:val="Compact"/>
              <w:spacing w:before="20" w:after="20"/>
            </w:pPr>
            <w:r>
              <w:rPr>
                <w:b/>
                <w:sz w:val="17"/>
              </w:rPr>
              <w:t>Código</w:t>
            </w:r>
          </w:p>
        </w:tc>
        <w:tc>
          <w:tcPr>
            <w:tcW w:w="7359" w:type="dxa"/>
            <w:shd w:val="clear" w:color="auto" w:fill="ECECEC"/>
          </w:tcPr>
          <w:p>
            <w:pPr>
              <w:pStyle w:val="Compact"/>
              <w:spacing w:before="20" w:after="20"/>
            </w:pPr>
            <w:r>
              <w:rPr>
                <w:b/>
                <w:sz w:val="17"/>
              </w:rPr>
              <w:t>Título</w:t>
            </w:r>
          </w:p>
        </w:tc>
      </w:tr>
      <w:tr>
        <w:tc>
          <w:tcPr>
            <w:tcW w:w="1392" w:type="dxa"/>
          </w:tcPr>
          <w:p>
            <w:pPr>
              <w:pStyle w:val="Compact"/>
              <w:spacing w:before="20" w:after="20"/>
            </w:pPr>
            <w:r>
              <w:rPr>
                <w:sz w:val="17"/>
              </w:rPr>
              <w:t>3 de 4</w:t>
            </w:r>
          </w:p>
        </w:tc>
        <w:tc>
          <w:tcPr>
            <w:tcW w:w="994" w:type="dxa"/>
          </w:tcPr>
          <w:p>
            <w:pPr>
              <w:pStyle w:val="Compact"/>
              <w:spacing w:before="20" w:after="20"/>
            </w:pPr>
            <w:r>
              <w:rPr>
                <w:sz w:val="17"/>
              </w:rPr>
              <w:t>[E0000]</w:t>
            </w:r>
          </w:p>
        </w:tc>
        <w:tc>
          <w:tcPr>
            <w:tcW w:w="7359" w:type="dxa"/>
          </w:tcPr>
          <w:p>
            <w:pPr>
              <w:pStyle w:val="Compact"/>
              <w:spacing w:before="20" w:after="20"/>
            </w:pPr>
            <w:r>
              <w:rPr>
                <w:sz w:val="17"/>
              </w:rPr>
              <w:t>Establecer la política de uso y los controles de inteligencia artificial</w:t>
            </w:r>
          </w:p>
        </w:tc>
      </w:tr>
    </w:tbl>
    <w:p>
      <w:pPr>
        <w:pStyle w:val="BodyText"/>
      </w:pPr>
    </w:p>
    <w:p>
      <w:pPr>
        <w:pStyle w:val="Heading3"/>
      </w:pPr>
      <w:r>
        <w:rPr/>
        <w:t>CRITERIOS DE EVALUACIÓN</w:t>
      </w:r>
    </w:p>
    <w:p>
      <w:pPr>
        <w:pStyle w:val="FirstParagraph"/>
      </w:pPr>
      <w:r>
        <w:rPr/>
        <w:t>La persona es competente cuando demuestra el siguiente:</w:t>
      </w:r>
    </w:p>
    <w:p>
      <w:pPr>
        <w:pStyle w:val="BodyText"/>
      </w:pPr>
      <w:r>
        <w:rPr>
          <w:b/>
        </w:rPr>
        <w:t>DESEMPEÑO</w:t>
      </w:r>
    </w:p>
    <w:p>
      <w:pPr>
        <w:pStyle w:val="Compact"/>
        <w:numPr>
          <w:ilvl w:val="0"/>
          <w:numId w:val="1052"/>
        </w:numPr>
      </w:pPr>
      <w:r>
        <w:rPr/>
        <w:t>Comunica la política de uso de IA a un grupo de personas usuarias:</w:t>
      </w:r>
      <w:r>
        <w:rPr/>
        <w:t xml:space="preserve"> </w:t>
      </w:r>
    </w:p>
    <w:p>
      <w:pPr>
        <w:pStyle w:val="Compact"/>
        <w:numPr>
          <w:ilvl w:val="1"/>
          <w:numId w:val="1043"/>
        </w:numPr>
      </w:pPr>
      <w:r>
        <w:rPr/>
        <w:t>Explicando qué herramientas están autorizadas y para qué usos,</w:t>
      </w:r>
    </w:p>
    <w:p>
      <w:pPr>
        <w:pStyle w:val="Compact"/>
        <w:numPr>
          <w:ilvl w:val="1"/>
          <w:numId w:val="1043"/>
        </w:numPr>
      </w:pPr>
      <w:r>
        <w:rPr/>
        <w:t>Explicando qué información puede y no puede ingresarse a las herramientas,</w:t>
      </w:r>
    </w:p>
    <w:p>
      <w:pPr>
        <w:pStyle w:val="Compact"/>
        <w:numPr>
          <w:ilvl w:val="1"/>
          <w:numId w:val="1043"/>
        </w:numPr>
      </w:pPr>
      <w:r>
        <w:rPr/>
        <w:t>Explicando el procedimiento de reporte de incidentes, y</w:t>
      </w:r>
    </w:p>
    <w:p>
      <w:pPr>
        <w:pStyle w:val="Compact"/>
        <w:numPr>
          <w:ilvl w:val="1"/>
          <w:numId w:val="1043"/>
        </w:numPr>
      </w:pPr>
      <w:r>
        <w:rPr/>
        <w:t>Resolviendo las dudas planteadas con base en la política.</w:t>
      </w:r>
    </w:p>
    <w:p>
      <w:pPr>
        <w:pStyle w:val="BodyText"/>
      </w:pPr>
      <w:r>
        <w:rPr/>
        <w:t>La persona es competente cuando obtiene los siguientes:</w:t>
      </w:r>
    </w:p>
    <w:p>
      <w:pPr>
        <w:pStyle w:val="BodyText"/>
      </w:pPr>
      <w:r>
        <w:rPr>
          <w:b/>
        </w:rPr>
        <w:t>PRODUCTOS</w:t>
      </w:r>
    </w:p>
    <w:p>
      <w:pPr>
        <w:pStyle w:val="Compact"/>
        <w:numPr>
          <w:ilvl w:val="0"/>
          <w:numId w:val="1053"/>
        </w:numPr>
      </w:pPr>
      <w:r>
        <w:rPr/>
        <w:t>La política de uso de IA elaborada:</w:t>
      </w:r>
      <w:r>
        <w:rPr/>
        <w:t xml:space="preserve"> </w:t>
      </w:r>
    </w:p>
    <w:p>
      <w:pPr>
        <w:pStyle w:val="Compact"/>
        <w:numPr>
          <w:ilvl w:val="1"/>
          <w:numId w:val="1043"/>
        </w:numPr>
      </w:pPr>
      <w:r>
        <w:rPr/>
        <w:t>Contiene el objetivo y el alcance,</w:t>
      </w:r>
    </w:p>
    <w:p>
      <w:pPr>
        <w:pStyle w:val="Compact"/>
        <w:numPr>
          <w:ilvl w:val="1"/>
          <w:numId w:val="1043"/>
        </w:numPr>
      </w:pPr>
      <w:r>
        <w:rPr/>
        <w:t>Establece los criterios y el procedimiento para autorizar sistemas de IA,</w:t>
      </w:r>
    </w:p>
    <w:p>
      <w:pPr>
        <w:pStyle w:val="Compact"/>
        <w:numPr>
          <w:ilvl w:val="1"/>
          <w:numId w:val="1043"/>
        </w:numPr>
      </w:pPr>
      <w:r>
        <w:rPr/>
        <w:t>Especifica la información que puede y no puede ingresarse a los sistemas de IA conforme a su clasificación,</w:t>
      </w:r>
    </w:p>
    <w:p>
      <w:pPr>
        <w:pStyle w:val="Compact"/>
        <w:numPr>
          <w:ilvl w:val="1"/>
          <w:numId w:val="1043"/>
        </w:numPr>
      </w:pPr>
      <w:r>
        <w:rPr/>
        <w:t>Establece que los usos de IA que traten datos personales estén informados en el aviso de privacidad y cuenten con fundamento para su tratamiento,</w:t>
      </w:r>
    </w:p>
    <w:p>
      <w:pPr>
        <w:pStyle w:val="Compact"/>
        <w:numPr>
          <w:ilvl w:val="1"/>
          <w:numId w:val="1043"/>
        </w:numPr>
      </w:pPr>
      <w:r>
        <w:rPr/>
        <w:t>Establece la obligación de verificar los resultados y de declarar el uso de IA,</w:t>
      </w:r>
    </w:p>
    <w:p>
      <w:pPr>
        <w:pStyle w:val="Compact"/>
        <w:numPr>
          <w:ilvl w:val="1"/>
          <w:numId w:val="1043"/>
        </w:numPr>
      </w:pPr>
      <w:r>
        <w:rPr/>
        <w:t>Establece las reglas para el uso de la imagen, la voz y las obras de terceros,</w:t>
      </w:r>
    </w:p>
    <w:p>
      <w:pPr>
        <w:pStyle w:val="Compact"/>
        <w:numPr>
          <w:ilvl w:val="1"/>
          <w:numId w:val="1043"/>
        </w:numPr>
      </w:pPr>
      <w:r>
        <w:rPr/>
        <w:t>Establece la intervención humana en los usos que afectan a personas,</w:t>
      </w:r>
    </w:p>
    <w:p>
      <w:pPr>
        <w:pStyle w:val="Compact"/>
        <w:numPr>
          <w:ilvl w:val="1"/>
          <w:numId w:val="1043"/>
        </w:numPr>
      </w:pPr>
      <w:r>
        <w:rPr/>
        <w:t>Especifica el procedimiento de reporte de incidentes,</w:t>
      </w:r>
    </w:p>
    <w:p>
      <w:pPr>
        <w:pStyle w:val="Compact"/>
        <w:numPr>
          <w:ilvl w:val="1"/>
          <w:numId w:val="1043"/>
        </w:numPr>
      </w:pPr>
      <w:r>
        <w:rPr/>
        <w:t>Designa a los responsables de su aplicación,</w:t>
      </w:r>
    </w:p>
    <w:p>
      <w:pPr>
        <w:pStyle w:val="Compact"/>
        <w:numPr>
          <w:ilvl w:val="1"/>
          <w:numId w:val="1043"/>
        </w:numPr>
      </w:pPr>
      <w:r>
        <w:rPr/>
        <w:t>Indica las consecuencias de su incumplimiento conforme al reglamento interior de trabajo y a los contratos aplicables, e</w:t>
      </w:r>
    </w:p>
    <w:p>
      <w:pPr>
        <w:pStyle w:val="Compact"/>
        <w:numPr>
          <w:ilvl w:val="1"/>
          <w:numId w:val="1043"/>
        </w:numPr>
      </w:pPr>
      <w:r>
        <w:rPr/>
        <w:t>Indica su periodo de revisión.</w:t>
      </w:r>
    </w:p>
    <w:p>
      <w:pPr>
        <w:pStyle w:val="Compact"/>
        <w:numPr>
          <w:ilvl w:val="0"/>
          <w:numId w:val="1053"/>
        </w:numPr>
      </w:pPr>
      <w:r>
        <w:rPr/>
        <w:t>La lista de verificación de proveedores de IA aplicada:</w:t>
      </w:r>
      <w:r>
        <w:rPr/>
        <w:t xml:space="preserve"> </w:t>
      </w:r>
    </w:p>
    <w:p>
      <w:pPr>
        <w:pStyle w:val="Compact"/>
        <w:numPr>
          <w:ilvl w:val="1"/>
          <w:numId w:val="1043"/>
        </w:numPr>
      </w:pPr>
      <w:r>
        <w:rPr/>
        <w:t>Contiene criterios sobre el uso que el proveedor da a la información ingresada, incluido su uso para entrenamiento,</w:t>
      </w:r>
    </w:p>
    <w:p>
      <w:pPr>
        <w:pStyle w:val="Compact"/>
        <w:numPr>
          <w:ilvl w:val="1"/>
          <w:numId w:val="1043"/>
        </w:numPr>
      </w:pPr>
      <w:r>
        <w:rPr/>
        <w:t>Contiene criterios sobre la calidad del proveedor como persona encargada o como tercero receptor, y sobre las transferencias internacionales,</w:t>
      </w:r>
    </w:p>
    <w:p>
      <w:pPr>
        <w:pStyle w:val="Compact"/>
        <w:numPr>
          <w:ilvl w:val="1"/>
          <w:numId w:val="1043"/>
        </w:numPr>
      </w:pPr>
      <w:r>
        <w:rPr/>
        <w:t>Contiene criterios sobre la conservación, la ubicación y la eliminación de la información,</w:t>
      </w:r>
    </w:p>
    <w:p>
      <w:pPr>
        <w:pStyle w:val="Compact"/>
        <w:numPr>
          <w:ilvl w:val="1"/>
          <w:numId w:val="1043"/>
        </w:numPr>
      </w:pPr>
      <w:r>
        <w:rPr/>
        <w:t>Contiene criterios de confidencialidad y seguridad,</w:t>
      </w:r>
    </w:p>
    <w:p>
      <w:pPr>
        <w:pStyle w:val="Compact"/>
        <w:numPr>
          <w:ilvl w:val="1"/>
          <w:numId w:val="1043"/>
        </w:numPr>
      </w:pPr>
      <w:r>
        <w:rPr/>
        <w:t>Contiene criterios sobre la notificación de incidentes por parte del proveedor, e</w:t>
      </w:r>
    </w:p>
    <w:p>
      <w:pPr>
        <w:pStyle w:val="Compact"/>
        <w:numPr>
          <w:ilvl w:val="1"/>
          <w:numId w:val="1043"/>
        </w:numPr>
      </w:pPr>
      <w:r>
        <w:rPr/>
        <w:t>Incluye el resultado de su aplicación a un proveedor del caso y la recomendación de autorizarlo o no.</w:t>
      </w:r>
    </w:p>
    <w:p>
      <w:pPr>
        <w:pStyle w:val="Compact"/>
        <w:numPr>
          <w:ilvl w:val="0"/>
          <w:numId w:val="1053"/>
        </w:numPr>
      </w:pPr>
      <w:r>
        <w:rPr/>
        <w:t>El plan de controles elaborado:</w:t>
      </w:r>
      <w:r>
        <w:rPr/>
        <w:t xml:space="preserve"> </w:t>
      </w:r>
    </w:p>
    <w:p>
      <w:pPr>
        <w:pStyle w:val="Compact"/>
        <w:numPr>
          <w:ilvl w:val="1"/>
          <w:numId w:val="1043"/>
        </w:numPr>
      </w:pPr>
      <w:r>
        <w:rPr/>
        <w:t>Contiene al menos un control para cada riesgo alto de la matriz,</w:t>
      </w:r>
    </w:p>
    <w:p>
      <w:pPr>
        <w:pStyle w:val="Compact"/>
        <w:numPr>
          <w:ilvl w:val="1"/>
          <w:numId w:val="1043"/>
        </w:numPr>
      </w:pPr>
      <w:r>
        <w:rPr/>
        <w:t>Especifica el tipo de cada control: técnico, administrativo o físico,</w:t>
      </w:r>
    </w:p>
    <w:p>
      <w:pPr>
        <w:pStyle w:val="Compact"/>
        <w:numPr>
          <w:ilvl w:val="1"/>
          <w:numId w:val="1043"/>
        </w:numPr>
      </w:pPr>
      <w:r>
        <w:rPr/>
        <w:t>Indica el responsable de implementarlo,</w:t>
      </w:r>
    </w:p>
    <w:p>
      <w:pPr>
        <w:pStyle w:val="Compact"/>
        <w:numPr>
          <w:ilvl w:val="1"/>
          <w:numId w:val="1043"/>
        </w:numPr>
      </w:pPr>
      <w:r>
        <w:rPr/>
        <w:t>Indica el plazo de implementación, y</w:t>
      </w:r>
    </w:p>
    <w:p>
      <w:pPr>
        <w:pStyle w:val="Compact"/>
        <w:numPr>
          <w:ilvl w:val="1"/>
          <w:numId w:val="1043"/>
        </w:numPr>
      </w:pPr>
      <w:r>
        <w:rPr/>
        <w:t>Especifica la evidencia que demostrará su funcionamiento.</w:t>
      </w:r>
    </w:p>
    <w:p>
      <w:pPr>
        <w:pStyle w:val="Compact"/>
        <w:numPr>
          <w:ilvl w:val="0"/>
          <w:numId w:val="1053"/>
        </w:numPr>
      </w:pPr>
      <w:r>
        <w:rPr/>
        <w:t>El programa de capacitación en el uso de IA elaborado:</w:t>
      </w:r>
      <w:r>
        <w:rPr/>
        <w:t xml:space="preserve"> </w:t>
      </w:r>
    </w:p>
    <w:p>
      <w:pPr>
        <w:pStyle w:val="Compact"/>
        <w:numPr>
          <w:ilvl w:val="1"/>
          <w:numId w:val="1043"/>
        </w:numPr>
      </w:pPr>
      <w:r>
        <w:rPr/>
        <w:t>Identifica la población a capacitar por tipo de puesto,</w:t>
      </w:r>
    </w:p>
    <w:p>
      <w:pPr>
        <w:pStyle w:val="Compact"/>
        <w:numPr>
          <w:ilvl w:val="1"/>
          <w:numId w:val="1043"/>
        </w:numPr>
      </w:pPr>
      <w:r>
        <w:rPr/>
        <w:t>Especifica los contenidos conforme a la política de uso de IA,</w:t>
      </w:r>
    </w:p>
    <w:p>
      <w:pPr>
        <w:pStyle w:val="Compact"/>
        <w:numPr>
          <w:ilvl w:val="1"/>
          <w:numId w:val="1043"/>
        </w:numPr>
      </w:pPr>
      <w:r>
        <w:rPr/>
        <w:t>Indica la modalidad, la duración y el calendario, y</w:t>
      </w:r>
    </w:p>
    <w:p>
      <w:pPr>
        <w:pStyle w:val="Compact"/>
        <w:numPr>
          <w:ilvl w:val="1"/>
          <w:numId w:val="1043"/>
        </w:numPr>
      </w:pPr>
      <w:r>
        <w:rPr/>
        <w:t>Especifica la forma de evaluar y registrar la capacitación.</w:t>
      </w:r>
    </w:p>
    <w:p>
      <w:pPr>
        <w:pStyle w:val="BodyText"/>
      </w:pPr>
      <w:r>
        <w:rPr/>
        <w:t>La persona es competente cuando posee los siguientes:</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303"/>
        <w:gridCol w:w="1442"/>
      </w:tblGrid>
      <w:tr>
        <w:trPr>
          <w:tblHeader w:val="true"/>
          <w:cantSplit/>
        </w:trPr>
        <w:tc>
          <w:tcPr>
            <w:tcW w:w="8303" w:type="dxa"/>
            <w:shd w:val="clear" w:color="auto" w:fill="ECECEC"/>
          </w:tcPr>
          <w:p>
            <w:pPr>
              <w:pStyle w:val="Compact"/>
              <w:spacing w:before="20" w:after="20"/>
            </w:pPr>
            <w:r>
              <w:rPr>
                <w:b/>
                <w:sz w:val="17"/>
              </w:rPr>
              <w:t>CONOCIMIENTOS</w:t>
            </w:r>
          </w:p>
        </w:tc>
        <w:tc>
          <w:tcPr>
            <w:tcW w:w="1442" w:type="dxa"/>
            <w:shd w:val="clear" w:color="auto" w:fill="ECECEC"/>
          </w:tcPr>
          <w:p>
            <w:pPr>
              <w:pStyle w:val="Compact"/>
              <w:spacing w:before="20" w:after="20"/>
            </w:pPr>
            <w:r>
              <w:rPr>
                <w:b/>
                <w:sz w:val="17"/>
              </w:rPr>
              <w:t>NIVEL</w:t>
            </w:r>
          </w:p>
        </w:tc>
      </w:tr>
      <w:tr>
        <w:tc>
          <w:tcPr>
            <w:tcW w:w="8303" w:type="dxa"/>
          </w:tcPr>
          <w:p>
            <w:pPr>
              <w:pStyle w:val="Compact"/>
              <w:spacing w:before="20" w:after="20"/>
            </w:pPr>
            <w:r>
              <w:rPr>
                <w:sz w:val="17"/>
              </w:rPr>
              <w:t>1. Tipos de controles de seguridad de la información: técnicos, administrativos y físicos.</w:t>
            </w:r>
          </w:p>
        </w:tc>
        <w:tc>
          <w:tcPr>
            <w:tcW w:w="1442" w:type="dxa"/>
          </w:tcPr>
          <w:p>
            <w:pPr>
              <w:pStyle w:val="Compact"/>
              <w:spacing w:before="20" w:after="20"/>
            </w:pPr>
            <w:r>
              <w:rPr>
                <w:sz w:val="17"/>
              </w:rPr>
              <w:t>Comprensión</w:t>
            </w:r>
          </w:p>
        </w:tc>
      </w:tr>
      <w:tr>
        <w:tc>
          <w:tcPr>
            <w:tcW w:w="8303" w:type="dxa"/>
          </w:tcPr>
          <w:p>
            <w:pPr>
              <w:pStyle w:val="Compact"/>
              <w:spacing w:before="20" w:after="20"/>
            </w:pPr>
            <w:r>
              <w:rPr>
                <w:sz w:val="17"/>
              </w:rPr>
              <w:t>2. Estructura de una política organizacional.</w:t>
            </w:r>
          </w:p>
        </w:tc>
        <w:tc>
          <w:tcPr>
            <w:tcW w:w="1442" w:type="dxa"/>
          </w:tcPr>
          <w:p>
            <w:pPr>
              <w:pStyle w:val="Compact"/>
              <w:spacing w:before="20" w:after="20"/>
            </w:pPr>
            <w:r>
              <w:rPr>
                <w:sz w:val="17"/>
              </w:rPr>
              <w:t>Aplicación</w:t>
            </w:r>
          </w:p>
        </w:tc>
      </w:tr>
      <w:tr>
        <w:tc>
          <w:tcPr>
            <w:tcW w:w="8303" w:type="dxa"/>
          </w:tcPr>
          <w:p>
            <w:pPr>
              <w:pStyle w:val="Compact"/>
              <w:spacing w:before="20" w:after="20"/>
            </w:pPr>
            <w:r>
              <w:rPr>
                <w:sz w:val="17"/>
              </w:rPr>
              <w:t>3. Condiciones de servicio relevantes de los proveedores de IA: uso de la información para entrenamiento, calidad del proveedor como persona encargada o tercero, conservación, ubicación y transferencias, confidencialidad y notificación de incidentes.</w:t>
            </w:r>
          </w:p>
        </w:tc>
        <w:tc>
          <w:tcPr>
            <w:tcW w:w="1442" w:type="dxa"/>
          </w:tcPr>
          <w:p>
            <w:pPr>
              <w:pStyle w:val="Compact"/>
              <w:spacing w:before="20" w:after="20"/>
            </w:pPr>
            <w:r>
              <w:rPr>
                <w:sz w:val="17"/>
              </w:rPr>
              <w:t>Comprensión</w:t>
            </w:r>
          </w:p>
        </w:tc>
      </w:tr>
      <w:tr>
        <w:tc>
          <w:tcPr>
            <w:tcW w:w="8303" w:type="dxa"/>
          </w:tcPr>
          <w:p>
            <w:pPr>
              <w:pStyle w:val="Compact"/>
              <w:spacing w:before="20" w:after="20"/>
            </w:pPr>
            <w:r>
              <w:rPr>
                <w:sz w:val="17"/>
              </w:rPr>
              <w:t>4. Obligaciones patronales de capacitación y su registro.</w:t>
            </w:r>
          </w:p>
        </w:tc>
        <w:tc>
          <w:tcPr>
            <w:tcW w:w="1442" w:type="dxa"/>
          </w:tcPr>
          <w:p>
            <w:pPr>
              <w:pStyle w:val="Compact"/>
              <w:spacing w:before="20" w:after="20"/>
            </w:pPr>
            <w:r>
              <w:rPr>
                <w:sz w:val="17"/>
              </w:rPr>
              <w:t>Conocimiento</w:t>
            </w:r>
          </w:p>
        </w:tc>
      </w:tr>
    </w:tbl>
    <w:p>
      <w:pPr>
        <w:pStyle w:val="BodyText"/>
      </w:pPr>
    </w:p>
    <w:p>
      <w:pPr>
        <w:pStyle w:val="BodyText"/>
      </w:pPr>
      <w:r>
        <w:rPr/>
        <w:t>La persona es competente cuando demuestra las siguientes:</w:t>
      </w:r>
    </w:p>
    <w:p>
      <w:pPr>
        <w:pStyle w:val="BodyText"/>
      </w:pPr>
      <w:r>
        <w:rPr>
          <w:b/>
        </w:rPr>
        <w:t>ACTITUDES/HÁBITOS/VALORES</w:t>
      </w:r>
    </w:p>
    <w:p>
      <w:pPr>
        <w:pStyle w:val="Compact"/>
        <w:numPr>
          <w:ilvl w:val="0"/>
          <w:numId w:val="1054"/>
        </w:numPr>
      </w:pPr>
      <w:r>
        <w:rPr/>
        <w:t>Responsabilidad: La manera en que vincula cada control con un riesgo de la matriz.</w:t>
      </w:r>
    </w:p>
    <w:p>
      <w:pPr>
        <w:pStyle w:val="Compact"/>
        <w:numPr>
          <w:ilvl w:val="0"/>
          <w:numId w:val="1054"/>
        </w:numPr>
      </w:pPr>
      <w:r>
        <w:rPr/>
        <w:t>Iniciativa: La manera en que propone controles adicionales a los que ya existen en la organización.</w:t>
      </w:r>
    </w:p>
    <w:p>
      <w:pPr>
        <w:pStyle w:val="BodyText"/>
      </w:pPr>
      <w:r>
        <w:rPr>
          <w:b/>
        </w:rPr>
        <w:t>GLOSARIO</w:t>
      </w:r>
    </w:p>
    <w:p>
      <w:pPr>
        <w:pStyle w:val="Compact"/>
        <w:numPr>
          <w:ilvl w:val="0"/>
          <w:numId w:val="1055"/>
        </w:numPr>
      </w:pPr>
      <w:r>
        <w:rPr/>
        <w:t>Control: Medida que modifica un riesgo, al reducir su probabilidad o su impacto.</w:t>
      </w:r>
    </w:p>
    <w:p>
      <w:pPr>
        <w:pStyle w:val="Compact"/>
        <w:numPr>
          <w:ilvl w:val="0"/>
          <w:numId w:val="1055"/>
        </w:numPr>
      </w:pPr>
      <w:r>
        <w:rPr/>
        <w:t>Política de uso de IA: Documento aprobado por la organización que establece las reglas para el uso de sistemas de IA por su personal.</w:t>
      </w:r>
    </w:p>
    <w:p>
      <w:pPr>
        <w:pStyle w:val="Compact"/>
        <w:numPr>
          <w:ilvl w:val="0"/>
          <w:numId w:val="1055"/>
        </w:numPr>
      </w:pPr>
      <w:r>
        <w:rPr/>
        <w:t>Proveedor de IA: Persona física o moral que ofrece un sistema de IA a la organización, de forma gratuita o mediante contrato.</w:t>
      </w:r>
    </w:p>
    <w:p>
      <w:pPr>
        <w:pStyle w:val="BodyText"/>
        <w:pBdr>
          <w:bottom w:val="single" w:sz="4" w:space="1" w:color="BFC0C0"/>
        </w:pBdr>
      </w:pP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1354"/>
        <w:gridCol w:w="966"/>
        <w:gridCol w:w="7425"/>
      </w:tblGrid>
      <w:tr>
        <w:trPr>
          <w:tblHeader w:val="true"/>
          <w:cantSplit/>
        </w:trPr>
        <w:tc>
          <w:tcPr>
            <w:tcW w:w="1354" w:type="dxa"/>
            <w:shd w:val="clear" w:color="auto" w:fill="ECECEC"/>
          </w:tcPr>
          <w:p>
            <w:pPr>
              <w:pStyle w:val="Compact"/>
              <w:spacing w:before="20" w:after="20"/>
            </w:pPr>
            <w:r>
              <w:rPr>
                <w:b/>
                <w:sz w:val="17"/>
              </w:rPr>
              <w:t>Referencia</w:t>
            </w:r>
          </w:p>
        </w:tc>
        <w:tc>
          <w:tcPr>
            <w:tcW w:w="966" w:type="dxa"/>
            <w:shd w:val="clear" w:color="auto" w:fill="ECECEC"/>
          </w:tcPr>
          <w:p>
            <w:pPr>
              <w:pStyle w:val="Compact"/>
              <w:spacing w:before="20" w:after="20"/>
            </w:pPr>
            <w:r>
              <w:rPr>
                <w:b/>
                <w:sz w:val="17"/>
              </w:rPr>
              <w:t>Código</w:t>
            </w:r>
          </w:p>
        </w:tc>
        <w:tc>
          <w:tcPr>
            <w:tcW w:w="7425" w:type="dxa"/>
            <w:shd w:val="clear" w:color="auto" w:fill="ECECEC"/>
          </w:tcPr>
          <w:p>
            <w:pPr>
              <w:pStyle w:val="Compact"/>
              <w:spacing w:before="20" w:after="20"/>
            </w:pPr>
            <w:r>
              <w:rPr>
                <w:b/>
                <w:sz w:val="17"/>
              </w:rPr>
              <w:t>Título</w:t>
            </w:r>
          </w:p>
        </w:tc>
      </w:tr>
      <w:tr>
        <w:tc>
          <w:tcPr>
            <w:tcW w:w="1354" w:type="dxa"/>
          </w:tcPr>
          <w:p>
            <w:pPr>
              <w:pStyle w:val="Compact"/>
              <w:spacing w:before="20" w:after="20"/>
            </w:pPr>
            <w:r>
              <w:rPr>
                <w:sz w:val="17"/>
              </w:rPr>
              <w:t>4 de 4</w:t>
            </w:r>
          </w:p>
        </w:tc>
        <w:tc>
          <w:tcPr>
            <w:tcW w:w="966" w:type="dxa"/>
          </w:tcPr>
          <w:p>
            <w:pPr>
              <w:pStyle w:val="Compact"/>
              <w:spacing w:before="20" w:after="20"/>
            </w:pPr>
            <w:r>
              <w:rPr>
                <w:sz w:val="17"/>
              </w:rPr>
              <w:t>[E0000]</w:t>
            </w:r>
          </w:p>
        </w:tc>
        <w:tc>
          <w:tcPr>
            <w:tcW w:w="7425" w:type="dxa"/>
          </w:tcPr>
          <w:p>
            <w:pPr>
              <w:pStyle w:val="Compact"/>
              <w:spacing w:before="20" w:after="20"/>
            </w:pPr>
            <w:r>
              <w:rPr>
                <w:sz w:val="17"/>
              </w:rPr>
              <w:t>Supervisar el cumplimiento de los controles y gestionar los incidentes de inteligencia artificial</w:t>
            </w:r>
          </w:p>
        </w:tc>
      </w:tr>
    </w:tbl>
    <w:p>
      <w:pPr>
        <w:pStyle w:val="BodyText"/>
      </w:pPr>
    </w:p>
    <w:p>
      <w:pPr>
        <w:pStyle w:val="Heading3"/>
      </w:pPr>
      <w:r>
        <w:rPr/>
        <w:t>CRITERIOS DE EVALUACIÓN</w:t>
      </w:r>
    </w:p>
    <w:p>
      <w:pPr>
        <w:pStyle w:val="FirstParagraph"/>
      </w:pPr>
      <w:r>
        <w:rPr/>
        <w:t>La persona es competente cuando demuestra el siguiente:</w:t>
      </w:r>
    </w:p>
    <w:p>
      <w:pPr>
        <w:pStyle w:val="BodyText"/>
      </w:pPr>
      <w:r>
        <w:rPr>
          <w:b/>
        </w:rPr>
        <w:t>DESEMPEÑO</w:t>
      </w:r>
    </w:p>
    <w:p>
      <w:pPr>
        <w:pStyle w:val="Compact"/>
        <w:numPr>
          <w:ilvl w:val="0"/>
          <w:numId w:val="1056"/>
        </w:numPr>
      </w:pPr>
      <w:r>
        <w:rPr/>
        <w:t>Atiende un incidente de IA reportado:</w:t>
      </w:r>
      <w:r>
        <w:rPr/>
        <w:t xml:space="preserve"> </w:t>
      </w:r>
    </w:p>
    <w:p>
      <w:pPr>
        <w:pStyle w:val="Compact"/>
        <w:numPr>
          <w:ilvl w:val="1"/>
          <w:numId w:val="1043"/>
        </w:numPr>
      </w:pPr>
      <w:r>
        <w:rPr/>
        <w:t>Confirmando los hechos con la persona que lo reportó,</w:t>
      </w:r>
    </w:p>
    <w:p>
      <w:pPr>
        <w:pStyle w:val="Compact"/>
        <w:numPr>
          <w:ilvl w:val="1"/>
          <w:numId w:val="1043"/>
        </w:numPr>
      </w:pPr>
      <w:r>
        <w:rPr/>
        <w:t>Determinando la información y las personas afectadas,</w:t>
      </w:r>
    </w:p>
    <w:p>
      <w:pPr>
        <w:pStyle w:val="Compact"/>
        <w:numPr>
          <w:ilvl w:val="1"/>
          <w:numId w:val="1043"/>
        </w:numPr>
      </w:pPr>
      <w:r>
        <w:rPr/>
        <w:t>Aplicando las medidas de contención,</w:t>
      </w:r>
    </w:p>
    <w:p>
      <w:pPr>
        <w:pStyle w:val="Compact"/>
        <w:numPr>
          <w:ilvl w:val="1"/>
          <w:numId w:val="1043"/>
        </w:numPr>
      </w:pPr>
      <w:r>
        <w:rPr/>
        <w:t>Determinando si el incidente constituye una vulneración de seguridad de datos personales que deba informarse a las personas titulares conforme a la normatividad aplicable, y</w:t>
      </w:r>
    </w:p>
    <w:p>
      <w:pPr>
        <w:pStyle w:val="Compact"/>
        <w:numPr>
          <w:ilvl w:val="1"/>
          <w:numId w:val="1043"/>
        </w:numPr>
      </w:pPr>
      <w:r>
        <w:rPr/>
        <w:t>Comunicando el incidente a la dirección.</w:t>
      </w:r>
    </w:p>
    <w:p>
      <w:pPr>
        <w:pStyle w:val="BodyText"/>
      </w:pPr>
      <w:r>
        <w:rPr/>
        <w:t>La persona es competente cuando obtiene los siguientes:</w:t>
      </w:r>
    </w:p>
    <w:p>
      <w:pPr>
        <w:pStyle w:val="BodyText"/>
      </w:pPr>
      <w:r>
        <w:rPr>
          <w:b/>
        </w:rPr>
        <w:t>PRODUCTOS</w:t>
      </w:r>
    </w:p>
    <w:p>
      <w:pPr>
        <w:pStyle w:val="Compact"/>
        <w:numPr>
          <w:ilvl w:val="0"/>
          <w:numId w:val="1057"/>
        </w:numPr>
      </w:pPr>
      <w:r>
        <w:rPr/>
        <w:t>El programa de verificación de controles elaborado:</w:t>
      </w:r>
      <w:r>
        <w:rPr/>
        <w:t xml:space="preserve"> </w:t>
      </w:r>
    </w:p>
    <w:p>
      <w:pPr>
        <w:pStyle w:val="Compact"/>
        <w:numPr>
          <w:ilvl w:val="1"/>
          <w:numId w:val="1043"/>
        </w:numPr>
      </w:pPr>
      <w:r>
        <w:rPr/>
        <w:t>Contiene los controles a verificar,</w:t>
      </w:r>
    </w:p>
    <w:p>
      <w:pPr>
        <w:pStyle w:val="Compact"/>
        <w:numPr>
          <w:ilvl w:val="1"/>
          <w:numId w:val="1043"/>
        </w:numPr>
      </w:pPr>
      <w:r>
        <w:rPr/>
        <w:t>Especifica el método de verificación de cada control,</w:t>
      </w:r>
    </w:p>
    <w:p>
      <w:pPr>
        <w:pStyle w:val="Compact"/>
        <w:numPr>
          <w:ilvl w:val="1"/>
          <w:numId w:val="1043"/>
        </w:numPr>
      </w:pPr>
      <w:r>
        <w:rPr/>
        <w:t>Indica la periodicidad de la verificación, y</w:t>
      </w:r>
    </w:p>
    <w:p>
      <w:pPr>
        <w:pStyle w:val="Compact"/>
        <w:numPr>
          <w:ilvl w:val="1"/>
          <w:numId w:val="1043"/>
        </w:numPr>
      </w:pPr>
      <w:r>
        <w:rPr/>
        <w:t>Designa al responsable de cada verificación.</w:t>
      </w:r>
    </w:p>
    <w:p>
      <w:pPr>
        <w:pStyle w:val="Compact"/>
        <w:numPr>
          <w:ilvl w:val="0"/>
          <w:numId w:val="1057"/>
        </w:numPr>
      </w:pPr>
      <w:r>
        <w:rPr/>
        <w:t>El registro de incidente de IA requisitado:</w:t>
      </w:r>
      <w:r>
        <w:rPr/>
        <w:t xml:space="preserve"> </w:t>
      </w:r>
    </w:p>
    <w:p>
      <w:pPr>
        <w:pStyle w:val="Compact"/>
        <w:numPr>
          <w:ilvl w:val="1"/>
          <w:numId w:val="1043"/>
        </w:numPr>
      </w:pPr>
      <w:r>
        <w:rPr/>
        <w:t>Contiene la fecha y la hora de identificación y de reporte,</w:t>
      </w:r>
    </w:p>
    <w:p>
      <w:pPr>
        <w:pStyle w:val="Compact"/>
        <w:numPr>
          <w:ilvl w:val="1"/>
          <w:numId w:val="1043"/>
        </w:numPr>
      </w:pPr>
      <w:r>
        <w:rPr/>
        <w:t>Describe el incidente y el sistema involucrado,</w:t>
      </w:r>
    </w:p>
    <w:p>
      <w:pPr>
        <w:pStyle w:val="Compact"/>
        <w:numPr>
          <w:ilvl w:val="1"/>
          <w:numId w:val="1043"/>
        </w:numPr>
      </w:pPr>
      <w:r>
        <w:rPr/>
        <w:t>Identifica la información y las personas afectadas,</w:t>
      </w:r>
    </w:p>
    <w:p>
      <w:pPr>
        <w:pStyle w:val="Compact"/>
        <w:numPr>
          <w:ilvl w:val="1"/>
          <w:numId w:val="1043"/>
        </w:numPr>
      </w:pPr>
      <w:r>
        <w:rPr/>
        <w:t>Describe las medidas de contención aplicadas,</w:t>
      </w:r>
    </w:p>
    <w:p>
      <w:pPr>
        <w:pStyle w:val="Compact"/>
        <w:numPr>
          <w:ilvl w:val="1"/>
          <w:numId w:val="1043"/>
        </w:numPr>
      </w:pPr>
      <w:r>
        <w:rPr/>
        <w:t>Indica la determinación sobre informar a las personas titulares y su fundamento,</w:t>
      </w:r>
    </w:p>
    <w:p>
      <w:pPr>
        <w:pStyle w:val="Compact"/>
        <w:numPr>
          <w:ilvl w:val="1"/>
          <w:numId w:val="1043"/>
        </w:numPr>
      </w:pPr>
      <w:r>
        <w:rPr/>
        <w:t>Describe la causa identificada, e</w:t>
      </w:r>
    </w:p>
    <w:p>
      <w:pPr>
        <w:pStyle w:val="Compact"/>
        <w:numPr>
          <w:ilvl w:val="1"/>
          <w:numId w:val="1043"/>
        </w:numPr>
      </w:pPr>
      <w:r>
        <w:rPr/>
        <w:t>Indica las acciones correctivas, sus responsables y sus plazos.</w:t>
      </w:r>
    </w:p>
    <w:p>
      <w:pPr>
        <w:pStyle w:val="Compact"/>
        <w:numPr>
          <w:ilvl w:val="0"/>
          <w:numId w:val="1057"/>
        </w:numPr>
      </w:pPr>
      <w:r>
        <w:rPr/>
        <w:t>El informe de gestión de IA para la dirección elaborado:</w:t>
      </w:r>
      <w:r>
        <w:rPr/>
        <w:t xml:space="preserve"> </w:t>
      </w:r>
    </w:p>
    <w:p>
      <w:pPr>
        <w:pStyle w:val="Compact"/>
        <w:numPr>
          <w:ilvl w:val="1"/>
          <w:numId w:val="1043"/>
        </w:numPr>
      </w:pPr>
      <w:r>
        <w:rPr/>
        <w:t>Contiene el resumen del inventario y sus cambios,</w:t>
      </w:r>
    </w:p>
    <w:p>
      <w:pPr>
        <w:pStyle w:val="Compact"/>
        <w:numPr>
          <w:ilvl w:val="1"/>
          <w:numId w:val="1043"/>
        </w:numPr>
      </w:pPr>
      <w:r>
        <w:rPr/>
        <w:t>Contiene los riesgos altos y el avance de sus controles,</w:t>
      </w:r>
    </w:p>
    <w:p>
      <w:pPr>
        <w:pStyle w:val="Compact"/>
        <w:numPr>
          <w:ilvl w:val="1"/>
          <w:numId w:val="1043"/>
        </w:numPr>
      </w:pPr>
      <w:r>
        <w:rPr/>
        <w:t>Contiene los resultados de la verificación de controles,</w:t>
      </w:r>
    </w:p>
    <w:p>
      <w:pPr>
        <w:pStyle w:val="Compact"/>
        <w:numPr>
          <w:ilvl w:val="1"/>
          <w:numId w:val="1043"/>
        </w:numPr>
      </w:pPr>
      <w:r>
        <w:rPr/>
        <w:t>Contiene los incidentes ocurridos y su estado, e</w:t>
      </w:r>
    </w:p>
    <w:p>
      <w:pPr>
        <w:pStyle w:val="Compact"/>
        <w:numPr>
          <w:ilvl w:val="1"/>
          <w:numId w:val="1043"/>
        </w:numPr>
      </w:pPr>
      <w:r>
        <w:rPr/>
        <w:t>Incluye las recomendaciones y las decisiones que requiere de la dirección.</w:t>
      </w:r>
    </w:p>
    <w:p>
      <w:pPr>
        <w:pStyle w:val="BodyText"/>
      </w:pPr>
      <w:r>
        <w:rPr/>
        <w:t>La persona es competente cuando posee los siguientes:</w:t>
      </w:r>
    </w:p>
    <w:tbl>
      <w:tblPr>
        <w:tblW w:w="9746" w:type="dxa"/>
        <w:tblBorders>
          <w:top w:val="single" w:sz="4" w:space="0" w:color="BFC0C0"/>
          <w:left w:val="single" w:sz="4" w:space="0" w:color="BFC0C0"/>
          <w:bottom w:val="single" w:sz="4" w:space="0" w:color="BFC0C0"/>
          <w:right w:val="single" w:sz="4" w:space="0" w:color="BFC0C0"/>
          <w:insideH w:val="single" w:sz="4" w:space="0" w:color="BFC0C0"/>
          <w:insideV w:val="single" w:sz="4" w:space="0" w:color="BFC0C0"/>
        </w:tblBorders>
        <w:tblLayout w:type="fixed"/>
        <w:tblLook w:firstColumn="1" w:firstRow="1" w:lastColumn="0" w:lastRow="0" w:noHBand="0" w:noVBand="1" w:val="04A0"/>
      </w:tblPr>
      <w:tblGrid>
        <w:gridCol w:w="8398"/>
        <w:gridCol w:w="1347"/>
      </w:tblGrid>
      <w:tr>
        <w:trPr>
          <w:tblHeader w:val="true"/>
          <w:cantSplit/>
        </w:trPr>
        <w:tc>
          <w:tcPr>
            <w:tcW w:w="8398" w:type="dxa"/>
            <w:shd w:val="clear" w:color="auto" w:fill="ECECEC"/>
          </w:tcPr>
          <w:p>
            <w:pPr>
              <w:pStyle w:val="Compact"/>
              <w:spacing w:before="20" w:after="20"/>
            </w:pPr>
            <w:r>
              <w:rPr>
                <w:b/>
                <w:sz w:val="17"/>
              </w:rPr>
              <w:t>CONOCIMIENTOS</w:t>
            </w:r>
          </w:p>
        </w:tc>
        <w:tc>
          <w:tcPr>
            <w:tcW w:w="1347" w:type="dxa"/>
            <w:shd w:val="clear" w:color="auto" w:fill="ECECEC"/>
          </w:tcPr>
          <w:p>
            <w:pPr>
              <w:pStyle w:val="Compact"/>
              <w:spacing w:before="20" w:after="20"/>
            </w:pPr>
            <w:r>
              <w:rPr>
                <w:b/>
                <w:sz w:val="17"/>
              </w:rPr>
              <w:t>NIVEL</w:t>
            </w:r>
          </w:p>
        </w:tc>
      </w:tr>
      <w:tr>
        <w:tc>
          <w:tcPr>
            <w:tcW w:w="8398" w:type="dxa"/>
          </w:tcPr>
          <w:p>
            <w:pPr>
              <w:pStyle w:val="Compact"/>
              <w:spacing w:before="20" w:after="20"/>
            </w:pPr>
            <w:r>
              <w:rPr>
                <w:sz w:val="17"/>
              </w:rPr>
              <w:t>1. Etapas de la gestión de incidentes: identificación, contención, análisis, corrección y cierre.</w:t>
            </w:r>
          </w:p>
        </w:tc>
        <w:tc>
          <w:tcPr>
            <w:tcW w:w="1347" w:type="dxa"/>
          </w:tcPr>
          <w:p>
            <w:pPr>
              <w:pStyle w:val="Compact"/>
              <w:spacing w:before="20" w:after="20"/>
            </w:pPr>
            <w:r>
              <w:rPr>
                <w:sz w:val="17"/>
              </w:rPr>
              <w:t>Aplicación</w:t>
            </w:r>
          </w:p>
        </w:tc>
      </w:tr>
      <w:tr>
        <w:tc>
          <w:tcPr>
            <w:tcW w:w="8398" w:type="dxa"/>
          </w:tcPr>
          <w:p>
            <w:pPr>
              <w:pStyle w:val="Compact"/>
              <w:spacing w:before="20" w:after="20"/>
            </w:pPr>
            <w:r>
              <w:rPr>
                <w:sz w:val="17"/>
              </w:rPr>
              <w:t>2. Vulneraciones de seguridad de datos personales y deber de informar a las personas titulares.</w:t>
            </w:r>
          </w:p>
        </w:tc>
        <w:tc>
          <w:tcPr>
            <w:tcW w:w="1347" w:type="dxa"/>
          </w:tcPr>
          <w:p>
            <w:pPr>
              <w:pStyle w:val="Compact"/>
              <w:spacing w:before="20" w:after="20"/>
            </w:pPr>
            <w:r>
              <w:rPr>
                <w:sz w:val="17"/>
              </w:rPr>
              <w:t>Comprensión</w:t>
            </w:r>
          </w:p>
        </w:tc>
      </w:tr>
      <w:tr>
        <w:tc>
          <w:tcPr>
            <w:tcW w:w="8398" w:type="dxa"/>
          </w:tcPr>
          <w:p>
            <w:pPr>
              <w:pStyle w:val="Compact"/>
              <w:spacing w:before="20" w:after="20"/>
            </w:pPr>
            <w:r>
              <w:rPr>
                <w:sz w:val="17"/>
              </w:rPr>
              <w:t>3. Análisis de causa raíz.</w:t>
            </w:r>
          </w:p>
        </w:tc>
        <w:tc>
          <w:tcPr>
            <w:tcW w:w="1347" w:type="dxa"/>
          </w:tcPr>
          <w:p>
            <w:pPr>
              <w:pStyle w:val="Compact"/>
              <w:spacing w:before="20" w:after="20"/>
            </w:pPr>
            <w:r>
              <w:rPr>
                <w:sz w:val="17"/>
              </w:rPr>
              <w:t>Aplicación</w:t>
            </w:r>
          </w:p>
        </w:tc>
      </w:tr>
    </w:tbl>
    <w:p>
      <w:pPr>
        <w:pStyle w:val="BodyText"/>
      </w:pPr>
    </w:p>
    <w:p>
      <w:pPr>
        <w:pStyle w:val="BodyText"/>
      </w:pPr>
      <w:r>
        <w:rPr/>
        <w:t>La persona es competente cuando demuestra las siguientes:</w:t>
      </w:r>
    </w:p>
    <w:p>
      <w:pPr>
        <w:pStyle w:val="BodyText"/>
      </w:pPr>
      <w:r>
        <w:rPr>
          <w:b/>
        </w:rPr>
        <w:t>RESPUESTAS ANTE SITUACIONES EMERGENTES</w:t>
      </w:r>
    </w:p>
    <w:p>
      <w:pPr>
        <w:pStyle w:val="BodyText"/>
      </w:pPr>
      <w:r>
        <w:rPr>
          <w:b/>
        </w:rPr>
        <w:t>Situación emergente</w:t>
      </w:r>
    </w:p>
    <w:p>
      <w:pPr>
        <w:pStyle w:val="Compact"/>
        <w:numPr>
          <w:ilvl w:val="0"/>
          <w:numId w:val="1058"/>
        </w:numPr>
      </w:pPr>
      <w:r>
        <w:rPr/>
        <w:t>Durante la atención del incidente, se informa que la información filtrada contiene datos personales sensibles de clientes y ya circula en redes sociales.</w:t>
      </w:r>
    </w:p>
    <w:p>
      <w:pPr>
        <w:pStyle w:val="BodyText"/>
      </w:pPr>
      <w:r>
        <w:rPr>
          <w:b/>
        </w:rPr>
        <w:t>Respuestas esperadas</w:t>
      </w:r>
    </w:p>
    <w:p>
      <w:pPr>
        <w:pStyle w:val="Compact"/>
        <w:numPr>
          <w:ilvl w:val="0"/>
          <w:numId w:val="1059"/>
        </w:numPr>
      </w:pPr>
      <w:r>
        <w:rPr/>
        <w:t>Escala de inmediato el incidente a la dirección y al área jurídica, solicita a la plataforma el retiro del contenido, determina con el área jurídica si procede informar a las personas titulares conforme a la normatividad aplicable y lo documenta en el registro de incidente.</w:t>
      </w:r>
    </w:p>
    <w:p>
      <w:pPr>
        <w:pStyle w:val="BodyText"/>
      </w:pPr>
      <w:r>
        <w:rPr/>
        <w:t>La persona es competente cuando demuestra las siguientes:</w:t>
      </w:r>
    </w:p>
    <w:p>
      <w:pPr>
        <w:pStyle w:val="BodyText"/>
      </w:pPr>
      <w:r>
        <w:rPr>
          <w:b/>
        </w:rPr>
        <w:t>ACTITUDES/HÁBITOS/VALORES</w:t>
      </w:r>
    </w:p>
    <w:p>
      <w:pPr>
        <w:pStyle w:val="Compact"/>
        <w:numPr>
          <w:ilvl w:val="0"/>
          <w:numId w:val="1060"/>
        </w:numPr>
      </w:pPr>
      <w:r>
        <w:rPr/>
        <w:t>Responsabilidad: La manera en que aplica las medidas de contención en cuanto confirma el incidente.</w:t>
      </w:r>
    </w:p>
    <w:p>
      <w:pPr>
        <w:pStyle w:val="Compact"/>
        <w:numPr>
          <w:ilvl w:val="0"/>
          <w:numId w:val="1060"/>
        </w:numPr>
      </w:pPr>
      <w:r>
        <w:rPr/>
        <w:t>Orden: La manera en que documenta los hechos, la causa y las acciones en el registro de incidente siguiendo la secuencia en que ocurrieron.</w:t>
      </w:r>
    </w:p>
    <w:p>
      <w:pPr>
        <w:pStyle w:val="BodyText"/>
      </w:pPr>
      <w:r>
        <w:rPr>
          <w:b/>
        </w:rPr>
        <w:t>GLOSARIO</w:t>
      </w:r>
    </w:p>
    <w:p>
      <w:pPr>
        <w:pStyle w:val="Compact"/>
        <w:numPr>
          <w:ilvl w:val="0"/>
          <w:numId w:val="1061"/>
        </w:numPr>
      </w:pPr>
      <w:r>
        <w:rPr/>
        <w:t>Acción correctiva: Medida para eliminar la causa de un incidente y evitar que se repita.</w:t>
      </w:r>
    </w:p>
    <w:p>
      <w:pPr>
        <w:pStyle w:val="Compact"/>
        <w:numPr>
          <w:ilvl w:val="0"/>
          <w:numId w:val="1061"/>
        </w:numPr>
      </w:pPr>
      <w:r>
        <w:rPr/>
        <w:t>Contención: Medidas inmediatas para detener o limitar los efectos de un incidente.</w:t>
      </w:r>
    </w:p>
    <w:p>
      <w:pPr>
        <w:pStyle w:val="Compact"/>
        <w:numPr>
          <w:ilvl w:val="0"/>
          <w:numId w:val="1061"/>
        </w:numPr>
      </w:pPr>
      <w:r>
        <w:rPr/>
        <w:t>Incidente de IA: Evento derivado del uso de un sistema de IA que compromete la información o que causa, o puede causar, un daño a personas o a la organización.</w:t>
      </w:r>
    </w:p>
    <w:p>
      <w:pPr>
        <w:pStyle w:val="Compact"/>
        <w:numPr>
          <w:ilvl w:val="0"/>
          <w:numId w:val="1061"/>
        </w:numPr>
      </w:pPr>
      <w:r>
        <w:rPr/>
        <w:t>Vulneración de seguridad: Pérdida o destrucción, robo, extravío o copia, uso, acceso o tratamiento, o daño, alteración o modificación no autorizados de datos personales.</w:t>
      </w:r>
    </w:p>
    <w:p>
      <w:pPr>
        <w:pStyle w:val="BodyText"/>
        <w:pBdr>
          <w:bottom w:val="single" w:sz="4" w:space="1" w:color="BFC0C0"/>
        </w:pBdr>
      </w:pPr>
    </w:p>
    <w:p>
      <w:pPr>
        <w:pStyle w:val="Heading2"/>
      </w:pPr>
      <w:r>
        <w:rPr/>
        <w:t>Notas para el Comité de Gestión por Competencias</w:t>
      </w:r>
    </w:p>
    <w:p>
      <w:pPr>
        <w:pStyle w:val="FirstParagraph"/>
      </w:pPr>
      <w:r>
        <w:rPr>
          <w:i/>
        </w:rPr>
        <w:t>No forman parte del Estándar de Competencia.</w:t>
      </w:r>
    </w:p>
    <w:p>
      <w:pPr>
        <w:pStyle w:val="Compact"/>
        <w:numPr>
          <w:ilvl w:val="0"/>
          <w:numId w:val="1062"/>
        </w:numPr>
      </w:pPr>
      <w:r>
        <w:rPr>
          <w:b/>
        </w:rPr>
        <w:t>Alineación internacional.</w:t>
      </w:r>
      <w:r>
        <w:rPr/>
        <w:t xml:space="preserve"> Los cuatro elementos siguen las funciones del NIST AI RMF (mapear, medir, gobernar y gestionar) y los requisitos de ISO/IEC 42001 (contexto, evaluación de riesgos y de impacto, política, competencia y toma de conciencia, evaluación del desempeño y mejora). La correspondencia está en </w:t>
      </w:r>
      <w:r>
        <w:rPr>
          <w:rFonts w:ascii="Consolas" w:hAnsi="Consolas"/>
        </w:rPr>
        <w:t>01-mapa-funcional.md</w:t>
      </w:r>
      <w:r>
        <w:rPr/>
        <w:t>.</w:t>
      </w:r>
    </w:p>
    <w:p>
      <w:pPr>
        <w:pStyle w:val="Compact"/>
        <w:numPr>
          <w:ilvl w:val="0"/>
          <w:numId w:val="1062"/>
        </w:numPr>
      </w:pPr>
      <w:r>
        <w:rPr>
          <w:b/>
        </w:rPr>
        <w:t>Expediente integrado.</w:t>
      </w:r>
      <w:r>
        <w:rPr/>
        <w:t xml:space="preserve"> Los productos de los cuatro elementos se elaboran sobre el mismo caso: la persona entrega un expediente de gestión de IA completo y comparable entre candidatos.</w:t>
      </w:r>
    </w:p>
    <w:p>
      <w:pPr>
        <w:pStyle w:val="Compact"/>
        <w:numPr>
          <w:ilvl w:val="0"/>
          <w:numId w:val="1062"/>
        </w:numPr>
      </w:pPr>
      <w:r>
        <w:rPr>
          <w:b/>
        </w:rPr>
        <w:t>Nivel.</w:t>
      </w:r>
      <w:r>
        <w:rPr/>
        <w:t xml:space="preserve"> Se propone el nivel Cuatro por el grado de juicio y de coordinación con otras áreas. Confirmar con el CONOCER.</w:t>
      </w:r>
    </w:p>
    <w:p>
      <w:pPr>
        <w:pStyle w:val="Compact"/>
        <w:numPr>
          <w:ilvl w:val="0"/>
          <w:numId w:val="1062"/>
        </w:numPr>
      </w:pPr>
      <w:r>
        <w:rPr>
          <w:b/>
        </w:rPr>
        <w:t>Clasificación.</w:t>
      </w:r>
      <w:r>
        <w:rPr/>
        <w:t xml:space="preserve"> Verificada en el SCIAN México 2023 del INEGI (estructura oficial): 541610 "Servicios de consultoría en administración" y la jerarquía 54, 541, 5416, 54161 coinciden con la tabla. Sigue siendo una propuesta: confirmar con el CONOCER. El grupo unitario SINCO 9999 "Ocupaciones no especificadas", con "Sin referente", sigue el precedente del EC1171 y el EC1781.</w:t>
      </w:r>
    </w:p>
    <w:p>
      <w:pPr>
        <w:pStyle w:val="Compact"/>
        <w:numPr>
          <w:ilvl w:val="0"/>
          <w:numId w:val="1062"/>
        </w:numPr>
      </w:pPr>
      <w:r>
        <w:rPr>
          <w:b/>
        </w:rPr>
        <w:t>Fórmulas del formato.</w:t>
      </w:r>
      <w:r>
        <w:rPr/>
        <w:t xml:space="preserve"> Las verificadas el 9 de octubre de 2026 y las pendientes son las señaladas en la nota 2 del EC-A. El texto del nivel Cuatro es igual al del estándar de marca ECM0358 (los textos de los estándares EC0076, EC1410 y EC1440 no pudieron compararse: el EC0076 no lo incluye por ser de un formato anterior y el EC1410 y el EC1440 no se pudieron descargar). Por confirmar con el CONOCER: que la plantilla vigente no haya cambiado.</w:t>
      </w:r>
    </w:p>
    <w:p>
      <w:pPr>
        <w:pStyle w:val="Compact"/>
        <w:numPr>
          <w:ilvl w:val="0"/>
          <w:numId w:val="1062"/>
        </w:numPr>
      </w:pPr>
      <w:r>
        <w:rPr>
          <w:b/>
        </w:rPr>
        <w:t>Validación jurídica.</w:t>
      </w:r>
      <w:r>
        <w:rPr/>
        <w:t xml:space="preserve"> El Acuerdo SE/III-26/05,R (DOF del 7 de agosto de 2026) señala que el contenido de los estándares y su apego a la normatividad vigente es "responsabilidad exclusiva de la Institución" que los presenta; la empresa debe contar con revisión jurídica propia. En la Ley Federal de Protección de Datos Personales en Posesión de los Particulares de 2025 (última reforma DOF del 14 de noviembre de 2025): los ocho principios están en el artículo 5, las medidas de seguridad en el 18 y la obligación de informar de inmediato a las personas titulares las vulneraciones que afecten de forma significativa sus derechos patrimoniales o morales en el 19. Esa ley no define "vulneración" ni "remisión"; ambas aparecen en el Reglamento de 2011 (artículos 2, fracción IX, y 63), cuya aplicación a la ley de 2025 está por confirmar, y en la Ley General para sujetos obligados (artículos 3, fracción XXIV, y 32). La definición del glosario sigue esas listas y debe revisarla un especialista. La intervención humana en los usos que afectan a personas se apoya en el derecho de oposición a decisiones automatizadas (artículo 26, fracción II) y en la prohibición de discriminar en el empleo (Ley Federal del Trabajo, artículo 133, fracción I).</w:t>
      </w:r>
    </w:p>
    <w:p>
      <w:pPr>
        <w:pStyle w:val="Compact"/>
        <w:numPr>
          <w:ilvl w:val="0"/>
          <w:numId w:val="1062"/>
        </w:numPr>
      </w:pPr>
      <w:r>
        <w:rPr>
          <w:b/>
        </w:rPr>
        <w:t>Vínculo con el EC-A.</w:t>
      </w:r>
      <w:r>
        <w:rPr/>
        <w:t xml:space="preserve"> El producto 4 del Elemento 3 de 4 (programa de capacitación) se acredita en el personal mediante el EC-A.</w:t>
      </w:r>
    </w:p>
    <w:p>
      <w:pPr>
        <w:pStyle w:val="BodyText"/>
      </w:pPr>
      <w:r>
        <w:rPr>
          <w:b/>
        </w:rPr>
        <w:t>Cambios respecto de la versión 0.1:</w:t>
      </w:r>
      <w:r>
        <w:rPr/>
        <w:t xml:space="preserve"> título más breve ("sistemas" incluye las herramientas); un desempeño observable por elemento mediante simulación (entrevista, presentación, comunicación y atención de incidente); escala de valoración de riesgos con criterios mínimos; riesgo residual en la evaluación de impacto; notificación de incidentes por proveedores; inyección de instrucciones entre los riesgos propios de la IA; "Imparcialidad" sustituida por "Orden"; frases introductorias del formato completas.</w:t>
      </w:r>
    </w:p>
    <w:p>
      <w:pPr>
        <w:pStyle w:val="BodyText"/>
      </w:pPr>
      <w:r>
        <w:rPr>
          <w:b/>
        </w:rPr>
        <w:t>Cambios de la verificación del 9 de octubre de 2026:</w:t>
      </w:r>
      <w:r>
        <w:rPr/>
        <w:t xml:space="preserve"> encabezado y frases de las respuestas ante situaciones emergentes conforme a los estándares publicados; nombre del campo de organizaciones participantes; se retiró el apartado "Relación con otros estándares de competencia", que no existe en el formato versión 08 (el vínculo con el EC-A está en la nota 7); el conocimiento 1 del Elemento 2 de 4 dejó de citar "remisiones", que la ley de 2025 para particulares no define; definición de vulneración conforme al artículo 32 de la Ley General para sujetos obligados; notas 4 a 6 actualizadas.</w:t>
      </w:r>
    </w:p>
    <w:p>
      <w:pPr>
        <w:pStyle w:val="BodyText"/>
      </w:pPr>
      <w:r>
        <w:rPr>
          <w:b/>
        </w:rPr>
        <w:t>Cambios de la revisión jurídica del 9 de octubre de 2026:</w:t>
      </w:r>
      <w:r>
        <w:rPr/>
        <w:t xml:space="preserve"> la política de uso de IA (Elemento 3, producto 1) incorpora un undécimo contenido, que los usos de IA con datos personales estén informados en el aviso de privacidad y tengan fundamento, y vincula las consecuencias del incumplimiento con el reglamento interior de trabajo; la lista de verificación de proveedores (producto 2) incorpora la calidad del proveedor como persona encargada o tercero y las transferencias internacionales; el conocimiento 4 del Elemento 2 incluye la no discriminación, la oposición a decisiones automatizadas y la proporcionalidad de la supervisión. Se ajustaron en consecuencia el instrumento (documento 07, listas P6 y P7 y clave), el curso (11), la guía (12) y la plantilla de política (14).</w:t>
      </w:r>
    </w:p>
    <w:sectPr>
      <w:headerReference w:type="default" r:id="rId9"/>
      <w:pgSz w:w="12240" w:h="15840"/>
      <w:pgMar w:top="1814" w:left="1247" w:right="1247" w:bottom="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706"/>
      <w:gridCol w:w="4706"/>
    </w:tblGrid>
    <w:tr>
      <w:tc>
        <w:tcPr>
          <w:tcW w:type="dxa" w:w="5443"/>
        </w:tcPr>
        <w:p>
          <w:pPr>
            <w:jc w:val="center"/>
          </w:pPr>
          <w:r>
            <w:rPr>
              <w:rFonts w:ascii="Arial" w:hAnsi="Arial" w:eastAsia="Arial"/>
              <w:b/>
              <w:sz w:val="24"/>
            </w:rPr>
            <w:t>ESTÁNDAR DE COMPETENCIA</w:t>
          </w:r>
        </w:p>
      </w:tc>
      <w:tc>
        <w:tcPr>
          <w:tcW w:type="dxa" w:w="3969"/>
        </w:tcPr>
        <w:p>
          <w:r>
            <w:rPr>
              <w:rFonts w:ascii="Arial" w:hAnsi="Arial" w:eastAsia="Arial"/>
              <w:b w:val="0"/>
              <w:sz w:val="16"/>
            </w:rPr>
            <w:t>Formato de Estándar de Competencia F21-COOPYD-01</w:t>
          </w:r>
        </w:p>
        <w:p>
          <w:r>
            <w:rPr>
              <w:rFonts w:ascii="Arial" w:hAnsi="Arial" w:eastAsia="Arial"/>
              <w:b w:val="0"/>
              <w:sz w:val="16"/>
            </w:rPr>
            <w:t>Versión: borrador 1.0 para validación</w:t>
          </w:r>
        </w:p>
        <w:p>
          <w:r>
            <w:rPr>
              <w:rFonts w:ascii="Arial" w:hAnsi="Arial" w:eastAsia="Arial"/>
              <w:b w:val="0"/>
              <w:sz w:val="16"/>
            </w:rPr>
            <w:t xml:space="preserve">Página </w:t>
          </w:r>
          <w:r>
            <w:rPr>
              <w:rFonts w:ascii="Arial" w:hAnsi="Arial" w:eastAsia="Arial"/>
              <w:b w:val="0"/>
              <w:sz w:val="16"/>
            </w:rPr>
            <w:fldChar w:fldCharType="begin"/>
            <w:instrText xml:space="preserve">PAGE</w:instrText>
            <w:fldChar w:fldCharType="end"/>
          </w:r>
          <w:r>
            <w:rPr>
              <w:rFonts w:ascii="Arial" w:hAnsi="Arial" w:eastAsia="Arial"/>
              <w:b w:val="0"/>
              <w:sz w:val="16"/>
            </w:rPr>
            <w:t xml:space="preserve"> de </w:t>
          </w:r>
          <w:r>
            <w:rPr>
              <w:rFonts w:ascii="Arial" w:hAnsi="Arial" w:eastAsia="Arial"/>
              <w:b w:val="0"/>
              <w:sz w:val="16"/>
            </w:rPr>
            <w:fldChar w:fldCharType="begin"/>
            <w:instrText xml:space="preserve">NUMPAGES</w:instrText>
            <w:fldChar w:fldCharType="end"/>
          </w:r>
        </w:p>
      </w:tc>
    </w:tr>
  </w:tbl>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03-EC-B-borrador</dc:title>
  <dc:creator>Proyecto Estándares de Competencia en IA</dc:creator>
  <cp:keywords/>
  <dcterms:created xsi:type="dcterms:W3CDTF">2026-10-09T15:04:45Z</dcterms:created>
  <dcterms:modified xsi:type="dcterms:W3CDTF">2026-10-09T15:04:45Z</dcterms:modified>
  <dc:description>Generado desde Markdown el 9 de octubre de 2026</dc:description>
</cp:coreProperties>
</file>

<file path=docProps/custom.xml><?xml version="1.0" encoding="utf-8"?>
<Properties xmlns="http://schemas.openxmlformats.org/officeDocument/2006/custom-properties" xmlns:vt="http://schemas.openxmlformats.org/officeDocument/2006/docPropsVTypes"/>
</file>