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Convenio tipo con instituciones educativas</w:t>
      </w:r>
    </w:p>
    <w:p>
      <w:pPr>
        <w:pStyle w:val="FirstParagraph"/>
      </w:pPr>
      <w:r>
        <w:rPr>
          <w:b/>
        </w:rPr>
        <w:t>Modelo de convenio específico de colaboración para alineación, evaluación y certificación de competencias en inteligencia artificial</w:t>
      </w:r>
    </w:p>
    <w:p>
      <w:pPr>
        <w:pStyle w:val="BodyText"/>
      </w:pPr>
      <w:r>
        <w:rPr/>
        <w:t>Versión 1.0 · Borrador para revisión jurídica · Octubre de 2026</w:t>
      </w:r>
    </w:p>
    <w:p>
      <w:pPr>
        <w:pStyle w:val="BlockText"/>
      </w:pPr>
      <w:r>
        <w:rPr>
          <w:b/>
        </w:rPr>
        <w:t>Antes de usarlo.</w:t>
      </w:r>
      <w:r>
        <w:rPr/>
        <w:t xml:space="preserve"> Este modelo no constituye asesoría jurídica: deben revisarlo el área jurídica de la empresa y la de cada institución. Muchas instituciones firman primero un convenio general (marco) y después convenios específicos; este documento es un convenio específico que puede firmarse solo o derivar de uno general. En las instituciones públicas, este convenio solo se usa con el esquema en que cada participante paga directamente a la empresa. Si la institución paga los servicios, la vía es un contrato conforme a la normatividad de adquisiciones que le aplique (Ley de Adquisiciones, Arrendamientos y Servicios del Sector Público para dependencias y entidades federales; ley estatal o normatividad propia en los demás casos), porque la ley prohíbe celebrar actos "que evadan lo previsto en este ordenamiento" (artículo 1).</w:t>
      </w:r>
    </w:p>
    <w:p>
      <w:pPr>
        <w:pStyle w:val="BlockText"/>
      </w:pPr>
      <w:r>
        <w:rPr/>
        <w:t>Texto entre corchetes [ ]: dato por completar u opción por elegir.</w:t>
      </w:r>
    </w:p>
    <w:p>
      <w:pPr>
        <w:pStyle w:val="BodyText"/>
        <w:pBdr>
          <w:bottom w:val="single" w:sz="4" w:space="1" w:color="BFC0C0"/>
        </w:pBdr>
      </w:pPr>
    </w:p>
    <w:p>
      <w:pPr>
        <w:pStyle w:val="Heading2"/>
      </w:pPr>
      <w:r>
        <w:rPr/>
        <w:t>Notas para la empresa (no forman parte del convenio)</w:t>
      </w:r>
    </w:p>
    <w:p>
      <w:pPr>
        <w:pStyle w:val="Compact"/>
        <w:numPr>
          <w:ilvl w:val="0"/>
          <w:numId w:val="1009"/>
        </w:numPr>
      </w:pPr>
      <w:r>
        <w:rPr>
          <w:b/>
        </w:rPr>
        <w:t>Qué busca el convenio.</w:t>
      </w:r>
      <w:r>
        <w:rPr/>
        <w:t xml:space="preserve"> Que la institución incorpore la certificación en el EC-A (y, para personal y posgrado, en el EC-B) a su oferta: como opción voluntaria de titulación cuando su normatividad lo permita, como contenido de una asignatura o taller, como servicio optativo para estudiantes y egresados, o como capacitación de su personal.</w:t>
      </w:r>
    </w:p>
    <w:p>
      <w:pPr>
        <w:pStyle w:val="Compact"/>
        <w:numPr>
          <w:ilvl w:val="0"/>
          <w:numId w:val="1009"/>
        </w:numPr>
      </w:pPr>
      <w:r>
        <w:rPr>
          <w:b/>
        </w:rPr>
        <w:t>El requisito de egreso lo decide la institución.</w:t>
      </w:r>
      <w:r>
        <w:rPr/>
        <w:t xml:space="preserve"> La empresa no puede imponerlo ni prometerlo. En una institución pública, un requisito obligatorio de egreso que el estudiante deba pagar a un particular puede ser contrario al principio de gratuidad (Constitución, artículo 3, fracción IV: "Toda la educación que el Estado imparta será gratuita"; Ley General de Educación Superior, artículo 6, fracción VIII). En esas instituciones se propone como opción voluntaria o con el costo cubierto por la institución; confirmarlo con su área jurídica. Algunas universidades ya aceptan certificaciones del CONOCER como opción de titulación con autorización de su órgano colegiado; por ejemplo, la guía de titulación de la Universidad Autónoma de Baja California Sur prevé titularse con dos certificaciones de competencias laborales avaladas por el CONOCER (verificar vigencia).</w:t>
      </w:r>
    </w:p>
    <w:p>
      <w:pPr>
        <w:pStyle w:val="Compact"/>
        <w:numPr>
          <w:ilvl w:val="0"/>
          <w:numId w:val="1009"/>
        </w:numPr>
      </w:pPr>
      <w:r>
        <w:rPr>
          <w:b/>
        </w:rPr>
        <w:t>Quién paga.</w:t>
      </w:r>
      <w:r>
        <w:rPr/>
        <w:t xml:space="preserve"> Hay tres esquemas: (a) cada participante paga directamente a la empresa; (b) la institución paga por sus estudiantes o su personal; (c) mixto, con becas. En instituciones públicas, este convenio solo admite el esquema (a); los esquemas (b) y (c) requieren el contrato que resulte del procedimiento de contratación aplicable. En instituciones particulares se puede elegir cualquiera.</w:t>
      </w:r>
    </w:p>
    <w:p>
      <w:pPr>
        <w:pStyle w:val="Compact"/>
        <w:numPr>
          <w:ilvl w:val="0"/>
          <w:numId w:val="1009"/>
        </w:numPr>
      </w:pPr>
      <w:r>
        <w:rPr>
          <w:b/>
        </w:rPr>
        <w:t>Sede de evaluación.</w:t>
      </w:r>
      <w:r>
        <w:rPr/>
        <w:t xml:space="preserve"> La institución puede ser sede de las evaluaciones con su equipo de cómputo, o acreditarse como Centro de Evaluación. Esta última opción solo es posible si la empresa está acreditada como Entidad de Certificación y Evaluación (ECE) y conforme a las reglas del CONOCER (por confirmar).</w:t>
      </w:r>
    </w:p>
    <w:p>
      <w:pPr>
        <w:pStyle w:val="Compact"/>
        <w:numPr>
          <w:ilvl w:val="0"/>
          <w:numId w:val="1009"/>
        </w:numPr>
      </w:pPr>
      <w:r>
        <w:rPr>
          <w:b/>
        </w:rPr>
        <w:t>Integridad.</w:t>
      </w:r>
      <w:r>
        <w:rPr/>
        <w:t xml:space="preserve"> El convenio separa la alineación de la evaluación y protege la confidencialidad de los instrumentos (documentos 05 y 07). La separación coincide con la regla que el CONOCER revisa en sus auditorías: "que el personal que capacita, no evalúe en el mismo proceso de la misma candidata o candidato" (manual M-DGAOSU-02, 2016).</w:t>
      </w:r>
    </w:p>
    <w:p>
      <w:pPr>
        <w:pStyle w:val="Compact"/>
        <w:numPr>
          <w:ilvl w:val="0"/>
          <w:numId w:val="1009"/>
        </w:numPr>
      </w:pPr>
      <w:r>
        <w:rPr>
          <w:b/>
        </w:rPr>
        <w:t>Datos personales.</w:t>
      </w:r>
      <w:r>
        <w:rPr/>
        <w:t xml:space="preserve"> Antes de registrar participantes, la empresa debe tener publicado su aviso de privacidad (documento 19). Si la institución pública inscribe a su personal o a sus estudiantes y paga por ellos, la empresa actúa como su persona encargada (cláusula NOVENA.7).</w:t>
      </w:r>
    </w:p>
    <w:p>
      <w:pPr>
        <w:pStyle w:val="Compact"/>
        <w:numPr>
          <w:ilvl w:val="0"/>
          <w:numId w:val="1009"/>
        </w:numPr>
      </w:pPr>
      <w:r>
        <w:rPr>
          <w:b/>
        </w:rPr>
        <w:t>Instalaciones públicas.</w:t>
      </w:r>
      <w:r>
        <w:rPr/>
        <w:t xml:space="preserve"> El uso de aulas y equipo de una institución pública para un servicio que cobra la empresa debe ajustarse a las disposiciones de la institución (autorización o contraprestación); de lo contrario puede considerarse uso indebido de recursos públicos (Ley General de Responsabilidades Administrativas, artículo 71).</w:t>
      </w:r>
    </w:p>
    <w:p>
      <w:pPr>
        <w:pStyle w:val="Compact"/>
        <w:numPr>
          <w:ilvl w:val="0"/>
          <w:numId w:val="1009"/>
        </w:numPr>
      </w:pPr>
      <w:r>
        <w:rPr>
          <w:b/>
        </w:rPr>
        <w:t>Trato con servidores públicos.</w:t>
      </w:r>
      <w:r>
        <w:rPr/>
        <w:t xml:space="preserve"> No se ofrecen regalos ni beneficios, y las gestiones se hacen por escrito y por los canales formales de la institución (Ley General de Responsabilidades Administrativas, artículos 66 y 68).</w:t>
      </w:r>
    </w:p>
    <w:p>
      <w:pPr>
        <w:pStyle w:val="BodyText"/>
        <w:pBdr>
          <w:bottom w:val="single" w:sz="4" w:space="1" w:color="BFC0C0"/>
        </w:pBdr>
      </w:pPr>
    </w:p>
    <w:p>
      <w:pPr>
        <w:pStyle w:val="Heading2"/>
      </w:pPr>
      <w:r>
        <w:rPr/>
        <w:t>CONVENIO ESPECÍFICO DE COLABORACIÓN</w:t>
      </w:r>
    </w:p>
    <w:p>
      <w:pPr>
        <w:pStyle w:val="FirstParagraph"/>
      </w:pPr>
      <w:r>
        <w:rPr/>
        <w:t>CONVENIO ESPECÍFICO DE COLABORACIÓN QUE CELEBRAN, POR UNA PARTE, [NOMBRE DE LA INSTITUCIÓN], EN LO SUCESIVO "LA INSTITUCIÓN", REPRESENTADA POR [NOMBRE], EN SU CARÁCTER DE [CARGO]; Y POR LA OTRA, [RAZÓN SOCIAL DE LA EMPRESA], EN LO SUCESIVO "LA EMPRESA", REPRESENTADA POR [NOMBRE], EN SU CARÁCTER DE [CARGO]; A QUIENES ACTUANDO CONJUNTAMENTE SE LES DENOMINARÁ "LAS PARTES", AL TENOR DE LOS SIGUIENTES ANTECEDENTES, DECLARACIONES Y CLÁUSULAS.</w:t>
      </w:r>
    </w:p>
    <w:p>
      <w:pPr>
        <w:pStyle w:val="Heading3"/>
      </w:pPr>
      <w:r>
        <w:rPr/>
        <w:t>ANTECEDENTES</w:t>
      </w:r>
    </w:p>
    <w:p>
      <w:pPr>
        <w:pStyle w:val="FirstParagraph"/>
      </w:pPr>
      <w:r>
        <w:rPr/>
        <w:t>I. El Sistema Nacional de Competencias, coordinado por el Consejo Nacional de Normalización y Certificación de Competencias Laborales (CONOCER), permite que las personas certifiquen sus competencias con base en Estándares de Competencia inscritos en el Registro Nacional de Estándares de Competencia (RENEC).</w:t>
      </w:r>
    </w:p>
    <w:p>
      <w:pPr>
        <w:pStyle w:val="BodyText"/>
      </w:pPr>
      <w:r>
        <w:rPr/>
        <w:t>II. El Estándar de Competencia [código] "Protección de la información y verificación de resultados en el uso de herramientas de inteligencia artificial generativa" se publicó en el Diario Oficial de la Federación el [fecha]. [En su caso: el Estándar de Competencia [código] "Gestión de riesgos y controles en el uso de sistemas de inteligencia artificial en la organización" se publicó el [fecha].]</w:t>
      </w:r>
    </w:p>
    <w:p>
      <w:pPr>
        <w:pStyle w:val="BodyText"/>
      </w:pPr>
      <w:r>
        <w:rPr/>
        <w:t>III. [En su caso: LAS PARTES celebraron el [fecha] un convenio general de colaboración, del cual deriva el presente.]</w:t>
      </w:r>
    </w:p>
    <w:p>
      <w:pPr>
        <w:pStyle w:val="Heading3"/>
      </w:pPr>
      <w:r>
        <w:rPr/>
        <w:t>DECLARACIONES</w:t>
      </w:r>
    </w:p>
    <w:p>
      <w:pPr>
        <w:pStyle w:val="FirstParagraph"/>
      </w:pPr>
      <w:r>
        <w:rPr>
          <w:b/>
        </w:rPr>
        <w:t>I. Declara LA INSTITUCIÓN que:</w:t>
      </w:r>
    </w:p>
    <w:p>
      <w:pPr>
        <w:pStyle w:val="BodyText"/>
      </w:pPr>
      <w:r>
        <w:rPr/>
        <w:t>I.1 Es [un organismo público descentralizado / una institución particular con reconocimiento de validez oficial de estudios / otra], conforme a [instrumento de creación o acuerdo de RVOE].</w:t>
      </w:r>
    </w:p>
    <w:p>
      <w:pPr>
        <w:pStyle w:val="BodyText"/>
      </w:pPr>
      <w:r>
        <w:rPr/>
        <w:t>I.2 Entre sus fines se encuentran [la formación de profesionales y la vinculación con los sectores productivo y social].</w:t>
      </w:r>
    </w:p>
    <w:p>
      <w:pPr>
        <w:pStyle w:val="BodyText"/>
      </w:pPr>
      <w:r>
        <w:rPr/>
        <w:t>I.3 Su representante cuenta con las facultades para suscribir este convenio, conforme a [fundamento], que no le han sido revocadas.</w:t>
      </w:r>
    </w:p>
    <w:p>
      <w:pPr>
        <w:pStyle w:val="BodyText"/>
      </w:pPr>
      <w:r>
        <w:rPr/>
        <w:t>I.4 Su Registro Federal de Contribuyentes es [ ] y su domicilio para efectos de este convenio es [ ].</w:t>
      </w:r>
    </w:p>
    <w:p>
      <w:pPr>
        <w:pStyle w:val="BodyText"/>
      </w:pPr>
      <w:r>
        <w:rPr>
          <w:b/>
        </w:rPr>
        <w:t>II. Declara LA EMPRESA que:</w:t>
      </w:r>
    </w:p>
    <w:p>
      <w:pPr>
        <w:pStyle w:val="BodyText"/>
      </w:pPr>
      <w:r>
        <w:rPr/>
        <w:t>II.1 Es una sociedad constituida conforme a las leyes mexicanas, según [escritura pública, notario, fecha, registro].</w:t>
      </w:r>
    </w:p>
    <w:p>
      <w:pPr>
        <w:pStyle w:val="BodyText"/>
      </w:pPr>
      <w:r>
        <w:rPr/>
        <w:t>II.2 Está acreditada [por el CONOCER como Entidad de Certificación y Evaluación / por el CONOCER, a solicitud de la Entidad de Certificación y Evaluación [nombre], como Centro de Evaluación], con número [ ], y cuenta con la acreditación para evaluar en el Estándar de Competencia [código] [y en el [código]].</w:t>
      </w:r>
    </w:p>
    <w:p>
      <w:pPr>
        <w:pStyle w:val="BodyText"/>
      </w:pPr>
      <w:r>
        <w:rPr/>
        <w:t>II.3 Sus evaluadores están certificados en el EC0076 "Evaluación de la competencia de candidatos con base en Estándares de Competencia" y autorizados conforme a las reglas del CONOCER.</w:t>
      </w:r>
    </w:p>
    <w:p>
      <w:pPr>
        <w:pStyle w:val="BodyText"/>
      </w:pPr>
      <w:r>
        <w:rPr/>
        <w:t>II.4 [En su caso: está registrada como agente capacitador externo ante la Secretaría del Trabajo y Previsión Social con el número [ ].]</w:t>
      </w:r>
    </w:p>
    <w:p>
      <w:pPr>
        <w:pStyle w:val="BodyText"/>
      </w:pPr>
      <w:r>
        <w:rPr/>
        <w:t>II.5 Su representante cuenta con las facultades para suscribir este convenio, conforme a [poder notarial], que no le han sido revocadas.</w:t>
      </w:r>
    </w:p>
    <w:p>
      <w:pPr>
        <w:pStyle w:val="BodyText"/>
      </w:pPr>
      <w:r>
        <w:rPr/>
        <w:t>II.6 Su Registro Federal de Contribuyentes es [ ] y su domicilio para efectos de este convenio es [ ].</w:t>
      </w:r>
    </w:p>
    <w:p>
      <w:pPr>
        <w:pStyle w:val="BodyText"/>
      </w:pPr>
      <w:r>
        <w:rPr/>
        <w:t>II.7 Ninguna de las personas que la representan, la integran o participan en este convenio desempeña empleo, cargo o comisión en LA INSTITUCIÓN, ni tiene conflicto de interés con las personas servidoras públicas que intervienen en él.</w:t>
      </w:r>
    </w:p>
    <w:p>
      <w:pPr>
        <w:pStyle w:val="BodyText"/>
      </w:pPr>
      <w:r>
        <w:rPr/>
        <w:t>II.8 Cuenta con aviso de privacidad para las personas que se registren en los cursos y las evaluaciones, y con una persona o departamento de datos personales que atiende sus solicitudes.</w:t>
      </w:r>
    </w:p>
    <w:p>
      <w:pPr>
        <w:pStyle w:val="BodyText"/>
      </w:pPr>
      <w:r>
        <w:rPr>
          <w:b/>
        </w:rPr>
        <w:t>III. Declaran LAS PARTES que</w:t>
      </w:r>
      <w:r>
        <w:rPr/>
        <w:t xml:space="preserve"> se reconocen la personalidad con que comparecen y que es su voluntad celebrar este convenio.</w:t>
      </w:r>
    </w:p>
    <w:p>
      <w:pPr>
        <w:pStyle w:val="Heading3"/>
      </w:pPr>
      <w:r>
        <w:rPr/>
        <w:t>CLÁUSULAS</w:t>
      </w:r>
    </w:p>
    <w:p>
      <w:pPr>
        <w:pStyle w:val="FirstParagraph"/>
      </w:pPr>
      <w:r>
        <w:rPr>
          <w:b/>
        </w:rPr>
        <w:t>PRIMERA. Objeto.</w:t>
      </w:r>
      <w:r>
        <w:rPr/>
        <w:t xml:space="preserve"> Establecer las bases de colaboración para que las y los estudiantes, egresados y personal de LA INSTITUCIÓN tengan acceso a la alineación, la evaluación y la certificación de competencias en el Estándar de Competencia [código del EC-A] [y en el [código del EC-B]], así como para incorporar estos procesos a la oferta académica de LA INSTITUCIÓN conforme a su normatividad. Los Anexos A, B, C y D forman parte integrante de este convenio.</w:t>
      </w:r>
    </w:p>
    <w:p>
      <w:pPr>
        <w:pStyle w:val="BodyText"/>
      </w:pPr>
      <w:r>
        <w:rPr>
          <w:b/>
        </w:rPr>
        <w:t>SEGUNDA. Modalidades de incorporación.</w:t>
      </w:r>
      <w:r>
        <w:rPr/>
        <w:t xml:space="preserve"> LA INSTITUCIÓN determina, conforme a su normatividad y con la aprobación de sus órganos competentes, una o varias de las siguientes modalidades, que se detallan en el Anexo A:</w:t>
      </w:r>
    </w:p>
    <w:p>
      <w:pPr>
        <w:pStyle w:val="BodyText"/>
      </w:pPr>
      <w:r>
        <w:rPr/>
        <w:t>a) Opción voluntaria de titulación, adicional a las que prevé la normatividad de LA INSTITUCIÓN, para los programas [ ]. [En instituciones públicas: no se establece como requisito obligatorio de egreso sujeto a pago; si LA INSTITUCIÓN la establece como requisito, cubre su costo o garantiza una alternativa sin costo para la o el estudiante.]</w:t>
      </w:r>
    </w:p>
    <w:p>
      <w:pPr>
        <w:pStyle w:val="BodyText"/>
      </w:pPr>
      <w:r>
        <w:rPr/>
        <w:t>b) Contenido de una asignatura, taller o actividad extracurricular.</w:t>
      </w:r>
    </w:p>
    <w:p>
      <w:pPr>
        <w:pStyle w:val="BodyText"/>
      </w:pPr>
      <w:r>
        <w:rPr/>
        <w:t>c) Servicio optativo para estudiantes y egresados.</w:t>
      </w:r>
    </w:p>
    <w:p>
      <w:pPr>
        <w:pStyle w:val="BodyText"/>
      </w:pPr>
      <w:r>
        <w:rPr/>
        <w:t>d) Capacitación y certificación de su personal docente y administrativo.</w:t>
      </w:r>
    </w:p>
    <w:p>
      <w:pPr>
        <w:pStyle w:val="BodyText"/>
      </w:pPr>
      <w:r>
        <w:rPr/>
        <w:t>LA EMPRESA reconoce que la decisión sobre requisitos académicos corresponde exclusivamente a LA INSTITUCIÓN.</w:t>
      </w:r>
    </w:p>
    <w:p>
      <w:pPr>
        <w:pStyle w:val="BodyText"/>
      </w:pPr>
      <w:r>
        <w:rPr>
          <w:b/>
        </w:rPr>
        <w:t>TERCERA. Compromisos de LA EMPRESA.</w:t>
      </w:r>
    </w:p>
    <w:p>
      <w:pPr>
        <w:pStyle w:val="Compact"/>
        <w:numPr>
          <w:ilvl w:val="0"/>
          <w:numId w:val="1010"/>
        </w:numPr>
      </w:pPr>
      <w:r>
        <w:rPr/>
        <w:t>Impartir el curso de alineación al Estándar de Competencia, presencial o en línea, conforme al programa del Anexo A, con instructores certificados en el EC0217.01 [o la certificación aplicable a la modalidad en línea].</w:t>
      </w:r>
    </w:p>
    <w:p>
      <w:pPr>
        <w:pStyle w:val="Compact"/>
        <w:numPr>
          <w:ilvl w:val="0"/>
          <w:numId w:val="1010"/>
        </w:numPr>
      </w:pPr>
      <w:r>
        <w:rPr/>
        <w:t>Entregar a cada participante la guía de estudio del Estándar de Competencia.</w:t>
      </w:r>
    </w:p>
    <w:p>
      <w:pPr>
        <w:pStyle w:val="Compact"/>
        <w:numPr>
          <w:ilvl w:val="0"/>
          <w:numId w:val="1010"/>
        </w:numPr>
      </w:pPr>
      <w:r>
        <w:rPr/>
        <w:t>Realizar el diagnóstico y la evaluación de los candidatos con evaluadores certificados, conforme al instrumento de evaluación aprobado.</w:t>
      </w:r>
    </w:p>
    <w:p>
      <w:pPr>
        <w:pStyle w:val="Compact"/>
        <w:numPr>
          <w:ilvl w:val="0"/>
          <w:numId w:val="1010"/>
        </w:numPr>
      </w:pPr>
      <w:r>
        <w:rPr/>
        <w:t>Gestionar ante el CONOCER la emisión de los certificados de las personas que resulten competentes, conforme a las reglas vigentes.</w:t>
      </w:r>
    </w:p>
    <w:p>
      <w:pPr>
        <w:pStyle w:val="Compact"/>
        <w:numPr>
          <w:ilvl w:val="0"/>
          <w:numId w:val="1010"/>
        </w:numPr>
      </w:pPr>
      <w:r>
        <w:rPr/>
        <w:t>[En su caso: formar a personal de LA INSTITUCIÓN como instructores del curso de alineación, conforme al Anexo A.]</w:t>
      </w:r>
    </w:p>
    <w:p>
      <w:pPr>
        <w:pStyle w:val="Compact"/>
        <w:numPr>
          <w:ilvl w:val="0"/>
          <w:numId w:val="1010"/>
        </w:numPr>
      </w:pPr>
      <w:r>
        <w:rPr/>
        <w:t>Entregar a LA INSTITUCIÓN, al término de cada periodo, un informe con resultados agregados: personas alineadas, evaluadas y certificadas, sin datos personales salvo autorización.</w:t>
      </w:r>
    </w:p>
    <w:p>
      <w:pPr>
        <w:pStyle w:val="Compact"/>
        <w:numPr>
          <w:ilvl w:val="0"/>
          <w:numId w:val="1010"/>
        </w:numPr>
      </w:pPr>
      <w:r>
        <w:rPr/>
        <w:t>Expedir una constancia de participación a quienes aprueben el curso y, a las personas trabajadoras de LA INSTITUCIÓN que lo tomen como parte de su plan de capacitación, la constancia de competencias o de habilidades laborales (formato DC-3) como agente capacitador externo registrado ante la Secretaría del Trabajo y Previsión Social.</w:t>
      </w:r>
    </w:p>
    <w:p>
      <w:pPr>
        <w:pStyle w:val="Compact"/>
        <w:numPr>
          <w:ilvl w:val="0"/>
          <w:numId w:val="1010"/>
        </w:numPr>
      </w:pPr>
      <w:r>
        <w:rPr/>
        <w:t>Cumplir las obligaciones de confidencialidad, protección de datos personales e integridad de la evaluación de este convenio.</w:t>
      </w:r>
    </w:p>
    <w:p>
      <w:pPr>
        <w:pStyle w:val="BodyText"/>
      </w:pPr>
      <w:r>
        <w:rPr>
          <w:b/>
        </w:rPr>
        <w:t>CUARTA. Compromisos de LA INSTITUCIÓN.</w:t>
      </w:r>
    </w:p>
    <w:p>
      <w:pPr>
        <w:pStyle w:val="Compact"/>
        <w:numPr>
          <w:ilvl w:val="0"/>
          <w:numId w:val="1011"/>
        </w:numPr>
      </w:pPr>
      <w:r>
        <w:rPr/>
        <w:t>Designar a una persona enlace para la operación del convenio.</w:t>
      </w:r>
    </w:p>
    <w:p>
      <w:pPr>
        <w:pStyle w:val="Compact"/>
        <w:numPr>
          <w:ilvl w:val="0"/>
          <w:numId w:val="1011"/>
        </w:numPr>
      </w:pPr>
      <w:r>
        <w:rPr/>
        <w:t>Informar a su comunidad, como opción voluntaria y sin perjuicio de otras opciones, de la oferta de alineación, evaluación y certificación.</w:t>
      </w:r>
    </w:p>
    <w:p>
      <w:pPr>
        <w:pStyle w:val="Compact"/>
        <w:numPr>
          <w:ilvl w:val="0"/>
          <w:numId w:val="1011"/>
        </w:numPr>
      </w:pPr>
      <w:r>
        <w:rPr/>
        <w:t>[En su caso: proporcionar las aulas, el equipo de cómputo y la conectividad para el curso y la evaluación, conforme a los requisitos del Anexo C y a las disposiciones de LA INSTITUCIÓN sobre el uso de sus instalaciones, incluida, en su caso, la autorización o la contraprestación que estas exijan.]</w:t>
      </w:r>
    </w:p>
    <w:p>
      <w:pPr>
        <w:pStyle w:val="Compact"/>
        <w:numPr>
          <w:ilvl w:val="0"/>
          <w:numId w:val="1011"/>
        </w:numPr>
      </w:pPr>
      <w:r>
        <w:rPr/>
        <w:t>Apoyar el registro de participantes conforme a la cláusula novena.</w:t>
      </w:r>
    </w:p>
    <w:p>
      <w:pPr>
        <w:pStyle w:val="Compact"/>
        <w:numPr>
          <w:ilvl w:val="0"/>
          <w:numId w:val="1011"/>
        </w:numPr>
      </w:pPr>
      <w:r>
        <w:rPr/>
        <w:t>Comunicar a LA EMPRESA los acuerdos de sus órganos competentes sobre las modalidades de la cláusula segunda.</w:t>
      </w:r>
    </w:p>
    <w:p>
      <w:pPr>
        <w:pStyle w:val="BodyText"/>
      </w:pPr>
      <w:r>
        <w:rPr>
          <w:b/>
        </w:rPr>
        <w:t>QUINTA. Condiciones económicas.</w:t>
      </w:r>
      <w:r>
        <w:rPr/>
        <w:t xml:space="preserve"> Las cuotas por participante del curso de alineación, de la evaluación y de la gestión del certificado, la forma de pago, las becas o descuentos, la política de cancelación y reembolso y la facturación se establecen en el Anexo B. [Instituciones públicas: cada participante paga directamente a LA EMPRESA; LA INSTITUCIÓN no realiza pagos con motivo de este convenio. Instituciones particulares: elegir entre pago directo de cada participante, pago de LA INSTITUCIÓN por los participantes que inscriba o esquema mixto.]</w:t>
      </w:r>
    </w:p>
    <w:p>
      <w:pPr>
        <w:pStyle w:val="BodyText"/>
      </w:pPr>
      <w:r>
        <w:rPr>
          <w:b/>
        </w:rPr>
        <w:t>SEXTA. Programa de trabajo y metas.</w:t>
      </w:r>
      <w:r>
        <w:rPr/>
        <w:t xml:space="preserve"> LAS PARTES acuerdan el programa de trabajo del Anexo A, con calendario, número estimado de participantes por periodo e indicadores de seguimiento. Las metas son estimaciones y no obligan a LA INSTITUCIÓN a inscribir un número mínimo de participantes.</w:t>
      </w:r>
    </w:p>
    <w:p>
      <w:pPr>
        <w:pStyle w:val="BodyText"/>
      </w:pPr>
      <w:r>
        <w:rPr>
          <w:b/>
        </w:rPr>
        <w:t>SÉPTIMA. Integridad de la evaluación.</w:t>
      </w:r>
    </w:p>
    <w:p>
      <w:pPr>
        <w:pStyle w:val="Compact"/>
        <w:numPr>
          <w:ilvl w:val="0"/>
          <w:numId w:val="1012"/>
        </w:numPr>
      </w:pPr>
      <w:r>
        <w:rPr/>
        <w:t>Los instrumentos de evaluación son confidenciales. LA INSTITUCIÓN no tiene acceso a ellos, salvo los materiales que se entregan a los candidatos durante la evaluación.</w:t>
      </w:r>
    </w:p>
    <w:p>
      <w:pPr>
        <w:pStyle w:val="Compact"/>
        <w:numPr>
          <w:ilvl w:val="0"/>
          <w:numId w:val="1012"/>
        </w:numPr>
      </w:pPr>
      <w:r>
        <w:rPr/>
        <w:t>Quien imparta el curso de alineación a un grupo no evalúa con fines de certificación a las personas de ese grupo.</w:t>
      </w:r>
    </w:p>
    <w:p>
      <w:pPr>
        <w:pStyle w:val="Compact"/>
        <w:numPr>
          <w:ilvl w:val="0"/>
          <w:numId w:val="1012"/>
        </w:numPr>
      </w:pPr>
      <w:r>
        <w:rPr/>
        <w:t>El juicio de competencia lo emite el evaluador conforme al instrumento aprobado. Ninguna de LAS PARTES garantiza un resultado ni puede influir en él.</w:t>
      </w:r>
    </w:p>
    <w:p>
      <w:pPr>
        <w:pStyle w:val="Compact"/>
        <w:numPr>
          <w:ilvl w:val="0"/>
          <w:numId w:val="1012"/>
        </w:numPr>
      </w:pPr>
      <w:r>
        <w:rPr/>
        <w:t>Quien resulte "todavía no competente" recibe retroalimentación y puede volver a evaluarse conforme al Anexo B.</w:t>
      </w:r>
    </w:p>
    <w:p>
      <w:pPr>
        <w:pStyle w:val="BodyText"/>
      </w:pPr>
      <w:r>
        <w:rPr>
          <w:b/>
        </w:rPr>
        <w:t>OCTAVA. Comisión de seguimiento.</w:t>
      </w:r>
      <w:r>
        <w:rPr/>
        <w:t xml:space="preserve"> LAS PARTES integran una comisión con [dos] representantes de cada una, que se reúne [cada trimestre] para dar seguimiento al programa de trabajo, resolver la operación y proponer mejoras. Sus acuerdos constan por escrito.</w:t>
      </w:r>
    </w:p>
    <w:p>
      <w:pPr>
        <w:pStyle w:val="BodyText"/>
      </w:pPr>
      <w:r>
        <w:rPr>
          <w:b/>
        </w:rPr>
        <w:t>NOVENA. Protección de datos personales.</w:t>
      </w:r>
    </w:p>
    <w:p>
      <w:pPr>
        <w:pStyle w:val="Compact"/>
        <w:numPr>
          <w:ilvl w:val="0"/>
          <w:numId w:val="1013"/>
        </w:numPr>
      </w:pPr>
      <w:r>
        <w:rPr/>
        <w:t>Cada una de LAS PARTES es responsable de los datos personales que recabe y trate, conforme a la Ley Federal de Protección de Datos Personales en Posesión de los Particulares o, en el caso de LA INSTITUCIÓN pública, a la Ley General de Protección de Datos Personales en Posesión de Sujetos Obligados o a la legislación local que le aplique.</w:t>
      </w:r>
    </w:p>
    <w:p>
      <w:pPr>
        <w:pStyle w:val="Compact"/>
        <w:numPr>
          <w:ilvl w:val="0"/>
          <w:numId w:val="1013"/>
        </w:numPr>
      </w:pPr>
      <w:r>
        <w:rPr/>
        <w:t>Las personas que deseen capacitarse o evaluarse se registran directamente con LA EMPRESA, que les da a conocer su aviso de privacidad y trata sus datos, como responsable, para la alineación, la evaluación y la gestión del certificado ante la Entidad de Certificación y Evaluación y el CONOCER. Esas transferencias se informan en el aviso de privacidad, con la cláusula que exige el artículo 35 de la Ley Federal de Protección de Datos Personales en Posesión de los Particulares.</w:t>
      </w:r>
    </w:p>
    <w:p>
      <w:pPr>
        <w:pStyle w:val="Compact"/>
        <w:numPr>
          <w:ilvl w:val="0"/>
          <w:numId w:val="1013"/>
        </w:numPr>
      </w:pPr>
      <w:r>
        <w:rPr/>
        <w:t>LA INSTITUCIÓN solo comunica a LA EMPRESA datos personales de su comunidad cuando cuente con el fundamento o el consentimiento que se requiera.</w:t>
      </w:r>
    </w:p>
    <w:p>
      <w:pPr>
        <w:pStyle w:val="Compact"/>
        <w:numPr>
          <w:ilvl w:val="0"/>
          <w:numId w:val="1013"/>
        </w:numPr>
      </w:pPr>
      <w:r>
        <w:rPr/>
        <w:t>LA EMPRESA no usa los datos personales para fines distintos de los de este convenio, incluida la promoción comercial, sin el consentimiento de sus titulares.</w:t>
      </w:r>
    </w:p>
    <w:p>
      <w:pPr>
        <w:pStyle w:val="Compact"/>
        <w:numPr>
          <w:ilvl w:val="0"/>
          <w:numId w:val="1013"/>
        </w:numPr>
      </w:pPr>
      <w:r>
        <w:rPr/>
        <w:t>LAS PARTES se avisan de inmediato de cualquier vulneración de seguridad que afecte datos personales relacionados con este convenio.</w:t>
      </w:r>
    </w:p>
    <w:p>
      <w:pPr>
        <w:pStyle w:val="Compact"/>
        <w:numPr>
          <w:ilvl w:val="0"/>
          <w:numId w:val="1013"/>
        </w:numPr>
      </w:pPr>
      <w:r>
        <w:rPr/>
        <w:t>El flujo de datos personales entre LAS PARTES se describe en el Anexo D.</w:t>
      </w:r>
    </w:p>
    <w:p>
      <w:pPr>
        <w:pStyle w:val="Compact"/>
        <w:numPr>
          <w:ilvl w:val="0"/>
          <w:numId w:val="1013"/>
        </w:numPr>
      </w:pPr>
      <w:r>
        <w:rPr/>
        <w:t>Cuando LA EMPRESA trate datos personales por cuenta de LA INSTITUCIÓN, por ejemplo porque esta inscribe y paga por su personal, LA EMPRESA actúa como persona encargada y se obliga a: tratarlos solo conforme a las instrucciones de LA INSTITUCIÓN; no usarlos para finalidades distintas; aplicar medidas de seguridad; guardar confidencialidad; informar de inmediato a LA INSTITUCIÓN de cualquier vulneración; no subcontratar su tratamiento sin autorización expresa, y suprimirlos o devolverlos al terminar, salvo que una disposición legal exija conservarlos.</w:t>
      </w:r>
    </w:p>
    <w:p>
      <w:pPr>
        <w:pStyle w:val="Compact"/>
        <w:numPr>
          <w:ilvl w:val="0"/>
          <w:numId w:val="1013"/>
        </w:numPr>
      </w:pPr>
      <w:r>
        <w:rPr/>
        <w:t>Si participan personas menores de edad, se recaba el consentimiento de quien ejerza la patria potestad o la tutela, conforme a la legislación aplicable.</w:t>
      </w:r>
    </w:p>
    <w:p>
      <w:pPr>
        <w:pStyle w:val="BodyText"/>
      </w:pPr>
      <w:r>
        <w:rPr>
          <w:b/>
        </w:rPr>
        <w:t>DÉCIMA. Confidencialidad.</w:t>
      </w:r>
      <w:r>
        <w:rPr/>
        <w:t xml:space="preserve"> LAS PARTES guardan confidencialidad sobre la información que se proporcionen con ese carácter durante la vigencia del convenio y [dos] años después de su terminación, salvo la que deba hacerse pública por disposición legal.</w:t>
      </w:r>
    </w:p>
    <w:p>
      <w:pPr>
        <w:pStyle w:val="BodyText"/>
      </w:pPr>
      <w:r>
        <w:rPr>
          <w:b/>
        </w:rPr>
        <w:t>DÉCIMA PRIMERA. Propiedad intelectual.</w:t>
      </w:r>
    </w:p>
    <w:p>
      <w:pPr>
        <w:pStyle w:val="Compact"/>
        <w:numPr>
          <w:ilvl w:val="0"/>
          <w:numId w:val="1014"/>
        </w:numPr>
      </w:pPr>
      <w:r>
        <w:rPr/>
        <w:t>Los cursos, guías, materiales e instrumentos de LA EMPRESA son de su propiedad. LA EMPRESA otorga a LA INSTITUCIÓN una licencia de uso no exclusiva, temporal e intransferible, limitada a las actividades de este convenio y a su vigencia, cuya contraprestación queda comprendida en las cuotas del Anexo B. [Por confirmar con el área jurídica si procede pactarla a título gratuito.] Los instrumentos de evaluación y sus claves son información confidencial de LA EMPRESA.</w:t>
      </w:r>
    </w:p>
    <w:p>
      <w:pPr>
        <w:pStyle w:val="Compact"/>
        <w:numPr>
          <w:ilvl w:val="0"/>
          <w:numId w:val="1014"/>
        </w:numPr>
      </w:pPr>
      <w:r>
        <w:rPr/>
        <w:t>Los materiales que elabore LA INSTITUCIÓN son de su propiedad.</w:t>
      </w:r>
    </w:p>
    <w:p>
      <w:pPr>
        <w:pStyle w:val="Compact"/>
        <w:numPr>
          <w:ilvl w:val="0"/>
          <w:numId w:val="1014"/>
        </w:numPr>
      </w:pPr>
      <w:r>
        <w:rPr/>
        <w:t>Los productos elaborados conjuntamente se rigen por lo que acuerden LAS PARTES por escrito.</w:t>
      </w:r>
    </w:p>
    <w:p>
      <w:pPr>
        <w:pStyle w:val="Compact"/>
        <w:numPr>
          <w:ilvl w:val="0"/>
          <w:numId w:val="1014"/>
        </w:numPr>
      </w:pPr>
      <w:r>
        <w:rPr/>
        <w:t>Ninguna de LAS PARTES usa el nombre, el escudo, los logotipos o las marcas de la otra sin su autorización por escrito.</w:t>
      </w:r>
    </w:p>
    <w:p>
      <w:pPr>
        <w:pStyle w:val="BodyText"/>
      </w:pPr>
      <w:r>
        <w:rPr>
          <w:b/>
        </w:rPr>
        <w:t>DÉCIMA SEGUNDA. Difusión.</w:t>
      </w:r>
      <w:r>
        <w:rPr/>
        <w:t xml:space="preserve"> LAS PARTES acuerdan los materiales de difusión conjunta. En ellos no se afirma que la certificación sea obligatoria por ley ni se garantizan empleos o resultados.</w:t>
      </w:r>
    </w:p>
    <w:p>
      <w:pPr>
        <w:pStyle w:val="BodyText"/>
      </w:pPr>
      <w:r>
        <w:rPr>
          <w:b/>
        </w:rPr>
        <w:t>DÉCIMA TERCERA. Relación laboral.</w:t>
      </w:r>
      <w:r>
        <w:rPr/>
        <w:t xml:space="preserve"> El personal que cada parte asigne a las actividades de este convenio sigue bajo su dirección y dependencia. No se genera relación laboral alguna con la otra parte, que no será considerada patrón solidario ni sustituto. LA EMPRESA presta sus servicios con su propio personal, bajo su dirección, y cumple sus obligaciones laborales, fiscales y de seguridad social.</w:t>
      </w:r>
    </w:p>
    <w:p>
      <w:pPr>
        <w:pStyle w:val="BodyText"/>
      </w:pPr>
      <w:r>
        <w:rPr>
          <w:b/>
        </w:rPr>
        <w:t>DÉCIMA CUARTA. Vigencia.</w:t>
      </w:r>
      <w:r>
        <w:rPr/>
        <w:t xml:space="preserve"> Este convenio entra en vigor en la fecha de su firma y tiene una vigencia de [dos] años. Puede renovarse por escrito.</w:t>
      </w:r>
    </w:p>
    <w:p>
      <w:pPr>
        <w:pStyle w:val="BodyText"/>
      </w:pPr>
      <w:r>
        <w:rPr>
          <w:b/>
        </w:rPr>
        <w:t>DÉCIMA QUINTA. Terminación anticipada.</w:t>
      </w:r>
      <w:r>
        <w:rPr/>
        <w:t xml:space="preserve"> Cualquiera de LAS PARTES puede darlo por terminado con aviso por escrito con [sesenta] días naturales de anticipación. Los procesos de alineación, evaluación y certificación en curso se concluyen.</w:t>
      </w:r>
    </w:p>
    <w:p>
      <w:pPr>
        <w:pStyle w:val="BodyText"/>
      </w:pPr>
      <w:r>
        <w:rPr>
          <w:b/>
        </w:rPr>
        <w:t>DÉCIMA SEXTA. Modificaciones.</w:t>
      </w:r>
      <w:r>
        <w:rPr/>
        <w:t xml:space="preserve"> Este convenio y sus anexos solo se modifican por escrito, mediante convenio modificatorio firmado por LAS PARTES.</w:t>
      </w:r>
    </w:p>
    <w:p>
      <w:pPr>
        <w:pStyle w:val="BodyText"/>
      </w:pPr>
      <w:r>
        <w:rPr>
          <w:b/>
        </w:rPr>
        <w:t>DÉCIMA SÉPTIMA. Caso fortuito o fuerza mayor.</w:t>
      </w:r>
      <w:r>
        <w:rPr/>
        <w:t xml:space="preserve"> LAS PARTES no son responsables por el incumplimiento derivado de caso fortuito o fuerza mayor. Las actividades se reanudan cuando desaparezca la causa, en los términos que acuerden.</w:t>
      </w:r>
    </w:p>
    <w:p>
      <w:pPr>
        <w:pStyle w:val="BodyText"/>
      </w:pPr>
      <w:r>
        <w:rPr>
          <w:b/>
        </w:rPr>
        <w:t>DÉCIMA OCTAVA. Integridad.</w:t>
      </w:r>
      <w:r>
        <w:rPr/>
        <w:t xml:space="preserve"> LAS PARTES se comprometen a no ofrecer, dar ni recibir pagos, regalos o beneficios indebidos relacionados con este convenio, y a actuar conforme a la normatividad anticorrupción aplicable.</w:t>
      </w:r>
    </w:p>
    <w:p>
      <w:pPr>
        <w:pStyle w:val="BodyText"/>
      </w:pPr>
      <w:r>
        <w:rPr>
          <w:b/>
        </w:rPr>
        <w:t>DÉCIMA NOVENA. Rescisión.</w:t>
      </w:r>
      <w:r>
        <w:rPr/>
        <w:t xml:space="preserve"> Si una de LAS PARTES incumple sus obligaciones, la otra le avisa por escrito y le concede [quince] días hábiles para subsanar el incumplimiento. Si no lo subsana, puede rescindir el convenio mediante aviso por escrito. Los procesos de alineación, evaluación y certificación en curso se concluyen.</w:t>
      </w:r>
    </w:p>
    <w:p>
      <w:pPr>
        <w:pStyle w:val="BodyText"/>
      </w:pPr>
      <w:r>
        <w:rPr>
          <w:b/>
        </w:rPr>
        <w:t>VIGÉSIMA. Responsabilidad.</w:t>
      </w:r>
      <w:r>
        <w:rPr/>
        <w:t xml:space="preserve"> Cada una de LAS PARTES responde por sus propios actos y por los de su personal. LA EMPRESA responde frente a las reclamaciones de terceros derivadas de sus materiales e instrumentos y del tratamiento de los datos personales a su cargo. LA INSTITUCIÓN responde por el tratamiento de los datos personales a su cargo.</w:t>
      </w:r>
    </w:p>
    <w:p>
      <w:pPr>
        <w:pStyle w:val="BodyText"/>
      </w:pPr>
      <w:r>
        <w:rPr>
          <w:b/>
        </w:rPr>
        <w:t>VIGÉSIMA PRIMERA. Cesión.</w:t>
      </w:r>
      <w:r>
        <w:rPr/>
        <w:t xml:space="preserve"> Ninguna de LAS PARTES puede ceder los derechos u obligaciones de este convenio sin el consentimiento previo y por escrito de la otra.</w:t>
      </w:r>
    </w:p>
    <w:p>
      <w:pPr>
        <w:pStyle w:val="BodyText"/>
      </w:pPr>
      <w:r>
        <w:rPr>
          <w:b/>
        </w:rPr>
        <w:t>VIGÉSIMA SEGUNDA. Notificaciones.</w:t>
      </w:r>
      <w:r>
        <w:rPr/>
        <w:t xml:space="preserve"> Los avisos se dan por escrito en los domicilios de las declaraciones I.4 y II.6, o en los correos de las personas enlace del Anexo A, con acuse de recibo. Los cambios de domicilio se avisan por escrito.</w:t>
      </w:r>
    </w:p>
    <w:p>
      <w:pPr>
        <w:pStyle w:val="BodyText"/>
      </w:pPr>
      <w:r>
        <w:rPr>
          <w:b/>
        </w:rPr>
        <w:t>VIGÉSIMA TERCERA. Interpretación y controversias.</w:t>
      </w:r>
      <w:r>
        <w:rPr/>
        <w:t xml:space="preserve"> LAS PARTES resuelven de común acuerdo, por medio de la comisión de seguimiento, cualquier controversia sobre la interpretación o el cumplimiento de este convenio. Si no se resuelve, se someten a [los tribunales competentes de la ciudad de </w:t>
      </w:r>
      <w:r>
        <w:rPr>
          <w:b/>
          <w:i/>
        </w:rPr>
        <w:t xml:space="preserve">] [para instituciones públicas federales: los tribunales federales con sede en </w:t>
      </w:r>
      <w:r>
        <w:rPr/>
        <w:t>], y renuncian a cualquier otro fuero que pudiera corresponderles.</w:t>
      </w:r>
    </w:p>
    <w:p>
      <w:pPr>
        <w:pStyle w:val="BodyText"/>
      </w:pPr>
      <w:r>
        <w:rPr/>
        <w:t>Leído el presente convenio y enteradas LAS PARTES de su contenido y alcance, lo firman por [duplicado] en [ciudad], el [fecha].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816"/>
        <w:gridCol w:w="4816"/>
      </w:tblGrid>
      <w:tr>
        <w:trPr>
          <w:tblHeader w:val="true"/>
          <w:cantSplit/>
        </w:trPr>
        <w:tc>
          <w:tcPr>
            <w:tcW w:w="4816" w:type="dxa"/>
            <w:shd w:val="clear" w:color="auto" w:fill="ECECEC"/>
          </w:tcPr>
          <w:p>
            <w:pPr>
              <w:pStyle w:val="Compact"/>
              <w:spacing w:before="20" w:after="20"/>
            </w:pPr>
            <w:r>
              <w:rPr>
                <w:b/>
                <w:sz w:val="17"/>
              </w:rPr>
              <w:t>POR LA INSTITUCIÓN</w:t>
            </w:r>
          </w:p>
        </w:tc>
        <w:tc>
          <w:tcPr>
            <w:tcW w:w="4816" w:type="dxa"/>
            <w:shd w:val="clear" w:color="auto" w:fill="ECECEC"/>
          </w:tcPr>
          <w:p>
            <w:pPr>
              <w:pStyle w:val="Compact"/>
              <w:spacing w:before="20" w:after="20"/>
            </w:pPr>
            <w:r>
              <w:rPr>
                <w:b/>
                <w:sz w:val="17"/>
              </w:rPr>
              <w:t>POR LA EMPRESA</w:t>
            </w:r>
          </w:p>
        </w:tc>
      </w:tr>
      <w:tr>
        <w:tc>
          <w:tcPr>
            <w:tcW w:w="4816" w:type="dxa"/>
          </w:tcPr>
          <w:p>
            <w:pPr>
              <w:pStyle w:val="Compact"/>
              <w:spacing w:before="20" w:after="20"/>
            </w:pPr>
            <w:r>
              <w:rPr>
                <w:sz w:val="17"/>
              </w:rPr>
              <w:t>[Nombre y cargo]</w:t>
            </w:r>
          </w:p>
        </w:tc>
        <w:tc>
          <w:tcPr>
            <w:tcW w:w="4816" w:type="dxa"/>
          </w:tcPr>
          <w:p>
            <w:pPr>
              <w:pStyle w:val="Compact"/>
              <w:spacing w:before="20" w:after="20"/>
            </w:pPr>
            <w:r>
              <w:rPr>
                <w:sz w:val="17"/>
              </w:rPr>
              <w:t>[Nombre y cargo]</w:t>
            </w:r>
          </w:p>
        </w:tc>
      </w:tr>
      <w:tr>
        <w:tc>
          <w:tcPr>
            <w:tcW w:w="4816" w:type="dxa"/>
          </w:tcPr>
          <w:p>
            <w:pPr>
              <w:pStyle w:val="Compact"/>
              <w:spacing w:before="20" w:after="20"/>
            </w:pPr>
            <w:r>
              <w:rPr>
                <w:sz w:val="17"/>
              </w:rPr>
              <w:t>Testigo: [nombre y cargo]</w:t>
            </w:r>
          </w:p>
        </w:tc>
        <w:tc>
          <w:tcPr>
            <w:tcW w:w="4816" w:type="dxa"/>
          </w:tcPr>
          <w:p>
            <w:pPr>
              <w:pStyle w:val="Compact"/>
              <w:spacing w:before="20" w:after="20"/>
            </w:pPr>
            <w:r>
              <w:rPr>
                <w:sz w:val="17"/>
              </w:rPr>
              <w:t>Testigo: [nombre y cargo]</w:t>
            </w:r>
          </w:p>
        </w:tc>
      </w:tr>
    </w:tbl>
    <w:p>
      <w:pPr>
        <w:pStyle w:val="BodyText"/>
      </w:pPr>
    </w:p>
    <w:p>
      <w:pPr>
        <w:pStyle w:val="BodyText"/>
        <w:pBdr>
          <w:bottom w:val="single" w:sz="4" w:space="1" w:color="BFC0C0"/>
        </w:pBdr>
      </w:pPr>
    </w:p>
    <w:p>
      <w:pPr>
        <w:pStyle w:val="Heading2"/>
      </w:pPr>
      <w:r>
        <w:rPr/>
        <w:t>Anexo A. Programa de trabajo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923"/>
        <w:gridCol w:w="6708"/>
      </w:tblGrid>
      <w:tr>
        <w:trPr>
          <w:tblHeader w:val="true"/>
          <w:cantSplit/>
        </w:trPr>
        <w:tc>
          <w:tcPr>
            <w:tcW w:w="2923" w:type="dxa"/>
            <w:shd w:val="clear" w:color="auto" w:fill="ECECEC"/>
          </w:tcPr>
          <w:p>
            <w:pPr>
              <w:pStyle w:val="Compact"/>
              <w:spacing w:before="20" w:after="20"/>
            </w:pPr>
            <w:r>
              <w:rPr>
                <w:b/>
                <w:sz w:val="17"/>
              </w:rPr>
              <w:t>Concepto</w:t>
            </w:r>
          </w:p>
        </w:tc>
        <w:tc>
          <w:tcPr>
            <w:tcW w:w="6708" w:type="dxa"/>
            <w:shd w:val="clear" w:color="auto" w:fill="ECECEC"/>
          </w:tcPr>
          <w:p>
            <w:pPr>
              <w:pStyle w:val="Compact"/>
              <w:spacing w:before="20" w:after="20"/>
            </w:pPr>
            <w:r>
              <w:rPr>
                <w:b/>
                <w:sz w:val="17"/>
              </w:rPr>
              <w:t>Contenido</w:t>
            </w:r>
          </w:p>
        </w:tc>
      </w:tr>
      <w:tr>
        <w:tc>
          <w:tcPr>
            <w:tcW w:w="2923" w:type="dxa"/>
          </w:tcPr>
          <w:p>
            <w:pPr>
              <w:pStyle w:val="Compact"/>
              <w:spacing w:before="20" w:after="20"/>
            </w:pPr>
            <w:r>
              <w:rPr>
                <w:sz w:val="17"/>
              </w:rPr>
              <w:t>Modalidades acordadas (cláusula segunda)</w:t>
            </w:r>
          </w:p>
        </w:tc>
        <w:tc>
          <w:tcPr>
            <w:tcW w:w="6708" w:type="dxa"/>
          </w:tcPr>
          <w:p>
            <w:pPr>
              <w:pStyle w:val="Compact"/>
              <w:spacing w:before="20" w:after="20"/>
            </w:pPr>
            <w:r>
              <w:rPr>
                <w:sz w:val="17"/>
              </w:rPr>
              <w:t>[ ]</w:t>
            </w:r>
          </w:p>
        </w:tc>
      </w:tr>
      <w:tr>
        <w:tc>
          <w:tcPr>
            <w:tcW w:w="2923" w:type="dxa"/>
          </w:tcPr>
          <w:p>
            <w:pPr>
              <w:pStyle w:val="Compact"/>
              <w:spacing w:before="20" w:after="20"/>
            </w:pPr>
            <w:r>
              <w:rPr>
                <w:sz w:val="17"/>
              </w:rPr>
              <w:t>Programas académicos o áreas participantes</w:t>
            </w:r>
          </w:p>
        </w:tc>
        <w:tc>
          <w:tcPr>
            <w:tcW w:w="6708" w:type="dxa"/>
          </w:tcPr>
          <w:p>
            <w:pPr>
              <w:pStyle w:val="Compact"/>
              <w:spacing w:before="20" w:after="20"/>
            </w:pPr>
            <w:r>
              <w:rPr>
                <w:sz w:val="17"/>
              </w:rPr>
              <w:t>[ ]</w:t>
            </w:r>
          </w:p>
        </w:tc>
      </w:tr>
      <w:tr>
        <w:tc>
          <w:tcPr>
            <w:tcW w:w="2923" w:type="dxa"/>
          </w:tcPr>
          <w:p>
            <w:pPr>
              <w:pStyle w:val="Compact"/>
              <w:spacing w:before="20" w:after="20"/>
            </w:pPr>
            <w:r>
              <w:rPr>
                <w:sz w:val="17"/>
              </w:rPr>
              <w:t>Población</w:t>
            </w:r>
          </w:p>
        </w:tc>
        <w:tc>
          <w:tcPr>
            <w:tcW w:w="6708" w:type="dxa"/>
          </w:tcPr>
          <w:p>
            <w:pPr>
              <w:pStyle w:val="Compact"/>
              <w:spacing w:before="20" w:after="20"/>
            </w:pPr>
            <w:r>
              <w:rPr>
                <w:sz w:val="17"/>
              </w:rPr>
              <w:t>[Estudiantes de [semestre], egresados, personal]</w:t>
            </w:r>
          </w:p>
        </w:tc>
      </w:tr>
      <w:tr>
        <w:tc>
          <w:tcPr>
            <w:tcW w:w="2923" w:type="dxa"/>
          </w:tcPr>
          <w:p>
            <w:pPr>
              <w:pStyle w:val="Compact"/>
              <w:spacing w:before="20" w:after="20"/>
            </w:pPr>
            <w:r>
              <w:rPr>
                <w:sz w:val="17"/>
              </w:rPr>
              <w:t>Estándares de Competencia</w:t>
            </w:r>
          </w:p>
        </w:tc>
        <w:tc>
          <w:tcPr>
            <w:tcW w:w="6708" w:type="dxa"/>
          </w:tcPr>
          <w:p>
            <w:pPr>
              <w:pStyle w:val="Compact"/>
              <w:spacing w:before="20" w:after="20"/>
            </w:pPr>
            <w:r>
              <w:rPr>
                <w:sz w:val="17"/>
              </w:rPr>
              <w:t>[EC-A] [EC-B]</w:t>
            </w:r>
          </w:p>
        </w:tc>
      </w:tr>
      <w:tr>
        <w:tc>
          <w:tcPr>
            <w:tcW w:w="2923" w:type="dxa"/>
          </w:tcPr>
          <w:p>
            <w:pPr>
              <w:pStyle w:val="Compact"/>
              <w:spacing w:before="20" w:after="20"/>
            </w:pPr>
            <w:r>
              <w:rPr>
                <w:sz w:val="17"/>
              </w:rPr>
              <w:t>Curso de alineación</w:t>
            </w:r>
          </w:p>
        </w:tc>
        <w:tc>
          <w:tcPr>
            <w:tcW w:w="6708" w:type="dxa"/>
          </w:tcPr>
          <w:p>
            <w:pPr>
              <w:pStyle w:val="Compact"/>
              <w:spacing w:before="20" w:after="20"/>
            </w:pPr>
            <w:r>
              <w:rPr>
                <w:sz w:val="17"/>
              </w:rPr>
              <w:t>[Duración, modalidad, sede, calendario]</w:t>
            </w:r>
          </w:p>
        </w:tc>
      </w:tr>
      <w:tr>
        <w:tc>
          <w:tcPr>
            <w:tcW w:w="2923" w:type="dxa"/>
          </w:tcPr>
          <w:p>
            <w:pPr>
              <w:pStyle w:val="Compact"/>
              <w:spacing w:before="20" w:after="20"/>
            </w:pPr>
            <w:r>
              <w:rPr>
                <w:sz w:val="17"/>
              </w:rPr>
              <w:t>Evaluación</w:t>
            </w:r>
          </w:p>
        </w:tc>
        <w:tc>
          <w:tcPr>
            <w:tcW w:w="6708" w:type="dxa"/>
          </w:tcPr>
          <w:p>
            <w:pPr>
              <w:pStyle w:val="Compact"/>
              <w:spacing w:before="20" w:after="20"/>
            </w:pPr>
            <w:r>
              <w:rPr>
                <w:sz w:val="17"/>
              </w:rPr>
              <w:t>[Fechas, sede, cupo por sesión]</w:t>
            </w:r>
          </w:p>
        </w:tc>
      </w:tr>
      <w:tr>
        <w:tc>
          <w:tcPr>
            <w:tcW w:w="2923" w:type="dxa"/>
          </w:tcPr>
          <w:p>
            <w:pPr>
              <w:pStyle w:val="Compact"/>
              <w:spacing w:before="20" w:after="20"/>
            </w:pPr>
            <w:r>
              <w:rPr>
                <w:sz w:val="17"/>
              </w:rPr>
              <w:t>Formación de instructores de LA INSTITUCIÓN</w:t>
            </w:r>
          </w:p>
        </w:tc>
        <w:tc>
          <w:tcPr>
            <w:tcW w:w="6708" w:type="dxa"/>
          </w:tcPr>
          <w:p>
            <w:pPr>
              <w:pStyle w:val="Compact"/>
              <w:spacing w:before="20" w:after="20"/>
            </w:pPr>
            <w:r>
              <w:rPr>
                <w:sz w:val="17"/>
              </w:rPr>
              <w:t>[Sí / No; número de personas; calendario]</w:t>
            </w:r>
          </w:p>
        </w:tc>
      </w:tr>
      <w:tr>
        <w:tc>
          <w:tcPr>
            <w:tcW w:w="2923" w:type="dxa"/>
          </w:tcPr>
          <w:p>
            <w:pPr>
              <w:pStyle w:val="Compact"/>
              <w:spacing w:before="20" w:after="20"/>
            </w:pPr>
            <w:r>
              <w:rPr>
                <w:sz w:val="17"/>
              </w:rPr>
              <w:t>Participantes estimados por periodo</w:t>
            </w:r>
          </w:p>
        </w:tc>
        <w:tc>
          <w:tcPr>
            <w:tcW w:w="6708" w:type="dxa"/>
          </w:tcPr>
          <w:p>
            <w:pPr>
              <w:pStyle w:val="Compact"/>
              <w:spacing w:before="20" w:after="20"/>
            </w:pPr>
            <w:r>
              <w:rPr>
                <w:sz w:val="17"/>
              </w:rPr>
              <w:t>[ ]</w:t>
            </w:r>
          </w:p>
        </w:tc>
      </w:tr>
      <w:tr>
        <w:tc>
          <w:tcPr>
            <w:tcW w:w="2923" w:type="dxa"/>
          </w:tcPr>
          <w:p>
            <w:pPr>
              <w:pStyle w:val="Compact"/>
              <w:spacing w:before="20" w:after="20"/>
            </w:pPr>
            <w:r>
              <w:rPr>
                <w:sz w:val="17"/>
              </w:rPr>
              <w:t>Indicadores</w:t>
            </w:r>
          </w:p>
        </w:tc>
        <w:tc>
          <w:tcPr>
            <w:tcW w:w="6708" w:type="dxa"/>
          </w:tcPr>
          <w:p>
            <w:pPr>
              <w:pStyle w:val="Compact"/>
              <w:spacing w:before="20" w:after="20"/>
            </w:pPr>
            <w:r>
              <w:rPr>
                <w:sz w:val="17"/>
              </w:rPr>
              <w:t>Personas alineadas; evaluadas; con juicio competente; tiempo promedio entre evaluación y entrega del certificado; satisfacción</w:t>
            </w:r>
          </w:p>
        </w:tc>
      </w:tr>
      <w:tr>
        <w:tc>
          <w:tcPr>
            <w:tcW w:w="2923" w:type="dxa"/>
          </w:tcPr>
          <w:p>
            <w:pPr>
              <w:pStyle w:val="Compact"/>
              <w:spacing w:before="20" w:after="20"/>
            </w:pPr>
            <w:r>
              <w:rPr>
                <w:sz w:val="17"/>
              </w:rPr>
              <w:t>Enlaces</w:t>
            </w:r>
          </w:p>
        </w:tc>
        <w:tc>
          <w:tcPr>
            <w:tcW w:w="6708" w:type="dxa"/>
          </w:tcPr>
          <w:p>
            <w:pPr>
              <w:pStyle w:val="Compact"/>
              <w:spacing w:before="20" w:after="20"/>
            </w:pPr>
            <w:r>
              <w:rPr>
                <w:sz w:val="17"/>
              </w:rPr>
              <w:t>LA INSTITUCIÓN: [nombre, cargo, correo]. LA EMPRESA: [nombre, cargo, correo]</w:t>
            </w:r>
          </w:p>
        </w:tc>
      </w:tr>
    </w:tbl>
    <w:p>
      <w:pPr>
        <w:pStyle w:val="BodyText"/>
      </w:pPr>
    </w:p>
    <w:p>
      <w:pPr>
        <w:pStyle w:val="Heading2"/>
      </w:pPr>
      <w:r>
        <w:rPr/>
        <w:t>Anexo B. Condiciones económicas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27"/>
        <w:gridCol w:w="3158"/>
        <w:gridCol w:w="932"/>
        <w:gridCol w:w="3813"/>
      </w:tblGrid>
      <w:tr>
        <w:trPr>
          <w:tblHeader w:val="true"/>
          <w:cantSplit/>
        </w:trPr>
        <w:tc>
          <w:tcPr>
            <w:tcW w:w="1727" w:type="dxa"/>
            <w:shd w:val="clear" w:color="auto" w:fill="ECECEC"/>
          </w:tcPr>
          <w:p>
            <w:pPr>
              <w:pStyle w:val="Compact"/>
              <w:spacing w:before="20" w:after="20"/>
            </w:pPr>
            <w:r>
              <w:rPr>
                <w:b/>
                <w:sz w:val="17"/>
              </w:rPr>
              <w:t>Concepto</w:t>
            </w:r>
          </w:p>
        </w:tc>
        <w:tc>
          <w:tcPr>
            <w:tcW w:w="3158" w:type="dxa"/>
            <w:shd w:val="clear" w:color="auto" w:fill="ECECEC"/>
          </w:tcPr>
          <w:p>
            <w:pPr>
              <w:pStyle w:val="Compact"/>
              <w:spacing w:before="20" w:after="20"/>
            </w:pPr>
            <w:r>
              <w:rPr>
                <w:b/>
                <w:sz w:val="17"/>
              </w:rPr>
              <w:t>Cuota por participante</w:t>
            </w:r>
          </w:p>
        </w:tc>
        <w:tc>
          <w:tcPr>
            <w:tcW w:w="932" w:type="dxa"/>
            <w:shd w:val="clear" w:color="auto" w:fill="ECECEC"/>
          </w:tcPr>
          <w:p>
            <w:pPr>
              <w:pStyle w:val="Compact"/>
              <w:spacing w:before="20" w:after="20"/>
            </w:pPr>
            <w:r>
              <w:rPr>
                <w:b/>
                <w:sz w:val="17"/>
              </w:rPr>
              <w:t>Quién paga</w:t>
            </w:r>
          </w:p>
        </w:tc>
        <w:tc>
          <w:tcPr>
            <w:tcW w:w="3813" w:type="dxa"/>
            <w:shd w:val="clear" w:color="auto" w:fill="ECECEC"/>
          </w:tcPr>
          <w:p>
            <w:pPr>
              <w:pStyle w:val="Compact"/>
              <w:spacing w:before="20" w:after="20"/>
            </w:pPr>
            <w:r>
              <w:rPr>
                <w:b/>
                <w:sz w:val="17"/>
              </w:rPr>
              <w:t>Observaciones</w:t>
            </w:r>
          </w:p>
        </w:tc>
      </w:tr>
      <w:tr>
        <w:tc>
          <w:tcPr>
            <w:tcW w:w="1727" w:type="dxa"/>
          </w:tcPr>
          <w:p>
            <w:pPr>
              <w:pStyle w:val="Compact"/>
              <w:spacing w:before="20" w:after="20"/>
            </w:pPr>
            <w:r>
              <w:rPr>
                <w:sz w:val="17"/>
              </w:rPr>
              <w:t>Curso de alineación</w:t>
            </w:r>
          </w:p>
        </w:tc>
        <w:tc>
          <w:tcPr>
            <w:tcW w:w="3158" w:type="dxa"/>
          </w:tcPr>
          <w:p>
            <w:pPr>
              <w:pStyle w:val="Compact"/>
              <w:spacing w:before="20" w:after="20"/>
            </w:pPr>
            <w:r>
              <w:rPr>
                <w:sz w:val="17"/>
              </w:rPr>
              <w:t>[ ]</w:t>
            </w:r>
          </w:p>
        </w:tc>
        <w:tc>
          <w:tcPr>
            <w:tcW w:w="932" w:type="dxa"/>
          </w:tcPr>
          <w:p>
            <w:pPr>
              <w:pStyle w:val="Compact"/>
              <w:spacing w:before="20" w:after="20"/>
            </w:pPr>
            <w:r>
              <w:rPr>
                <w:sz w:val="17"/>
              </w:rPr>
              <w:t>[ ]</w:t>
            </w:r>
          </w:p>
        </w:tc>
        <w:tc>
          <w:tcPr>
            <w:tcW w:w="3813" w:type="dxa"/>
          </w:tcPr>
          <w:p>
            <w:pPr>
              <w:pStyle w:val="Compact"/>
              <w:spacing w:before="20" w:after="20"/>
            </w:pPr>
            <w:r>
              <w:rPr>
                <w:sz w:val="17"/>
              </w:rPr>
              <w:t>[Incluye guía de estudio y constancia de participación; DC-3 solo para personas trabajadoras, conforme a la cláusula TERCERA.7]</w:t>
            </w:r>
          </w:p>
        </w:tc>
      </w:tr>
      <w:tr>
        <w:tc>
          <w:tcPr>
            <w:tcW w:w="1727" w:type="dxa"/>
          </w:tcPr>
          <w:p>
            <w:pPr>
              <w:pStyle w:val="Compact"/>
              <w:spacing w:before="20" w:after="20"/>
            </w:pPr>
            <w:r>
              <w:rPr>
                <w:sz w:val="17"/>
              </w:rPr>
              <w:t>Diagnóstico y evaluación</w:t>
            </w:r>
          </w:p>
        </w:tc>
        <w:tc>
          <w:tcPr>
            <w:tcW w:w="3158" w:type="dxa"/>
          </w:tcPr>
          <w:p>
            <w:pPr>
              <w:pStyle w:val="Compact"/>
              <w:spacing w:before="20" w:after="20"/>
            </w:pPr>
            <w:r>
              <w:rPr>
                <w:sz w:val="17"/>
              </w:rPr>
              <w:t>[ ]</w:t>
            </w:r>
          </w:p>
        </w:tc>
        <w:tc>
          <w:tcPr>
            <w:tcW w:w="932" w:type="dxa"/>
          </w:tcPr>
          <w:p>
            <w:pPr>
              <w:pStyle w:val="Compact"/>
              <w:spacing w:before="20" w:after="20"/>
            </w:pPr>
            <w:r>
              <w:rPr>
                <w:sz w:val="17"/>
              </w:rPr>
              <w:t>[ ]</w:t>
            </w:r>
          </w:p>
        </w:tc>
        <w:tc>
          <w:tcPr>
            <w:tcW w:w="3813" w:type="dxa"/>
          </w:tcPr>
          <w:p>
            <w:pPr>
              <w:pStyle w:val="Compact"/>
              <w:spacing w:before="20" w:after="20"/>
            </w:pPr>
          </w:p>
        </w:tc>
      </w:tr>
      <w:tr>
        <w:tc>
          <w:tcPr>
            <w:tcW w:w="1727" w:type="dxa"/>
          </w:tcPr>
          <w:p>
            <w:pPr>
              <w:pStyle w:val="Compact"/>
              <w:spacing w:before="20" w:after="20"/>
            </w:pPr>
            <w:r>
              <w:rPr>
                <w:sz w:val="17"/>
              </w:rPr>
              <w:t>Gestión del certificado</w:t>
            </w:r>
          </w:p>
        </w:tc>
        <w:tc>
          <w:tcPr>
            <w:tcW w:w="3158" w:type="dxa"/>
          </w:tcPr>
          <w:p>
            <w:pPr>
              <w:pStyle w:val="Compact"/>
              <w:spacing w:before="20" w:after="20"/>
            </w:pPr>
            <w:r>
              <w:rPr>
                <w:sz w:val="17"/>
              </w:rPr>
              <w:t>[ ]</w:t>
            </w:r>
          </w:p>
        </w:tc>
        <w:tc>
          <w:tcPr>
            <w:tcW w:w="932" w:type="dxa"/>
          </w:tcPr>
          <w:p>
            <w:pPr>
              <w:pStyle w:val="Compact"/>
              <w:spacing w:before="20" w:after="20"/>
            </w:pPr>
            <w:r>
              <w:rPr>
                <w:sz w:val="17"/>
              </w:rPr>
              <w:t>[ ]</w:t>
            </w:r>
          </w:p>
        </w:tc>
        <w:tc>
          <w:tcPr>
            <w:tcW w:w="3813" w:type="dxa"/>
          </w:tcPr>
          <w:p>
            <w:pPr>
              <w:pStyle w:val="Compact"/>
              <w:spacing w:before="20" w:after="20"/>
            </w:pPr>
            <w:r>
              <w:rPr>
                <w:sz w:val="17"/>
              </w:rPr>
              <w:t>[Conforme a las cuotas vigentes del CONOCER, si aplican]</w:t>
            </w:r>
          </w:p>
        </w:tc>
      </w:tr>
      <w:tr>
        <w:tc>
          <w:tcPr>
            <w:tcW w:w="1727" w:type="dxa"/>
          </w:tcPr>
          <w:p>
            <w:pPr>
              <w:pStyle w:val="Compact"/>
              <w:spacing w:before="20" w:after="20"/>
            </w:pPr>
            <w:r>
              <w:rPr>
                <w:sz w:val="17"/>
              </w:rPr>
              <w:t>Reevaluación</w:t>
            </w:r>
          </w:p>
        </w:tc>
        <w:tc>
          <w:tcPr>
            <w:tcW w:w="3158" w:type="dxa"/>
          </w:tcPr>
          <w:p>
            <w:pPr>
              <w:pStyle w:val="Compact"/>
              <w:spacing w:before="20" w:after="20"/>
            </w:pPr>
            <w:r>
              <w:rPr>
                <w:sz w:val="17"/>
              </w:rPr>
              <w:t>[ ]</w:t>
            </w:r>
          </w:p>
        </w:tc>
        <w:tc>
          <w:tcPr>
            <w:tcW w:w="932" w:type="dxa"/>
          </w:tcPr>
          <w:p>
            <w:pPr>
              <w:pStyle w:val="Compact"/>
              <w:spacing w:before="20" w:after="20"/>
            </w:pPr>
            <w:r>
              <w:rPr>
                <w:sz w:val="17"/>
              </w:rPr>
              <w:t>[ ]</w:t>
            </w:r>
          </w:p>
        </w:tc>
        <w:tc>
          <w:tcPr>
            <w:tcW w:w="3813" w:type="dxa"/>
          </w:tcPr>
          <w:p>
            <w:pPr>
              <w:pStyle w:val="Compact"/>
              <w:spacing w:before="20" w:after="20"/>
            </w:pPr>
            <w:r>
              <w:rPr>
                <w:sz w:val="17"/>
              </w:rPr>
              <w:t>[Número de reevaluaciones incluidas]</w:t>
            </w:r>
          </w:p>
        </w:tc>
      </w:tr>
      <w:tr>
        <w:tc>
          <w:tcPr>
            <w:tcW w:w="1727" w:type="dxa"/>
          </w:tcPr>
          <w:p>
            <w:pPr>
              <w:pStyle w:val="Compact"/>
              <w:spacing w:before="20" w:after="20"/>
            </w:pPr>
            <w:r>
              <w:rPr>
                <w:sz w:val="17"/>
              </w:rPr>
              <w:t>Becas o descuentos</w:t>
            </w:r>
          </w:p>
        </w:tc>
        <w:tc>
          <w:tcPr>
            <w:tcW w:w="3158" w:type="dxa"/>
          </w:tcPr>
          <w:p>
            <w:pPr>
              <w:pStyle w:val="Compact"/>
              <w:spacing w:before="20" w:after="20"/>
            </w:pPr>
            <w:r>
              <w:rPr>
                <w:sz w:val="17"/>
              </w:rPr>
              <w:t>[ ]</w:t>
            </w:r>
          </w:p>
        </w:tc>
        <w:tc>
          <w:tcPr>
            <w:tcW w:w="932" w:type="dxa"/>
          </w:tcPr>
          <w:p>
            <w:pPr>
              <w:pStyle w:val="Compact"/>
              <w:spacing w:before="20" w:after="20"/>
            </w:pPr>
            <w:r>
              <w:rPr>
                <w:sz w:val="17"/>
              </w:rPr>
              <w:t>—</w:t>
            </w:r>
          </w:p>
        </w:tc>
        <w:tc>
          <w:tcPr>
            <w:tcW w:w="3813" w:type="dxa"/>
          </w:tcPr>
          <w:p>
            <w:pPr>
              <w:pStyle w:val="Compact"/>
              <w:spacing w:before="20" w:after="20"/>
            </w:pPr>
            <w:r>
              <w:rPr>
                <w:sz w:val="17"/>
              </w:rPr>
              <w:t>[Criterios]</w:t>
            </w:r>
          </w:p>
        </w:tc>
      </w:tr>
      <w:tr>
        <w:tc>
          <w:tcPr>
            <w:tcW w:w="1727" w:type="dxa"/>
          </w:tcPr>
          <w:p>
            <w:pPr>
              <w:pStyle w:val="Compact"/>
              <w:spacing w:before="20" w:after="20"/>
            </w:pPr>
            <w:r>
              <w:rPr>
                <w:sz w:val="17"/>
              </w:rPr>
              <w:t>Facturación y forma de pago</w:t>
            </w:r>
          </w:p>
        </w:tc>
        <w:tc>
          <w:tcPr>
            <w:tcW w:w="3158" w:type="dxa"/>
          </w:tcPr>
          <w:p>
            <w:pPr>
              <w:pStyle w:val="Compact"/>
              <w:spacing w:before="20" w:after="20"/>
            </w:pPr>
            <w:r>
              <w:rPr>
                <w:sz w:val="17"/>
              </w:rPr>
              <w:t>[ ]</w:t>
            </w:r>
          </w:p>
        </w:tc>
        <w:tc>
          <w:tcPr>
            <w:tcW w:w="932" w:type="dxa"/>
          </w:tcPr>
          <w:p>
            <w:pPr>
              <w:pStyle w:val="Compact"/>
              <w:spacing w:before="20" w:after="20"/>
            </w:pPr>
            <w:r>
              <w:rPr>
                <w:sz w:val="17"/>
              </w:rPr>
              <w:t>—</w:t>
            </w:r>
          </w:p>
        </w:tc>
        <w:tc>
          <w:tcPr>
            <w:tcW w:w="3813" w:type="dxa"/>
          </w:tcPr>
          <w:p>
            <w:pPr>
              <w:pStyle w:val="Compact"/>
              <w:spacing w:before="20" w:after="20"/>
            </w:pPr>
          </w:p>
        </w:tc>
      </w:tr>
      <w:tr>
        <w:tc>
          <w:tcPr>
            <w:tcW w:w="1727" w:type="dxa"/>
          </w:tcPr>
          <w:p>
            <w:pPr>
              <w:pStyle w:val="Compact"/>
              <w:spacing w:before="20" w:after="20"/>
            </w:pPr>
            <w:r>
              <w:rPr>
                <w:sz w:val="17"/>
              </w:rPr>
              <w:t>Cancelación y reembolso</w:t>
            </w:r>
          </w:p>
        </w:tc>
        <w:tc>
          <w:tcPr>
            <w:tcW w:w="3158" w:type="dxa"/>
          </w:tcPr>
          <w:p>
            <w:pPr>
              <w:pStyle w:val="Compact"/>
              <w:spacing w:before="20" w:after="20"/>
            </w:pPr>
            <w:r>
              <w:rPr>
                <w:sz w:val="17"/>
              </w:rPr>
              <w:t>[Plazos y porcentajes de reembolso si el participante cancela antes del curso o de la evaluación]</w:t>
            </w:r>
          </w:p>
        </w:tc>
        <w:tc>
          <w:tcPr>
            <w:tcW w:w="932" w:type="dxa"/>
          </w:tcPr>
          <w:p>
            <w:pPr>
              <w:pStyle w:val="Compact"/>
              <w:spacing w:before="20" w:after="20"/>
            </w:pPr>
            <w:r>
              <w:rPr>
                <w:sz w:val="17"/>
              </w:rPr>
              <w:t>—</w:t>
            </w:r>
          </w:p>
        </w:tc>
        <w:tc>
          <w:tcPr>
            <w:tcW w:w="3813" w:type="dxa"/>
          </w:tcPr>
          <w:p>
            <w:pPr>
              <w:pStyle w:val="Compact"/>
              <w:spacing w:before="20" w:after="20"/>
            </w:pPr>
            <w:r>
              <w:rPr>
                <w:sz w:val="17"/>
              </w:rPr>
              <w:t>Se informan antes del pago (Ley Federal de Protección al Consumidor)</w:t>
            </w:r>
          </w:p>
        </w:tc>
      </w:tr>
    </w:tbl>
    <w:p>
      <w:pPr>
        <w:pStyle w:val="BodyText"/>
      </w:pPr>
    </w:p>
    <w:p>
      <w:pPr>
        <w:pStyle w:val="BodyText"/>
      </w:pPr>
      <w:r>
        <w:rPr>
          <w:i/>
        </w:rPr>
        <w:t>Las cuotas se definen en cada caso. Las cifras que se hayan comentado en conversaciones previas son hipotéticas. En instituciones públicas, la columna "Quién paga" solo admite "Participante" (cláusula QUINTA).</w:t>
      </w:r>
    </w:p>
    <w:p>
      <w:pPr>
        <w:pStyle w:val="Heading2"/>
      </w:pPr>
      <w:r>
        <w:rPr/>
        <w:t>Anexo C. Requisitos de sede y equipo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567"/>
        <w:gridCol w:w="2767"/>
        <w:gridCol w:w="5296"/>
      </w:tblGrid>
      <w:tr>
        <w:trPr>
          <w:tblHeader w:val="true"/>
          <w:cantSplit/>
        </w:trPr>
        <w:tc>
          <w:tcPr>
            <w:tcW w:w="1567" w:type="dxa"/>
            <w:shd w:val="clear" w:color="auto" w:fill="ECECEC"/>
          </w:tcPr>
          <w:p>
            <w:pPr>
              <w:pStyle w:val="Compact"/>
              <w:spacing w:before="20" w:after="20"/>
            </w:pPr>
            <w:r>
              <w:rPr>
                <w:b/>
                <w:sz w:val="17"/>
              </w:rPr>
              <w:t>Requisito</w:t>
            </w:r>
          </w:p>
        </w:tc>
        <w:tc>
          <w:tcPr>
            <w:tcW w:w="2767" w:type="dxa"/>
            <w:shd w:val="clear" w:color="auto" w:fill="ECECEC"/>
          </w:tcPr>
          <w:p>
            <w:pPr>
              <w:pStyle w:val="Compact"/>
              <w:spacing w:before="20" w:after="20"/>
            </w:pPr>
            <w:r>
              <w:rPr>
                <w:b/>
                <w:sz w:val="17"/>
              </w:rPr>
              <w:t>Curso de alineación</w:t>
            </w:r>
          </w:p>
        </w:tc>
        <w:tc>
          <w:tcPr>
            <w:tcW w:w="5296" w:type="dxa"/>
            <w:shd w:val="clear" w:color="auto" w:fill="ECECEC"/>
          </w:tcPr>
          <w:p>
            <w:pPr>
              <w:pStyle w:val="Compact"/>
              <w:spacing w:before="20" w:after="20"/>
            </w:pPr>
            <w:r>
              <w:rPr>
                <w:b/>
                <w:sz w:val="17"/>
              </w:rPr>
              <w:t>Evaluación</w:t>
            </w:r>
          </w:p>
        </w:tc>
      </w:tr>
      <w:tr>
        <w:tc>
          <w:tcPr>
            <w:tcW w:w="1567" w:type="dxa"/>
          </w:tcPr>
          <w:p>
            <w:pPr>
              <w:pStyle w:val="Compact"/>
              <w:spacing w:before="20" w:after="20"/>
            </w:pPr>
            <w:r>
              <w:rPr>
                <w:sz w:val="17"/>
              </w:rPr>
              <w:t>Aula</w:t>
            </w:r>
          </w:p>
        </w:tc>
        <w:tc>
          <w:tcPr>
            <w:tcW w:w="2767" w:type="dxa"/>
          </w:tcPr>
          <w:p>
            <w:pPr>
              <w:pStyle w:val="Compact"/>
              <w:spacing w:before="20" w:after="20"/>
            </w:pPr>
            <w:r>
              <w:rPr>
                <w:sz w:val="17"/>
              </w:rPr>
              <w:t>Para el grupo, con proyector</w:t>
            </w:r>
          </w:p>
        </w:tc>
        <w:tc>
          <w:tcPr>
            <w:tcW w:w="5296" w:type="dxa"/>
          </w:tcPr>
          <w:p>
            <w:pPr>
              <w:pStyle w:val="Compact"/>
              <w:spacing w:before="20" w:after="20"/>
            </w:pPr>
            <w:r>
              <w:rPr>
                <w:sz w:val="17"/>
              </w:rPr>
              <w:t>Espacio sin distracciones; espacio adicional para las simulaciones</w:t>
            </w:r>
          </w:p>
        </w:tc>
      </w:tr>
      <w:tr>
        <w:tc>
          <w:tcPr>
            <w:tcW w:w="1567" w:type="dxa"/>
          </w:tcPr>
          <w:p>
            <w:pPr>
              <w:pStyle w:val="Compact"/>
              <w:spacing w:before="20" w:after="20"/>
            </w:pPr>
            <w:r>
              <w:rPr>
                <w:sz w:val="17"/>
              </w:rPr>
              <w:t>Equipo de cómputo</w:t>
            </w:r>
          </w:p>
        </w:tc>
        <w:tc>
          <w:tcPr>
            <w:tcW w:w="2767" w:type="dxa"/>
          </w:tcPr>
          <w:p>
            <w:pPr>
              <w:pStyle w:val="Compact"/>
              <w:spacing w:before="20" w:after="20"/>
            </w:pPr>
            <w:r>
              <w:rPr>
                <w:sz w:val="17"/>
              </w:rPr>
              <w:t>Uno por participante o por pareja</w:t>
            </w:r>
          </w:p>
        </w:tc>
        <w:tc>
          <w:tcPr>
            <w:tcW w:w="5296" w:type="dxa"/>
          </w:tcPr>
          <w:p>
            <w:pPr>
              <w:pStyle w:val="Compact"/>
              <w:spacing w:before="20" w:after="20"/>
            </w:pPr>
            <w:r>
              <w:rPr>
                <w:sz w:val="17"/>
              </w:rPr>
              <w:t>Uno por candidato, con procesador de textos y hoja de cálculo</w:t>
            </w:r>
          </w:p>
        </w:tc>
      </w:tr>
      <w:tr>
        <w:tc>
          <w:tcPr>
            <w:tcW w:w="1567" w:type="dxa"/>
          </w:tcPr>
          <w:p>
            <w:pPr>
              <w:pStyle w:val="Compact"/>
              <w:spacing w:before="20" w:after="20"/>
            </w:pPr>
            <w:r>
              <w:rPr>
                <w:sz w:val="17"/>
              </w:rPr>
              <w:t>Herramienta de IA</w:t>
            </w:r>
          </w:p>
        </w:tc>
        <w:tc>
          <w:tcPr>
            <w:tcW w:w="2767" w:type="dxa"/>
          </w:tcPr>
          <w:p>
            <w:pPr>
              <w:pStyle w:val="Compact"/>
              <w:spacing w:before="20" w:after="20"/>
            </w:pPr>
            <w:r>
              <w:rPr>
                <w:sz w:val="17"/>
              </w:rPr>
              <w:t>Cuenta institucional del agente capacitador o entorno simulado</w:t>
            </w:r>
          </w:p>
        </w:tc>
        <w:tc>
          <w:tcPr>
            <w:tcW w:w="5296" w:type="dxa"/>
          </w:tcPr>
          <w:p>
            <w:pPr>
              <w:pStyle w:val="Compact"/>
              <w:spacing w:before="20" w:after="20"/>
            </w:pPr>
            <w:r>
              <w:rPr>
                <w:sz w:val="17"/>
              </w:rPr>
              <w:t>Entorno proporcionado por el centro de evaluación</w:t>
            </w:r>
          </w:p>
        </w:tc>
      </w:tr>
      <w:tr>
        <w:tc>
          <w:tcPr>
            <w:tcW w:w="1567" w:type="dxa"/>
          </w:tcPr>
          <w:p>
            <w:pPr>
              <w:pStyle w:val="Compact"/>
              <w:spacing w:before="20" w:after="20"/>
            </w:pPr>
            <w:r>
              <w:rPr>
                <w:sz w:val="17"/>
              </w:rPr>
              <w:t>Conectividad</w:t>
            </w:r>
          </w:p>
        </w:tc>
        <w:tc>
          <w:tcPr>
            <w:tcW w:w="2767" w:type="dxa"/>
          </w:tcPr>
          <w:p>
            <w:pPr>
              <w:pStyle w:val="Compact"/>
              <w:spacing w:before="20" w:after="20"/>
            </w:pPr>
            <w:r>
              <w:rPr>
                <w:sz w:val="17"/>
              </w:rPr>
              <w:t>Internet estable</w:t>
            </w:r>
          </w:p>
        </w:tc>
        <w:tc>
          <w:tcPr>
            <w:tcW w:w="5296" w:type="dxa"/>
          </w:tcPr>
          <w:p>
            <w:pPr>
              <w:pStyle w:val="Compact"/>
              <w:spacing w:before="20" w:after="20"/>
            </w:pPr>
            <w:r>
              <w:rPr>
                <w:sz w:val="17"/>
              </w:rPr>
              <w:t>Conforme a las indicaciones del centro de evaluación</w:t>
            </w:r>
          </w:p>
        </w:tc>
      </w:tr>
      <w:tr>
        <w:tc>
          <w:tcPr>
            <w:tcW w:w="1567" w:type="dxa"/>
          </w:tcPr>
          <w:p>
            <w:pPr>
              <w:pStyle w:val="Compact"/>
              <w:spacing w:before="20" w:after="20"/>
            </w:pPr>
            <w:r>
              <w:rPr>
                <w:sz w:val="17"/>
              </w:rPr>
              <w:t>Otros</w:t>
            </w:r>
          </w:p>
        </w:tc>
        <w:tc>
          <w:tcPr>
            <w:tcW w:w="2767" w:type="dxa"/>
          </w:tcPr>
          <w:p>
            <w:pPr>
              <w:pStyle w:val="Compact"/>
              <w:spacing w:before="20" w:after="20"/>
            </w:pPr>
            <w:r>
              <w:rPr>
                <w:sz w:val="17"/>
              </w:rPr>
              <w:t>Bocinas para ejemplos de audio</w:t>
            </w:r>
          </w:p>
        </w:tc>
        <w:tc>
          <w:tcPr>
            <w:tcW w:w="5296" w:type="dxa"/>
          </w:tcPr>
          <w:p>
            <w:pPr>
              <w:pStyle w:val="Compact"/>
              <w:spacing w:before="20" w:after="20"/>
            </w:pPr>
            <w:r>
              <w:rPr>
                <w:sz w:val="17"/>
              </w:rPr>
              <w:t>Identificación oficial de cada candidato; teléfono o medio para recibir el mensaje y la nota de voz simulados (EC-A, Parte C), proporcionado por el centro de evaluación</w:t>
            </w:r>
          </w:p>
        </w:tc>
      </w:tr>
    </w:tbl>
    <w:p>
      <w:pPr>
        <w:pStyle w:val="BodyText"/>
      </w:pPr>
    </w:p>
    <w:p>
      <w:pPr>
        <w:pStyle w:val="Heading2"/>
      </w:pPr>
      <w:r>
        <w:rPr/>
        <w:t>Anexo D. Flujo de datos personales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052"/>
        <w:gridCol w:w="1877"/>
        <w:gridCol w:w="1750"/>
        <w:gridCol w:w="1543"/>
        <w:gridCol w:w="2408"/>
      </w:tblGrid>
      <w:tr>
        <w:trPr>
          <w:tblHeader w:val="true"/>
          <w:cantSplit/>
        </w:trPr>
        <w:tc>
          <w:tcPr>
            <w:tcW w:w="2052" w:type="dxa"/>
            <w:shd w:val="clear" w:color="auto" w:fill="ECECEC"/>
          </w:tcPr>
          <w:p>
            <w:pPr>
              <w:pStyle w:val="Compact"/>
              <w:spacing w:before="20" w:after="20"/>
            </w:pPr>
            <w:r>
              <w:rPr>
                <w:b/>
                <w:sz w:val="17"/>
              </w:rPr>
              <w:t>Momento</w:t>
            </w:r>
          </w:p>
        </w:tc>
        <w:tc>
          <w:tcPr>
            <w:tcW w:w="1877" w:type="dxa"/>
            <w:shd w:val="clear" w:color="auto" w:fill="ECECEC"/>
          </w:tcPr>
          <w:p>
            <w:pPr>
              <w:pStyle w:val="Compact"/>
              <w:spacing w:before="20" w:after="20"/>
            </w:pPr>
            <w:r>
              <w:rPr>
                <w:b/>
                <w:sz w:val="17"/>
              </w:rPr>
              <w:t>Quién recaba</w:t>
            </w:r>
          </w:p>
        </w:tc>
        <w:tc>
          <w:tcPr>
            <w:tcW w:w="1750" w:type="dxa"/>
            <w:shd w:val="clear" w:color="auto" w:fill="ECECEC"/>
          </w:tcPr>
          <w:p>
            <w:pPr>
              <w:pStyle w:val="Compact"/>
              <w:spacing w:before="20" w:after="20"/>
            </w:pPr>
            <w:r>
              <w:rPr>
                <w:b/>
                <w:sz w:val="17"/>
              </w:rPr>
              <w:t>Datos</w:t>
            </w:r>
          </w:p>
        </w:tc>
        <w:tc>
          <w:tcPr>
            <w:tcW w:w="1543" w:type="dxa"/>
            <w:shd w:val="clear" w:color="auto" w:fill="ECECEC"/>
          </w:tcPr>
          <w:p>
            <w:pPr>
              <w:pStyle w:val="Compact"/>
              <w:spacing w:before="20" w:after="20"/>
            </w:pPr>
            <w:r>
              <w:rPr>
                <w:b/>
                <w:sz w:val="17"/>
              </w:rPr>
              <w:t>Para qué</w:t>
            </w:r>
          </w:p>
        </w:tc>
        <w:tc>
          <w:tcPr>
            <w:tcW w:w="2408" w:type="dxa"/>
            <w:shd w:val="clear" w:color="auto" w:fill="ECECEC"/>
          </w:tcPr>
          <w:p>
            <w:pPr>
              <w:pStyle w:val="Compact"/>
              <w:spacing w:before="20" w:after="20"/>
            </w:pPr>
            <w:r>
              <w:rPr>
                <w:b/>
                <w:sz w:val="17"/>
              </w:rPr>
              <w:t>Fundamento</w:t>
            </w:r>
          </w:p>
        </w:tc>
      </w:tr>
      <w:tr>
        <w:tc>
          <w:tcPr>
            <w:tcW w:w="2052" w:type="dxa"/>
          </w:tcPr>
          <w:p>
            <w:pPr>
              <w:pStyle w:val="Compact"/>
              <w:spacing w:before="20" w:after="20"/>
            </w:pPr>
            <w:r>
              <w:rPr>
                <w:sz w:val="17"/>
              </w:rPr>
              <w:t>Difusión</w:t>
            </w:r>
          </w:p>
        </w:tc>
        <w:tc>
          <w:tcPr>
            <w:tcW w:w="1877" w:type="dxa"/>
          </w:tcPr>
          <w:p>
            <w:pPr>
              <w:pStyle w:val="Compact"/>
              <w:spacing w:before="20" w:after="20"/>
            </w:pPr>
            <w:r>
              <w:rPr>
                <w:sz w:val="17"/>
              </w:rPr>
              <w:t>LA INSTITUCIÓN</w:t>
            </w:r>
          </w:p>
        </w:tc>
        <w:tc>
          <w:tcPr>
            <w:tcW w:w="1750" w:type="dxa"/>
          </w:tcPr>
          <w:p>
            <w:pPr>
              <w:pStyle w:val="Compact"/>
              <w:spacing w:before="20" w:after="20"/>
            </w:pPr>
            <w:r>
              <w:rPr>
                <w:sz w:val="17"/>
              </w:rPr>
              <w:t>Ninguno o correo institucional</w:t>
            </w:r>
          </w:p>
        </w:tc>
        <w:tc>
          <w:tcPr>
            <w:tcW w:w="1543" w:type="dxa"/>
          </w:tcPr>
          <w:p>
            <w:pPr>
              <w:pStyle w:val="Compact"/>
              <w:spacing w:before="20" w:after="20"/>
            </w:pPr>
            <w:r>
              <w:rPr>
                <w:sz w:val="17"/>
              </w:rPr>
              <w:t>Informar la oferta</w:t>
            </w:r>
          </w:p>
        </w:tc>
        <w:tc>
          <w:tcPr>
            <w:tcW w:w="2408" w:type="dxa"/>
          </w:tcPr>
          <w:p>
            <w:pPr>
              <w:pStyle w:val="Compact"/>
              <w:spacing w:before="20" w:after="20"/>
            </w:pPr>
            <w:r>
              <w:rPr>
                <w:sz w:val="17"/>
              </w:rPr>
              <w:t>Normatividad de LA INSTITUCIÓN y su aviso de privacidad</w:t>
            </w:r>
          </w:p>
        </w:tc>
      </w:tr>
      <w:tr>
        <w:tc>
          <w:tcPr>
            <w:tcW w:w="2052" w:type="dxa"/>
          </w:tcPr>
          <w:p>
            <w:pPr>
              <w:pStyle w:val="Compact"/>
              <w:spacing w:before="20" w:after="20"/>
            </w:pPr>
            <w:r>
              <w:rPr>
                <w:sz w:val="17"/>
              </w:rPr>
              <w:t>Registro</w:t>
            </w:r>
          </w:p>
        </w:tc>
        <w:tc>
          <w:tcPr>
            <w:tcW w:w="1877" w:type="dxa"/>
          </w:tcPr>
          <w:p>
            <w:pPr>
              <w:pStyle w:val="Compact"/>
              <w:spacing w:before="20" w:after="20"/>
            </w:pPr>
            <w:r>
              <w:rPr>
                <w:sz w:val="17"/>
              </w:rPr>
              <w:t>LA EMPRESA (responsable)</w:t>
            </w:r>
          </w:p>
        </w:tc>
        <w:tc>
          <w:tcPr>
            <w:tcW w:w="1750" w:type="dxa"/>
          </w:tcPr>
          <w:p>
            <w:pPr>
              <w:pStyle w:val="Compact"/>
              <w:spacing w:before="20" w:after="20"/>
            </w:pPr>
            <w:r>
              <w:rPr>
                <w:sz w:val="17"/>
              </w:rPr>
              <w:t>Nombre, CURP, correo, teléfono, programa académico</w:t>
            </w:r>
          </w:p>
        </w:tc>
        <w:tc>
          <w:tcPr>
            <w:tcW w:w="1543" w:type="dxa"/>
          </w:tcPr>
          <w:p>
            <w:pPr>
              <w:pStyle w:val="Compact"/>
              <w:spacing w:before="20" w:after="20"/>
            </w:pPr>
            <w:r>
              <w:rPr>
                <w:sz w:val="17"/>
              </w:rPr>
              <w:t>Alineación, evaluación y gestión del certificado</w:t>
            </w:r>
          </w:p>
        </w:tc>
        <w:tc>
          <w:tcPr>
            <w:tcW w:w="2408" w:type="dxa"/>
          </w:tcPr>
          <w:p>
            <w:pPr>
              <w:pStyle w:val="Compact"/>
              <w:spacing w:before="20" w:after="20"/>
            </w:pPr>
            <w:r>
              <w:rPr>
                <w:sz w:val="17"/>
              </w:rPr>
              <w:t>Consentimiento de la persona titular (LFPDPPP art. 7) y relación jurídica con LA EMPRESA (art. 9, IV), informados en su aviso de privacidad (documento 19)</w:t>
            </w:r>
          </w:p>
        </w:tc>
      </w:tr>
      <w:tr>
        <w:tc>
          <w:tcPr>
            <w:tcW w:w="2052" w:type="dxa"/>
          </w:tcPr>
          <w:p>
            <w:pPr>
              <w:pStyle w:val="Compact"/>
              <w:spacing w:before="20" w:after="20"/>
            </w:pPr>
            <w:r>
              <w:rPr>
                <w:sz w:val="17"/>
              </w:rPr>
              <w:t>Evaluación</w:t>
            </w:r>
          </w:p>
        </w:tc>
        <w:tc>
          <w:tcPr>
            <w:tcW w:w="1877" w:type="dxa"/>
          </w:tcPr>
          <w:p>
            <w:pPr>
              <w:pStyle w:val="Compact"/>
              <w:spacing w:before="20" w:after="20"/>
            </w:pPr>
            <w:r>
              <w:rPr>
                <w:sz w:val="17"/>
              </w:rPr>
              <w:t>LA EMPRESA (responsable)</w:t>
            </w:r>
          </w:p>
        </w:tc>
        <w:tc>
          <w:tcPr>
            <w:tcW w:w="1750" w:type="dxa"/>
          </w:tcPr>
          <w:p>
            <w:pPr>
              <w:pStyle w:val="Compact"/>
              <w:spacing w:before="20" w:after="20"/>
            </w:pPr>
            <w:r>
              <w:rPr>
                <w:sz w:val="17"/>
              </w:rPr>
              <w:t>Evidencias de la evaluación</w:t>
            </w:r>
          </w:p>
        </w:tc>
        <w:tc>
          <w:tcPr>
            <w:tcW w:w="1543" w:type="dxa"/>
          </w:tcPr>
          <w:p>
            <w:pPr>
              <w:pStyle w:val="Compact"/>
              <w:spacing w:before="20" w:after="20"/>
            </w:pPr>
            <w:r>
              <w:rPr>
                <w:sz w:val="17"/>
              </w:rPr>
              <w:t>Emitir el juicio de competencia</w:t>
            </w:r>
          </w:p>
        </w:tc>
        <w:tc>
          <w:tcPr>
            <w:tcW w:w="2408" w:type="dxa"/>
          </w:tcPr>
          <w:p>
            <w:pPr>
              <w:pStyle w:val="Compact"/>
              <w:spacing w:before="20" w:after="20"/>
            </w:pPr>
            <w:r>
              <w:rPr>
                <w:sz w:val="17"/>
              </w:rPr>
              <w:t>Relación jurídica con la persona candidata (art. 9, IV); conservación conforme a las reglas del CONOCER (plazo por confirmar)</w:t>
            </w:r>
          </w:p>
        </w:tc>
      </w:tr>
      <w:tr>
        <w:tc>
          <w:tcPr>
            <w:tcW w:w="2052" w:type="dxa"/>
          </w:tcPr>
          <w:p>
            <w:pPr>
              <w:pStyle w:val="Compact"/>
              <w:spacing w:before="20" w:after="20"/>
            </w:pPr>
            <w:r>
              <w:rPr>
                <w:sz w:val="17"/>
              </w:rPr>
              <w:t>Certificado</w:t>
            </w:r>
          </w:p>
        </w:tc>
        <w:tc>
          <w:tcPr>
            <w:tcW w:w="1877" w:type="dxa"/>
          </w:tcPr>
          <w:p>
            <w:pPr>
              <w:pStyle w:val="Compact"/>
              <w:spacing w:before="20" w:after="20"/>
            </w:pPr>
            <w:r>
              <w:rPr>
                <w:sz w:val="17"/>
              </w:rPr>
              <w:t>LA EMPRESA transfiere a la Entidad de Certificación y Evaluación y al CONOCER</w:t>
            </w:r>
          </w:p>
        </w:tc>
        <w:tc>
          <w:tcPr>
            <w:tcW w:w="1750" w:type="dxa"/>
          </w:tcPr>
          <w:p>
            <w:pPr>
              <w:pStyle w:val="Compact"/>
              <w:spacing w:before="20" w:after="20"/>
            </w:pPr>
            <w:r>
              <w:rPr>
                <w:sz w:val="17"/>
              </w:rPr>
              <w:t>Datos del certificado</w:t>
            </w:r>
          </w:p>
        </w:tc>
        <w:tc>
          <w:tcPr>
            <w:tcW w:w="1543" w:type="dxa"/>
          </w:tcPr>
          <w:p>
            <w:pPr>
              <w:pStyle w:val="Compact"/>
              <w:spacing w:before="20" w:after="20"/>
            </w:pPr>
            <w:r>
              <w:rPr>
                <w:sz w:val="17"/>
              </w:rPr>
              <w:t>Emisión y registro</w:t>
            </w:r>
          </w:p>
        </w:tc>
        <w:tc>
          <w:tcPr>
            <w:tcW w:w="2408" w:type="dxa"/>
          </w:tcPr>
          <w:p>
            <w:pPr>
              <w:pStyle w:val="Compact"/>
              <w:spacing w:before="20" w:after="20"/>
            </w:pPr>
            <w:r>
              <w:rPr>
                <w:sz w:val="17"/>
              </w:rPr>
              <w:t>Transferencia necesaria por la relación jurídica con la persona titular y en su interés (art. 36, IV y VII), informada en la cláusula de transferencias del aviso (art. 35)</w:t>
            </w:r>
          </w:p>
        </w:tc>
      </w:tr>
      <w:tr>
        <w:tc>
          <w:tcPr>
            <w:tcW w:w="2052" w:type="dxa"/>
          </w:tcPr>
          <w:p>
            <w:pPr>
              <w:pStyle w:val="Compact"/>
              <w:spacing w:before="20" w:after="20"/>
            </w:pPr>
            <w:r>
              <w:rPr>
                <w:sz w:val="17"/>
              </w:rPr>
              <w:t>Informe a LA INSTITUCIÓN</w:t>
            </w:r>
          </w:p>
        </w:tc>
        <w:tc>
          <w:tcPr>
            <w:tcW w:w="1877" w:type="dxa"/>
          </w:tcPr>
          <w:p>
            <w:pPr>
              <w:pStyle w:val="Compact"/>
              <w:spacing w:before="20" w:after="20"/>
            </w:pPr>
            <w:r>
              <w:rPr>
                <w:sz w:val="17"/>
              </w:rPr>
              <w:t>LA EMPRESA</w:t>
            </w:r>
          </w:p>
        </w:tc>
        <w:tc>
          <w:tcPr>
            <w:tcW w:w="1750" w:type="dxa"/>
          </w:tcPr>
          <w:p>
            <w:pPr>
              <w:pStyle w:val="Compact"/>
              <w:spacing w:before="20" w:after="20"/>
            </w:pPr>
            <w:r>
              <w:rPr>
                <w:sz w:val="17"/>
              </w:rPr>
              <w:t>Resultados agregados; nominales solo con autorización</w:t>
            </w:r>
          </w:p>
        </w:tc>
        <w:tc>
          <w:tcPr>
            <w:tcW w:w="1543" w:type="dxa"/>
          </w:tcPr>
          <w:p>
            <w:pPr>
              <w:pStyle w:val="Compact"/>
              <w:spacing w:before="20" w:after="20"/>
            </w:pPr>
            <w:r>
              <w:rPr>
                <w:sz w:val="17"/>
              </w:rPr>
              <w:t>Seguimiento y, en su caso, trámite de titulación</w:t>
            </w:r>
          </w:p>
        </w:tc>
        <w:tc>
          <w:tcPr>
            <w:tcW w:w="2408" w:type="dxa"/>
          </w:tcPr>
          <w:p>
            <w:pPr>
              <w:pStyle w:val="Compact"/>
              <w:spacing w:before="20" w:after="20"/>
            </w:pPr>
            <w:r>
              <w:rPr>
                <w:sz w:val="17"/>
              </w:rPr>
              <w:t>Consentimiento de la persona titular para la transferencia nominal a LA INSTITUCIÓN</w:t>
            </w:r>
          </w:p>
        </w:tc>
      </w:tr>
      <w:tr>
        <w:tc>
          <w:tcPr>
            <w:tcW w:w="2052" w:type="dxa"/>
          </w:tcPr>
          <w:p>
            <w:pPr>
              <w:pStyle w:val="Compact"/>
              <w:spacing w:before="20" w:after="20"/>
            </w:pPr>
            <w:r>
              <w:rPr>
                <w:sz w:val="17"/>
              </w:rPr>
              <w:t>Personal o estudiantes inscritos y pagados por LA INSTITUCIÓN (solo instituciones particulares o con contrato)</w:t>
            </w:r>
          </w:p>
        </w:tc>
        <w:tc>
          <w:tcPr>
            <w:tcW w:w="1877" w:type="dxa"/>
          </w:tcPr>
          <w:p>
            <w:pPr>
              <w:pStyle w:val="Compact"/>
              <w:spacing w:before="20" w:after="20"/>
            </w:pPr>
            <w:r>
              <w:rPr>
                <w:sz w:val="17"/>
              </w:rPr>
              <w:t>LA EMPRESA como persona encargada</w:t>
            </w:r>
          </w:p>
        </w:tc>
        <w:tc>
          <w:tcPr>
            <w:tcW w:w="1750" w:type="dxa"/>
          </w:tcPr>
          <w:p>
            <w:pPr>
              <w:pStyle w:val="Compact"/>
              <w:spacing w:before="20" w:after="20"/>
            </w:pPr>
            <w:r>
              <w:rPr>
                <w:sz w:val="17"/>
              </w:rPr>
              <w:t>Los que indique LA INSTITUCIÓN</w:t>
            </w:r>
          </w:p>
        </w:tc>
        <w:tc>
          <w:tcPr>
            <w:tcW w:w="1543" w:type="dxa"/>
          </w:tcPr>
          <w:p>
            <w:pPr>
              <w:pStyle w:val="Compact"/>
              <w:spacing w:before="20" w:after="20"/>
            </w:pPr>
            <w:r>
              <w:rPr>
                <w:sz w:val="17"/>
              </w:rPr>
              <w:t>Las que instruya LA INSTITUCIÓN</w:t>
            </w:r>
          </w:p>
        </w:tc>
        <w:tc>
          <w:tcPr>
            <w:tcW w:w="2408" w:type="dxa"/>
          </w:tcPr>
          <w:p>
            <w:pPr>
              <w:pStyle w:val="Compact"/>
              <w:spacing w:before="20" w:after="20"/>
            </w:pPr>
            <w:r>
              <w:rPr>
                <w:sz w:val="17"/>
              </w:rPr>
              <w:t>Instrumento de encargo (cláusula NOVENA.7)</w:t>
            </w:r>
          </w:p>
        </w:tc>
      </w:tr>
    </w:tbl>
    <w:p>
      <w:pPr>
        <w:pStyle w:val="BodyText"/>
      </w:pPr>
    </w:p>
    <w:p>
      <w:pPr>
        <w:pStyle w:val="BodyText"/>
        <w:pBdr>
          <w:bottom w:val="single" w:sz="4" w:space="1" w:color="BFC0C0"/>
        </w:pBdr>
      </w:pPr>
    </w:p>
    <w:p>
      <w:pPr>
        <w:pStyle w:val="Heading2"/>
      </w:pPr>
      <w:r>
        <w:rPr/>
        <w:t>Fuentes consultadas</w:t>
      </w:r>
    </w:p>
    <w:p>
      <w:pPr>
        <w:pStyle w:val="Compact"/>
        <w:numPr>
          <w:ilvl w:val="0"/>
          <w:numId w:val="1008"/>
        </w:numPr>
      </w:pPr>
      <w:r>
        <w:rPr/>
        <w:t xml:space="preserve">Universidad Autónoma de Baja California Sur. </w:t>
      </w:r>
      <w:r>
        <w:rPr>
          <w:i/>
        </w:rPr>
        <w:t>Guía de formas de titulación: Certificación de Competencias Laborales por CONOCER.</w:t>
      </w:r>
      <w:r>
        <w:rPr/>
        <w:t xml:space="preserve"> https://difusion.uabcs.mx/documentos/tramiteTitulacion/licenciatura/GUIA%20FORMAS%20DE%20TITULACION%20Certificaci%C3%B3n%20de%20Competencias%20Laborales%20por%20CONOCER.pdf</w:t>
      </w:r>
    </w:p>
    <w:p>
      <w:pPr>
        <w:pStyle w:val="Compact"/>
        <w:numPr>
          <w:ilvl w:val="0"/>
          <w:numId w:val="1008"/>
        </w:numPr>
      </w:pPr>
      <w:r>
        <w:rPr/>
        <w:t xml:space="preserve">CONALEP. </w:t>
      </w:r>
      <w:r>
        <w:rPr>
          <w:i/>
        </w:rPr>
        <w:t>Manual de evaluación</w:t>
      </w:r>
      <w:r>
        <w:rPr/>
        <w:t xml:space="preserve"> (evaluadores certificados en el EC0076). https://www.conalep.edu.mx/sites/default/files/micrositios/daoce/PDF/Mnual_de_evaluacion.pdf</w:t>
      </w:r>
    </w:p>
    <w:p>
      <w:pPr>
        <w:pStyle w:val="Compact"/>
        <w:numPr>
          <w:ilvl w:val="0"/>
          <w:numId w:val="1008"/>
        </w:numPr>
      </w:pPr>
      <w:r>
        <w:rPr/>
        <w:t>Textos oficiales usados en la revisión jurídica del 9 de octubre de 2026 (</w:t>
      </w:r>
      <w:r>
        <w:rPr>
          <w:rFonts w:ascii="Consolas" w:hAnsi="Consolas"/>
        </w:rPr>
        <w:t>verificacion/REVISION-JURIDICA.md</w:t>
      </w:r>
      <w:r>
        <w:rPr/>
        <w:t>): Constitución Política de los Estados Unidos Mexicanos (art. 3); Ley General de Educación Superior (arts. 6 y 41); Ley de Adquisiciones, Arrendamientos y Servicios del Sector Público (art. 1); Ley General de Responsabilidades Administrativas (arts. 66, 68 y 71); Ley Federal de Protección de Datos Personales en Posesión de los Particulares (arts. 7, 9, 35 y 36); Ley General de Protección de Datos Personales en Posesión de Sujetos Obligados (arts. 7, 14 y 53); Ley Federal del Derecho de Autor (art. 30); Ley Federal del Trabajo (arts. 12 a 15); Acuerdo de la STPS del 14 de junio de 2013 (art. 24).</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Convenio tipo con instituciones educativas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tipo con instituciones educativas</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