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/>
        <w:t>Registro como Estándar de Competencia (EC) o como Estándar de Competencia de Marca (ECM)</w:t>
      </w:r>
    </w:p>
    <w:p>
      <w:pPr>
        <w:pStyle w:val="FirstParagraph"/>
      </w:pPr>
      <w:r>
        <w:rPr>
          <w:b/>
        </w:rPr>
        <w:t>Análisis para la decisión de los socios</w:t>
      </w:r>
    </w:p>
    <w:p>
      <w:pPr>
        <w:pStyle w:val="BodyText"/>
      </w:pPr>
      <w:r>
        <w:rPr/>
        <w:t>Versión 1.0 · Borrador · Octubre de 2026</w:t>
      </w:r>
    </w:p>
    <w:p>
      <w:pPr>
        <w:pStyle w:val="BlockText"/>
      </w:pPr>
      <w:r>
        <w:rPr/>
        <w:t xml:space="preserve">Este análisis usa información pública del CONOCER, en parte de años anteriores. Las reglas sobre quién puede evaluar cada tipo de estándar </w:t>
      </w:r>
      <w:r>
        <w:rPr>
          <w:b/>
        </w:rPr>
        <w:t>no se pudieron confirmar</w:t>
      </w:r>
      <w:r>
        <w:rPr/>
        <w:t xml:space="preserve"> en fuentes oficiales vigentes: deben consultarse con el CONOCER antes de decidir (sección 5).</w:t>
      </w: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1. La pregunta</w:t>
      </w:r>
    </w:p>
    <w:p>
      <w:pPr>
        <w:pStyle w:val="FirstParagraph"/>
      </w:pPr>
      <w:r>
        <w:rPr/>
        <w:t>La empresa quiere que los estándares generen demanda y que su centro de evaluación capture una parte relevante de ella. La forma de registro define quién es dueño del estándar y, probablemente, quién puede evaluar y certificar en él.</w:t>
      </w:r>
    </w:p>
    <w:p>
      <w:pPr>
        <w:pStyle w:val="Heading2"/>
      </w:pPr>
      <w:r>
        <w:rPr/>
        <w:t>2. Lo que se sabe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1410"/>
        <w:gridCol w:w="2782"/>
        <w:gridCol w:w="2870"/>
        <w:gridCol w:w="2568"/>
      </w:tblGrid>
      <w:tr>
        <w:trPr>
          <w:tblHeader w:val="true"/>
          <w:cantSplit/>
        </w:trPr>
        <w:tc>
          <w:tcPr>
            <w:tcW w:w="141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Tema</w:t>
            </w:r>
          </w:p>
        </w:tc>
        <w:tc>
          <w:tcPr>
            <w:tcW w:w="2782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EC</w:t>
            </w:r>
          </w:p>
        </w:tc>
        <w:tc>
          <w:tcPr>
            <w:tcW w:w="287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ECM</w:t>
            </w:r>
          </w:p>
        </w:tc>
        <w:tc>
          <w:tcPr>
            <w:tcW w:w="256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Fuente y grado de certeza</w:t>
            </w:r>
          </w:p>
        </w:tc>
      </w:tr>
      <w:tr>
        <w:tc>
          <w:tcPr>
            <w:tcW w:w="14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Titularidad</w:t>
            </w:r>
          </w:p>
        </w:tc>
        <w:tc>
          <w:tcPr>
            <w:tcW w:w="278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Se inscribe en el RENEC, de consulta pública y gratuita</w:t>
            </w:r>
          </w:p>
        </w:tc>
        <w:tc>
          <w:tcPr>
            <w:tcW w:w="287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También se inscribe en el RENEC, pero la organización que lo desarrolló conserva los derechos de autor y de propiedad industrial o intelectual</w:t>
            </w:r>
          </w:p>
        </w:tc>
        <w:tc>
          <w:tcPr>
            <w:tcW w:w="256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Documento del CONOCER; publicación de años anteriores</w:t>
            </w:r>
          </w:p>
        </w:tc>
      </w:tr>
      <w:tr>
        <w:tc>
          <w:tcPr>
            <w:tcW w:w="14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Quién lo desarrolla</w:t>
            </w:r>
          </w:p>
        </w:tc>
        <w:tc>
          <w:tcPr>
            <w:tcW w:w="278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Un Comité de Gestión por Competencias representativo del sector</w:t>
            </w:r>
          </w:p>
        </w:tc>
        <w:tc>
          <w:tcPr>
            <w:tcW w:w="287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Empresas u organizaciones de amplio prestigio nacional o internacional</w:t>
            </w:r>
          </w:p>
        </w:tc>
        <w:tc>
          <w:tcPr>
            <w:tcW w:w="256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Mismo documento</w:t>
            </w:r>
          </w:p>
        </w:tc>
      </w:tr>
      <w:tr>
        <w:tc>
          <w:tcPr>
            <w:tcW w:w="14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Ejemplos</w:t>
            </w:r>
          </w:p>
        </w:tc>
        <w:tc>
          <w:tcPr>
            <w:tcW w:w="278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EC1705, EC1827 a EC1829</w:t>
            </w:r>
          </w:p>
        </w:tc>
        <w:tc>
          <w:tcPr>
            <w:tcW w:w="287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ECM0054 (tecnología Microsoft para la productividad), ECM0107 (diseño con Adobe Illustrator), ECM0180 (Pearson English), ECM0358 (fundamentos de IA generativa, Microsoft)</w:t>
            </w:r>
          </w:p>
        </w:tc>
        <w:tc>
          <w:tcPr>
            <w:tcW w:w="256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Documento del CONOCER y revisión del RENEC del proyecto</w:t>
            </w:r>
          </w:p>
        </w:tc>
      </w:tr>
      <w:tr>
        <w:tc>
          <w:tcPr>
            <w:tcW w:w="14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Quién evalúa</w:t>
            </w:r>
          </w:p>
        </w:tc>
        <w:tc>
          <w:tcPr>
            <w:tcW w:w="278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Entidades de Certificación y Evaluación (ECE) y Organismos Certificadores (OC) acreditados por el CONOCER. Los Centros de Evaluación y Evaluadores Independientes se autorizan por el sistema del CONOCER, a solicitud de la ECE u OC, si esta tiene acreditado un EC inscrito en el RENEC y cuentan con evaluadores certificados en el EC0076 y en el EC (doble certificación)</w:t>
            </w:r>
          </w:p>
        </w:tc>
        <w:tc>
          <w:tcPr>
            <w:tcW w:w="287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Las ECE y OC solo pueden operarlo si el propietario de la marca o sus licenciatarios las determinan como solución de certificación y así consta en un convenio con el CONOCER; el CONOCER acredita el ECM a las ECE y OC autorizadas por el propietario, y los Centros de Evaluación y Evaluadores Independientes se autorizan según ese convenio</w:t>
            </w:r>
          </w:p>
        </w:tc>
        <w:tc>
          <w:tcPr>
            <w:tcW w:w="256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Manual M-DGAOSU-02, revisión 3.3, octubre de 2016, puntos 4.1.2, 4.2.2, 4.5.1 y 4.6 (verificado el 9 de octubre de 2026; vigencia del manual por confirmar)</w:t>
            </w:r>
          </w:p>
        </w:tc>
      </w:tr>
      <w:tr>
        <w:tc>
          <w:tcPr>
            <w:tcW w:w="14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Uso restringido</w:t>
            </w:r>
          </w:p>
        </w:tc>
        <w:tc>
          <w:tcPr>
            <w:tcW w:w="278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El manual de 2016 menciona los "EC restringidos" (punto 4.7.3) sin definirlos; sus condiciones, y si aplican a EC nuevos, no se pudieron confirmar</w:t>
            </w:r>
          </w:p>
        </w:tc>
        <w:tc>
          <w:tcPr>
            <w:tcW w:w="287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—</w:t>
            </w:r>
          </w:p>
        </w:tc>
        <w:tc>
          <w:tcPr>
            <w:tcW w:w="256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Manual M-DGAOSU-02 (2016); condiciones por confirmar con el CONOCER</w:t>
            </w:r>
          </w:p>
        </w:tc>
      </w:tr>
      <w:tr>
        <w:tc>
          <w:tcPr>
            <w:tcW w:w="14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Certificado</w:t>
            </w:r>
          </w:p>
        </w:tc>
        <w:tc>
          <w:tcPr>
            <w:tcW w:w="278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Lleva los logotipos de la SEP, del CONOCER, de la institución certificadora y de las organizaciones que integran el estándar</w:t>
            </w:r>
          </w:p>
        </w:tc>
        <w:tc>
          <w:tcPr>
            <w:tcW w:w="287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No confirmado</w:t>
            </w:r>
          </w:p>
        </w:tc>
        <w:tc>
          <w:tcPr>
            <w:tcW w:w="256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Documento de años anteriores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3. Comparación para este proyecto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2341"/>
        <w:gridCol w:w="2868"/>
        <w:gridCol w:w="1901"/>
        <w:gridCol w:w="2519"/>
      </w:tblGrid>
      <w:tr>
        <w:trPr>
          <w:tblHeader w:val="true"/>
          <w:cantSplit/>
        </w:trPr>
        <w:tc>
          <w:tcPr>
            <w:tcW w:w="234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Criterio</w:t>
            </w:r>
          </w:p>
        </w:tc>
        <w:tc>
          <w:tcPr>
            <w:tcW w:w="286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EC (público)</w:t>
            </w:r>
          </w:p>
        </w:tc>
        <w:tc>
          <w:tcPr>
            <w:tcW w:w="1901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EC de uso restringido (si existe)</w:t>
            </w:r>
          </w:p>
        </w:tc>
        <w:tc>
          <w:tcPr>
            <w:tcW w:w="251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ECM</w:t>
            </w:r>
          </w:p>
        </w:tc>
      </w:tr>
      <w:tr>
        <w:tc>
          <w:tcPr>
            <w:tcW w:w="2341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Que una dependencia, una NOM, un lineamiento o una universidad pueda exigirlo</w:t>
            </w:r>
          </w:p>
        </w:tc>
        <w:tc>
          <w:tcPr>
            <w:tcW w:w="2868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Fuerte.</w:t>
            </w:r>
            <w:r>
              <w:rPr>
                <w:sz w:val="17"/>
              </w:rPr>
              <w:t xml:space="preserve"> Un estándar público y neutral es más fácil de citar en una norma o en un requisito de egreso (por confirmar con la autoridad competente en cada caso; en instituciones públicas, sin costo obligatorio para el estudiante)</w:t>
            </w:r>
          </w:p>
        </w:tc>
        <w:tc>
          <w:tcPr>
            <w:tcW w:w="190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Media. Puede verse como una restricción a la competencia</w:t>
            </w:r>
          </w:p>
        </w:tc>
        <w:tc>
          <w:tcPr>
            <w:tcW w:w="2519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Débil.</w:t>
            </w:r>
            <w:r>
              <w:rPr>
                <w:sz w:val="17"/>
              </w:rPr>
              <w:t xml:space="preserve"> Citar un estándar propiedad de una empresa en una norma o en un requisito público puede objetarse por falta de neutralidad</w:t>
            </w:r>
          </w:p>
        </w:tc>
      </w:tr>
      <w:tr>
        <w:tc>
          <w:tcPr>
            <w:tcW w:w="234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Control sobre quién evalúa</w:t>
            </w:r>
          </w:p>
        </w:tc>
        <w:tc>
          <w:tcPr>
            <w:tcW w:w="286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Bajo: otros prestadores pueden acreditarse</w:t>
            </w:r>
          </w:p>
        </w:tc>
        <w:tc>
          <w:tcPr>
            <w:tcW w:w="190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Medio a alto (por confirmar)</w:t>
            </w:r>
          </w:p>
        </w:tc>
        <w:tc>
          <w:tcPr>
            <w:tcW w:w="25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Alto (por confirmar)</w:t>
            </w:r>
          </w:p>
        </w:tc>
      </w:tr>
      <w:tr>
        <w:tc>
          <w:tcPr>
            <w:tcW w:w="234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Requisito para registrarlo</w:t>
            </w:r>
          </w:p>
        </w:tc>
        <w:tc>
          <w:tcPr>
            <w:tcW w:w="286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CGC representativo</w:t>
            </w:r>
          </w:p>
        </w:tc>
        <w:tc>
          <w:tcPr>
            <w:tcW w:w="190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CGC y justificación (por confirmar)</w:t>
            </w:r>
          </w:p>
        </w:tc>
        <w:tc>
          <w:tcPr>
            <w:tcW w:w="25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Prestigio nacional o internacional de la organización: la empresa puede no cumplirlo hoy</w:t>
            </w:r>
          </w:p>
        </w:tc>
      </w:tr>
      <w:tr>
        <w:tc>
          <w:tcPr>
            <w:tcW w:w="234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Credibilidad ante universidades y gobierno</w:t>
            </w:r>
          </w:p>
        </w:tc>
        <w:tc>
          <w:tcPr>
            <w:tcW w:w="286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Alta</w:t>
            </w:r>
          </w:p>
        </w:tc>
        <w:tc>
          <w:tcPr>
            <w:tcW w:w="190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Media</w:t>
            </w:r>
          </w:p>
        </w:tc>
        <w:tc>
          <w:tcPr>
            <w:tcW w:w="25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Media: se percibe como certificación de un proveedor</w:t>
            </w:r>
          </w:p>
        </w:tc>
      </w:tr>
      <w:tr>
        <w:tc>
          <w:tcPr>
            <w:tcW w:w="234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Mercado total</w:t>
            </w:r>
          </w:p>
        </w:tc>
        <w:tc>
          <w:tcPr>
            <w:tcW w:w="286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Mayor: más prestadores amplían la demanda</w:t>
            </w:r>
          </w:p>
        </w:tc>
        <w:tc>
          <w:tcPr>
            <w:tcW w:w="190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Menor</w:t>
            </w:r>
          </w:p>
        </w:tc>
        <w:tc>
          <w:tcPr>
            <w:tcW w:w="25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Menor</w:t>
            </w:r>
          </w:p>
        </w:tc>
      </w:tr>
      <w:tr>
        <w:tc>
          <w:tcPr>
            <w:tcW w:w="234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Participación de la empresa en ese mercado</w:t>
            </w:r>
          </w:p>
        </w:tc>
        <w:tc>
          <w:tcPr>
            <w:tcW w:w="286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Depende de llegar primero y de los activos propios (sección 4)</w:t>
            </w:r>
          </w:p>
        </w:tc>
        <w:tc>
          <w:tcPr>
            <w:tcW w:w="190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Mayor</w:t>
            </w:r>
          </w:p>
        </w:tc>
        <w:tc>
          <w:tcPr>
            <w:tcW w:w="25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Mayor</w:t>
            </w:r>
          </w:p>
        </w:tc>
      </w:tr>
      <w:tr>
        <w:tc>
          <w:tcPr>
            <w:tcW w:w="234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Coherencia con la estrategia acordada (no depender de reformas, sino de instrumentos que exijan el estándar)</w:t>
            </w:r>
          </w:p>
        </w:tc>
        <w:tc>
          <w:tcPr>
            <w:tcW w:w="2868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Alta</w:t>
            </w:r>
          </w:p>
        </w:tc>
        <w:tc>
          <w:tcPr>
            <w:tcW w:w="1901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Media</w:t>
            </w:r>
          </w:p>
        </w:tc>
        <w:tc>
          <w:tcPr>
            <w:tcW w:w="251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Baja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4. Cómo capturar valor si el estándar es público</w:t>
      </w:r>
    </w:p>
    <w:p>
      <w:pPr>
        <w:pStyle w:val="FirstParagraph"/>
      </w:pPr>
      <w:r>
        <w:rPr/>
        <w:t>Un EC público no impide que la empresa capture una parte relevante del mercado. Lo que la protege son los activos que construye alrededor:</w:t>
      </w:r>
    </w:p>
    <w:p>
      <w:pPr>
        <w:pStyle w:val="Compact"/>
        <w:numPr>
          <w:ilvl w:val="0"/>
          <w:numId w:val="1006"/>
        </w:numPr>
      </w:pPr>
      <w:r>
        <w:rPr>
          <w:b/>
        </w:rPr>
        <w:t>Autoría y liderazgo del CGC.</w:t>
      </w:r>
      <w:r>
        <w:rPr/>
        <w:t xml:space="preserve"> La empresa y sus aliados aparecen como desarrolladores y, si el formato lo mantiene, en el certificado (por confirmar).</w:t>
      </w:r>
    </w:p>
    <w:p>
      <w:pPr>
        <w:pStyle w:val="Compact"/>
        <w:numPr>
          <w:ilvl w:val="0"/>
          <w:numId w:val="1006"/>
        </w:numPr>
      </w:pPr>
      <w:r>
        <w:rPr>
          <w:b/>
        </w:rPr>
        <w:t>Primera solución de evaluación acreditada.</w:t>
      </w:r>
      <w:r>
        <w:rPr/>
        <w:t xml:space="preserve"> El centro de evaluación de la empresa es el primero en evaluar el día de la publicación, con instrumentos probados en la piloto y evaluadores formados.</w:t>
      </w:r>
    </w:p>
    <w:p>
      <w:pPr>
        <w:pStyle w:val="Compact"/>
        <w:numPr>
          <w:ilvl w:val="0"/>
          <w:numId w:val="1006"/>
        </w:numPr>
      </w:pPr>
      <w:r>
        <w:rPr>
          <w:b/>
        </w:rPr>
        <w:t>Materiales propios.</w:t>
      </w:r>
      <w:r>
        <w:rPr/>
        <w:t xml:space="preserve"> Los cursos, las guías de estudio, los casos de práctica, el diagnóstico y la plantilla de política (documentos 09 a 14) son de la empresa y no forman parte del estándar. Esa titularidad debe asegurarse: con empleados que no firmaron un pacto, la ley presume que los derechos se dividen por partes iguales (Ley Federal del Derecho de Autor, artículo 84); las transmisiones deben constar por escrito (artículo 30); el autor es la persona física (artículo 12), por lo que debe documentarse la autoría y la revisión humana de lo elaborado con apoyo de IA, y los instrumentos y claves se protegen como secreto industrial (Ley Federal de Protección a la Propiedad Industrial, artículo 163). Modelos de cesión en el documento 20.</w:t>
      </w:r>
    </w:p>
    <w:p>
      <w:pPr>
        <w:pStyle w:val="Compact"/>
        <w:numPr>
          <w:ilvl w:val="0"/>
          <w:numId w:val="1006"/>
        </w:numPr>
      </w:pPr>
      <w:r>
        <w:rPr>
          <w:b/>
        </w:rPr>
        <w:t>Convenios con universidades y empresas</w:t>
      </w:r>
      <w:r>
        <w:rPr/>
        <w:t xml:space="preserve"> (documento 15) firmados antes de que lleguen otros prestadores. Los convenios con instituciones públicas no son exclusivos.</w:t>
      </w:r>
    </w:p>
    <w:p>
      <w:pPr>
        <w:pStyle w:val="Compact"/>
        <w:numPr>
          <w:ilvl w:val="0"/>
          <w:numId w:val="1006"/>
        </w:numPr>
      </w:pPr>
      <w:r>
        <w:rPr>
          <w:b/>
        </w:rPr>
        <w:t>Red de sedes.</w:t>
      </w:r>
      <w:r>
        <w:rPr/>
        <w:t xml:space="preserve"> Universidades como sedes de evaluación o, si la empresa es ECE, como Centros de Evaluación de su red (por confirmar).</w:t>
      </w:r>
    </w:p>
    <w:p>
      <w:pPr>
        <w:pStyle w:val="Compact"/>
        <w:numPr>
          <w:ilvl w:val="0"/>
          <w:numId w:val="1006"/>
        </w:numPr>
      </w:pPr>
      <w:r>
        <w:rPr>
          <w:b/>
        </w:rPr>
        <w:t>Formación de evaluadores e instructores.</w:t>
      </w:r>
      <w:r>
        <w:rPr/>
        <w:t xml:space="preserve"> Ser la referencia para certificar a quienes evaluarán e impartirán los cursos.</w:t>
      </w:r>
    </w:p>
    <w:p>
      <w:pPr>
        <w:pStyle w:val="Compact"/>
        <w:numPr>
          <w:ilvl w:val="0"/>
          <w:numId w:val="1006"/>
        </w:numPr>
      </w:pPr>
      <w:r>
        <w:rPr>
          <w:b/>
        </w:rPr>
        <w:t>Consultoría.</w:t>
      </w:r>
      <w:r>
        <w:rPr/>
        <w:t xml:space="preserve"> El EC-B se vende junto con el diagnóstico y la implementación de controles.</w:t>
      </w:r>
    </w:p>
    <w:p>
      <w:pPr>
        <w:pStyle w:val="Heading2"/>
      </w:pPr>
      <w:r>
        <w:rPr/>
        <w:t>5. Preguntas para el CONOCER</w:t>
      </w:r>
    </w:p>
    <w:p>
      <w:pPr>
        <w:pStyle w:val="Compact"/>
        <w:numPr>
          <w:ilvl w:val="0"/>
          <w:numId w:val="1007"/>
        </w:numPr>
      </w:pPr>
      <w:r>
        <w:rPr/>
        <w:t>¿Qué diferencia práctica hay hoy entre un EC y un ECM en cuanto a quién puede acreditarse para evaluar y certificar?</w:t>
      </w:r>
    </w:p>
    <w:p>
      <w:pPr>
        <w:pStyle w:val="Compact"/>
        <w:numPr>
          <w:ilvl w:val="0"/>
          <w:numId w:val="1007"/>
        </w:numPr>
      </w:pPr>
      <w:r>
        <w:rPr/>
        <w:t>¿Puede una empresa como la nuestra registrar un ECM? ¿Qué requisitos de prestigio o de trayectoria se piden?</w:t>
      </w:r>
    </w:p>
    <w:p>
      <w:pPr>
        <w:pStyle w:val="Compact"/>
        <w:numPr>
          <w:ilvl w:val="0"/>
          <w:numId w:val="1007"/>
        </w:numPr>
      </w:pPr>
      <w:r>
        <w:rPr/>
        <w:t>¿Existe vigente la categoría de estándares de uso restringido? ¿Con qué condiciones?</w:t>
      </w:r>
    </w:p>
    <w:p>
      <w:pPr>
        <w:pStyle w:val="Compact"/>
        <w:numPr>
          <w:ilvl w:val="0"/>
          <w:numId w:val="1007"/>
        </w:numPr>
      </w:pPr>
      <w:r>
        <w:rPr/>
        <w:t>¿El CGC o la organización desarrolladora tiene alguna prioridad o derecho sobre la acreditación de prestadores en el estándar que desarrolló?</w:t>
      </w:r>
    </w:p>
    <w:p>
      <w:pPr>
        <w:pStyle w:val="Compact"/>
        <w:numPr>
          <w:ilvl w:val="0"/>
          <w:numId w:val="1007"/>
        </w:numPr>
      </w:pPr>
      <w:r>
        <w:rPr/>
        <w:t>¿Qué logotipos lleva hoy el certificado de un EC y de un ECM?</w:t>
      </w:r>
    </w:p>
    <w:p>
      <w:pPr>
        <w:pStyle w:val="Compact"/>
        <w:numPr>
          <w:ilvl w:val="0"/>
          <w:numId w:val="1007"/>
        </w:numPr>
      </w:pPr>
      <w:r>
        <w:rPr/>
        <w:t>¿Una dependencia o una NOM puede referirse a un ECM como requisito?</w:t>
      </w:r>
    </w:p>
    <w:p>
      <w:pPr>
        <w:pStyle w:val="Compact"/>
        <w:numPr>
          <w:ilvl w:val="0"/>
          <w:numId w:val="1007"/>
        </w:numPr>
      </w:pPr>
      <w:r>
        <w:rPr/>
        <w:t>¿Cuánto tarda la acreditación de un prestador en un estándar recién publicado?</w:t>
      </w:r>
    </w:p>
    <w:p>
      <w:pPr>
        <w:pStyle w:val="Heading2"/>
      </w:pPr>
      <w:r>
        <w:rPr/>
        <w:t>6. Recomendación preliminar</w:t>
      </w:r>
    </w:p>
    <w:p>
      <w:pPr>
        <w:pStyle w:val="FirstParagraph"/>
      </w:pPr>
      <w:r>
        <w:rPr>
          <w:b/>
        </w:rPr>
        <w:t>Registrar el EC-A y el EC-B como estándares públicos (EC)</w:t>
      </w:r>
      <w:r>
        <w:rPr/>
        <w:t>, por tres razones:</w:t>
      </w:r>
    </w:p>
    <w:p>
      <w:pPr>
        <w:pStyle w:val="Compact"/>
        <w:numPr>
          <w:ilvl w:val="0"/>
          <w:numId w:val="1008"/>
        </w:numPr>
      </w:pPr>
      <w:r>
        <w:rPr/>
        <w:t xml:space="preserve">La estrategia del proyecto depende de que dependencias, universidades y empresas </w:t>
      </w:r>
      <w:r>
        <w:rPr>
          <w:b/>
        </w:rPr>
        <w:t>exijan</w:t>
      </w:r>
      <w:r>
        <w:rPr/>
        <w:t xml:space="preserve"> el estándar; un estándar público y neutral es mucho más fácil de exigir.</w:t>
      </w:r>
    </w:p>
    <w:p>
      <w:pPr>
        <w:pStyle w:val="Compact"/>
        <w:numPr>
          <w:ilvl w:val="0"/>
          <w:numId w:val="1008"/>
        </w:numPr>
      </w:pPr>
      <w:r>
        <w:rPr/>
        <w:t>Es probable que la empresa no cumpla hoy el requisito de prestigio de un ECM.</w:t>
      </w:r>
    </w:p>
    <w:p>
      <w:pPr>
        <w:pStyle w:val="Compact"/>
        <w:numPr>
          <w:ilvl w:val="0"/>
          <w:numId w:val="1008"/>
        </w:numPr>
      </w:pPr>
      <w:r>
        <w:rPr/>
        <w:t>El valor se protege con los activos de la sección 4, que no dependen del tipo de registro.</w:t>
      </w:r>
    </w:p>
    <w:p>
      <w:pPr>
        <w:pStyle w:val="BodyText"/>
      </w:pPr>
      <w:r>
        <w:rPr/>
        <w:t xml:space="preserve">Esta recomendación cambia si el CONOCER confirma que existe un </w:t>
      </w:r>
      <w:r>
        <w:rPr>
          <w:b/>
        </w:rPr>
        <w:t>EC de uso restringido</w:t>
      </w:r>
      <w:r>
        <w:rPr/>
        <w:t xml:space="preserve"> con condiciones razonables, o que la organización desarrolladora tiene prioridad en la acreditación. En ese caso, valorar esa opción para el </w:t>
      </w:r>
      <w:r>
        <w:rPr>
          <w:b/>
        </w:rPr>
        <w:t>EC-B</w:t>
      </w:r>
      <w:r>
        <w:rPr/>
        <w:t xml:space="preserve">, cuyo mercado es más de consultoría, y mantener el </w:t>
      </w:r>
      <w:r>
        <w:rPr>
          <w:b/>
        </w:rPr>
        <w:t>EC-A</w:t>
      </w:r>
      <w:r>
        <w:rPr/>
        <w:t xml:space="preserve"> como público, porque es el de mayor volumen y el que más necesita que dependencias, universidades y empresas lo exijan.</w:t>
      </w:r>
    </w:p>
    <w:p>
      <w:pPr>
        <w:pStyle w:val="Heading2"/>
      </w:pPr>
      <w:r>
        <w:rPr/>
        <w:t>Fuentes consultadas</w:t>
      </w:r>
    </w:p>
    <w:p>
      <w:pPr>
        <w:pStyle w:val="Compact"/>
        <w:numPr>
          <w:ilvl w:val="0"/>
          <w:numId w:val="1005"/>
        </w:numPr>
      </w:pPr>
      <w:r>
        <w:rPr/>
        <w:t>CONOCER. Documento de transparencia sobre el Sistema Nacional de Competencias y los estándares de marca. https://web.archive.org/web/2026id_/https://www.conocer.gob.mx/contenido/seccionesExtras/transparencia/pdfs/55.pdf</w:t>
      </w:r>
    </w:p>
    <w:p>
      <w:pPr>
        <w:pStyle w:val="Compact"/>
        <w:numPr>
          <w:ilvl w:val="0"/>
          <w:numId w:val="1005"/>
        </w:numPr>
      </w:pPr>
      <w:r>
        <w:rPr/>
        <w:t xml:space="preserve">OIT/Cinterfor. </w:t>
      </w:r>
      <w:r>
        <w:rPr>
          <w:i/>
        </w:rPr>
        <w:t>Normalización: catálogo de competencias laborales, estructura y organización</w:t>
      </w:r>
      <w:r>
        <w:rPr/>
        <w:t xml:space="preserve"> (CONOCER). https://www.oitcinterfor.org/sites/default/files/file_evento/pacifico_certifica/normalizacion_conocer.pdf</w:t>
      </w:r>
    </w:p>
    <w:p>
      <w:pPr>
        <w:pStyle w:val="Compact"/>
        <w:numPr>
          <w:ilvl w:val="0"/>
          <w:numId w:val="1005"/>
        </w:numPr>
      </w:pPr>
      <w:r>
        <w:rPr/>
        <w:t>Manual de operación del CONOCER (copia publicada por ICATQR, 2018). https://icatqr.qroo.gob.mx/icatqr/wp-content/uploads/2024/08/21-Manual-Actual_2018-CONOCER.pdf</w:t>
      </w:r>
    </w:p>
    <w:p>
      <w:pPr>
        <w:pStyle w:val="Compact"/>
        <w:numPr>
          <w:ilvl w:val="0"/>
          <w:numId w:val="1005"/>
        </w:numPr>
      </w:pPr>
      <w:r>
        <w:rPr/>
        <w:t xml:space="preserve">CONALEP. </w:t>
      </w:r>
      <w:r>
        <w:rPr>
          <w:i/>
        </w:rPr>
        <w:t>Manual de evaluación.</w:t>
      </w:r>
      <w:r>
        <w:rPr/>
        <w:t xml:space="preserve"> https://www.conalep.edu.mx/sites/default/files/micrositios/daoce/PDF/Mnual_de_evaluacion.pdf</w:t>
      </w:r>
    </w:p>
    <w:p>
      <w:pPr>
        <w:pStyle w:val="Compact"/>
        <w:numPr>
          <w:ilvl w:val="0"/>
          <w:numId w:val="1005"/>
        </w:numPr>
      </w:pPr>
      <w:r>
        <w:rPr/>
        <w:t>Catálogo no oficial de estándares de competencia. https://estandarescompetencia.org/</w:t>
      </w:r>
    </w:p>
    <w:sectPr>
      <w:footerReference w:type="default" r:id="rId9"/>
      <w:pgSz w:w="12240" w:h="15840"/>
      <w:pgMar w:top="1304" w:left="1304" w:right="1304" w:bottom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sz w:val="16"/>
      </w:rPr>
      <w:t xml:space="preserve">Decisión EC o ECM · 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como Estándar de Competencia (EC) o como Estándar de Competencia de Marca (ECM)</dc:title>
  <dc:creator>Proyecto Estándares de Competencia en IA</dc:creator>
  <cp:keywords/>
  <dcterms:created xsi:type="dcterms:W3CDTF">2026-10-09T15:04:47Z</dcterms:created>
  <dcterms:modified xsi:type="dcterms:W3CDTF">2026-10-09T15:04:47Z</dcterms:modified>
  <dc:description>Generado desde Markdown el 9 de octubre de 2026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