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/>
        <w:t>Mapa funcional – Familia de Estándares de Competencia en IA</w:t>
      </w:r>
    </w:p>
    <w:p>
      <w:pPr>
        <w:pStyle w:val="FirstParagraph"/>
      </w:pPr>
      <w:r>
        <w:rPr>
          <w:b/>
        </w:rPr>
        <w:t>Documento de soporte (no se publica en el DOF)</w:t>
      </w:r>
      <w:r>
        <w:rPr/>
        <w:t xml:space="preserve"> · Versión 1.0 · Octubre de 2026</w:t>
      </w:r>
    </w:p>
    <w:p>
      <w:pPr>
        <w:pStyle w:val="BodyText"/>
      </w:pPr>
      <w:r>
        <w:rPr/>
        <w:t xml:space="preserve">El mapa funcional parte del </w:t>
      </w:r>
      <w:r>
        <w:rPr>
          <w:b/>
        </w:rPr>
        <w:t>propósito principal</w:t>
      </w:r>
      <w:r>
        <w:rPr/>
        <w:t xml:space="preserve"> de la actividad, lo desagrega en </w:t>
      </w:r>
      <w:r>
        <w:rPr>
          <w:b/>
        </w:rPr>
        <w:t>funciones clave</w:t>
      </w:r>
      <w:r>
        <w:rPr/>
        <w:t xml:space="preserve"> y éstas en </w:t>
      </w:r>
      <w:r>
        <w:rPr>
          <w:b/>
        </w:rPr>
        <w:t>funciones individualizadas</w:t>
      </w:r>
      <w:r>
        <w:rPr/>
        <w:t xml:space="preserve">. Cada función individualizada se convierte en un </w:t>
      </w:r>
      <w:r>
        <w:rPr>
          <w:b/>
        </w:rPr>
        <w:t>Elemento</w:t>
      </w:r>
      <w:r>
        <w:rPr/>
        <w:t xml:space="preserve"> de un Estándar de Competencia (EC).</w:t>
      </w:r>
    </w:p>
    <w:p>
      <w:pPr>
        <w:pStyle w:val="BodyText"/>
      </w:pPr>
      <w:r>
        <w:rPr/>
        <w:t>Reglas de redacción aplicadas:</w:t>
      </w:r>
    </w:p>
    <w:p>
      <w:pPr>
        <w:pStyle w:val="Compact"/>
        <w:numPr>
          <w:ilvl w:val="0"/>
          <w:numId w:val="1002"/>
        </w:numPr>
      </w:pPr>
      <w:r>
        <w:rPr/>
        <w:t xml:space="preserve">Cada función se redacta con </w:t>
      </w:r>
      <w:r>
        <w:rPr>
          <w:b/>
        </w:rPr>
        <w:t>verbo en infinitivo + objeto + condición</w:t>
      </w:r>
      <w:r>
        <w:rPr/>
        <w:t>.</w:t>
      </w:r>
    </w:p>
    <w:p>
      <w:pPr>
        <w:pStyle w:val="Compact"/>
        <w:numPr>
          <w:ilvl w:val="0"/>
          <w:numId w:val="1002"/>
        </w:numPr>
      </w:pPr>
      <w:r>
        <w:rPr/>
        <w:t xml:space="preserve">Cada función individualizada la realiza y la demuestra </w:t>
      </w:r>
      <w:r>
        <w:rPr>
          <w:b/>
        </w:rPr>
        <w:t>una sola persona</w:t>
      </w:r>
      <w:r>
        <w:rPr/>
        <w:t>.</w:t>
      </w:r>
    </w:p>
    <w:p>
      <w:pPr>
        <w:pStyle w:val="Compact"/>
        <w:numPr>
          <w:ilvl w:val="0"/>
          <w:numId w:val="1002"/>
        </w:numPr>
      </w:pPr>
      <w:r>
        <w:rPr/>
        <w:t xml:space="preserve">Las funciones describen </w:t>
      </w:r>
      <w:r>
        <w:rPr>
          <w:b/>
        </w:rPr>
        <w:t>resultados de trabajo</w:t>
      </w:r>
      <w:r>
        <w:rPr/>
        <w:t>, no temas de estudio.</w:t>
      </w:r>
    </w:p>
    <w:p>
      <w:pPr>
        <w:pStyle w:val="BodyText"/>
        <w:pBdr>
          <w:bottom w:val="single" w:sz="4" w:space="1" w:color="BFC0C0"/>
        </w:pBdr>
      </w:pPr>
    </w:p>
    <w:p>
      <w:pPr>
        <w:pStyle w:val="Heading2"/>
      </w:pPr>
      <w:r>
        <w:rPr/>
        <w:t>Propósito principal</w:t>
      </w:r>
    </w:p>
    <w:p>
      <w:pPr>
        <w:pStyle w:val="FirstParagraph"/>
      </w:pPr>
      <w:r>
        <w:rPr>
          <w:b/>
        </w:rPr>
        <w:t>Utilizar y gestionar los sistemas de inteligencia artificial en las organizaciones de forma segura, responsable y conforme a la normatividad aplicable en materia de protección de la información.</w:t>
      </w:r>
    </w:p>
    <w:p>
      <w:pPr>
        <w:pStyle w:val="BodyText"/>
        <w:pBdr>
          <w:bottom w:val="single" w:sz="4" w:space="1" w:color="BFC0C0"/>
        </w:pBdr>
      </w:pPr>
    </w:p>
    <w:p>
      <w:pPr>
        <w:pStyle w:val="Heading2"/>
      </w:pPr>
      <w:r>
        <w:rPr/>
        <w:t>Función clave A → EC-A</w:t>
      </w:r>
    </w:p>
    <w:p>
      <w:pPr>
        <w:pStyle w:val="FirstParagraph"/>
      </w:pPr>
      <w:r>
        <w:rPr>
          <w:b/>
        </w:rPr>
        <w:t>Proteger la información y verificar los resultados en el uso de herramientas de inteligencia artificial generativa.</w:t>
      </w:r>
    </w:p>
    <w:p>
      <w:pPr>
        <w:pStyle w:val="BodyText"/>
      </w:pPr>
      <w:r>
        <w:rPr/>
        <w:t xml:space="preserve">EC-A · </w:t>
      </w:r>
      <w:r>
        <w:rPr>
          <w:i/>
        </w:rPr>
        <w:t>Protección de la información y verificación de resultados en el uso de herramientas de inteligencia artificial generativa</w:t>
      </w:r>
      <w:r>
        <w:rPr/>
        <w:t xml:space="preserve"> · Nivel propuesto: Dos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882"/>
        <w:gridCol w:w="8749"/>
      </w:tblGrid>
      <w:tr>
        <w:trPr>
          <w:tblHeader w:val="true"/>
          <w:cantSplit/>
        </w:trPr>
        <w:tc>
          <w:tcPr>
            <w:tcW w:w="882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Elemento</w:t>
            </w:r>
          </w:p>
        </w:tc>
        <w:tc>
          <w:tcPr>
            <w:tcW w:w="8749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Función individualizada</w:t>
            </w:r>
          </w:p>
        </w:tc>
      </w:tr>
      <w:tr>
        <w:tc>
          <w:tcPr>
            <w:tcW w:w="88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 de 3</w:t>
            </w:r>
          </w:p>
        </w:tc>
        <w:tc>
          <w:tcPr>
            <w:tcW w:w="874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Preparar la información para su uso en herramientas de inteligencia artificial generativa</w:t>
            </w:r>
          </w:p>
        </w:tc>
      </w:tr>
      <w:tr>
        <w:tc>
          <w:tcPr>
            <w:tcW w:w="88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2 de 3</w:t>
            </w:r>
          </w:p>
        </w:tc>
        <w:tc>
          <w:tcPr>
            <w:tcW w:w="874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Verificar los productos de trabajo elaborados con herramientas de inteligencia artificial generativa</w:t>
            </w:r>
          </w:p>
        </w:tc>
      </w:tr>
      <w:tr>
        <w:tc>
          <w:tcPr>
            <w:tcW w:w="88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3 de 3</w:t>
            </w:r>
          </w:p>
        </w:tc>
        <w:tc>
          <w:tcPr>
            <w:tcW w:w="8749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Atender los incidentes relacionados con el uso de inteligencia artificial generativa</w:t>
            </w:r>
          </w:p>
        </w:tc>
      </w:tr>
    </w:tbl>
    <w:p>
      <w:pPr>
        <w:pStyle w:val="BodyText"/>
      </w:pPr>
    </w:p>
    <w:p>
      <w:pPr>
        <w:pStyle w:val="Heading2"/>
      </w:pPr>
      <w:r>
        <w:rPr/>
        <w:t>Función clave B → EC-B</w:t>
      </w:r>
    </w:p>
    <w:p>
      <w:pPr>
        <w:pStyle w:val="FirstParagraph"/>
      </w:pPr>
      <w:r>
        <w:rPr>
          <w:b/>
        </w:rPr>
        <w:t>Gestionar los riesgos y controles del uso de sistemas de inteligencia artificial en la organización.</w:t>
      </w:r>
    </w:p>
    <w:p>
      <w:pPr>
        <w:pStyle w:val="BodyText"/>
      </w:pPr>
      <w:r>
        <w:rPr/>
        <w:t xml:space="preserve">EC-B · </w:t>
      </w:r>
      <w:r>
        <w:rPr>
          <w:i/>
        </w:rPr>
        <w:t>Gestión de riesgos y controles en el uso de sistemas de inteligencia artificial en la organización</w:t>
      </w:r>
      <w:r>
        <w:rPr/>
        <w:t xml:space="preserve"> · Nivel propuesto: Cuatro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884"/>
        <w:gridCol w:w="8747"/>
      </w:tblGrid>
      <w:tr>
        <w:trPr>
          <w:tblHeader w:val="true"/>
          <w:cantSplit/>
        </w:trPr>
        <w:tc>
          <w:tcPr>
            <w:tcW w:w="884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Elemento</w:t>
            </w:r>
          </w:p>
        </w:tc>
        <w:tc>
          <w:tcPr>
            <w:tcW w:w="8747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Función individualizada</w:t>
            </w:r>
          </w:p>
        </w:tc>
      </w:tr>
      <w:tr>
        <w:tc>
          <w:tcPr>
            <w:tcW w:w="884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1 de 4</w:t>
            </w:r>
          </w:p>
        </w:tc>
        <w:tc>
          <w:tcPr>
            <w:tcW w:w="874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Integrar el inventario de sistemas de inteligencia artificial de la organización</w:t>
            </w:r>
          </w:p>
        </w:tc>
      </w:tr>
      <w:tr>
        <w:tc>
          <w:tcPr>
            <w:tcW w:w="884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2 de 4</w:t>
            </w:r>
          </w:p>
        </w:tc>
        <w:tc>
          <w:tcPr>
            <w:tcW w:w="874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Evaluar los riesgos de los usos de inteligencia artificial de la organización</w:t>
            </w:r>
          </w:p>
        </w:tc>
      </w:tr>
      <w:tr>
        <w:tc>
          <w:tcPr>
            <w:tcW w:w="884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3 de 4</w:t>
            </w:r>
          </w:p>
        </w:tc>
        <w:tc>
          <w:tcPr>
            <w:tcW w:w="874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Establecer la política de uso y los controles de inteligencia artificial</w:t>
            </w:r>
          </w:p>
        </w:tc>
      </w:tr>
      <w:tr>
        <w:tc>
          <w:tcPr>
            <w:tcW w:w="884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4 de 4</w:t>
            </w:r>
          </w:p>
        </w:tc>
        <w:tc>
          <w:tcPr>
            <w:tcW w:w="8747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Supervisar el cumplimiento de los controles y gestionar los incidentes de inteligencia artificial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b/>
        </w:rPr>
        <w:t>Vínculo entre ambas funciones clave:</w:t>
      </w:r>
      <w:r>
        <w:rPr/>
        <w:t xml:space="preserve"> el EC-B establece la política, los controles y el programa de capacitación (Elemento 3 de 4); el EC-A acredita que el personal los aplica.</w:t>
      </w:r>
    </w:p>
    <w:p>
      <w:pPr>
        <w:pStyle w:val="BodyText"/>
        <w:pBdr>
          <w:bottom w:val="single" w:sz="4" w:space="1" w:color="BFC0C0"/>
        </w:pBdr>
      </w:pPr>
    </w:p>
    <w:p>
      <w:pPr>
        <w:pStyle w:val="Heading2"/>
      </w:pPr>
      <w:r>
        <w:rPr/>
        <w:t>Correspondencia con referentes internacionales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2998"/>
        <w:gridCol w:w="2423"/>
        <w:gridCol w:w="4210"/>
      </w:tblGrid>
      <w:tr>
        <w:trPr>
          <w:tblHeader w:val="true"/>
          <w:cantSplit/>
        </w:trPr>
        <w:tc>
          <w:tcPr>
            <w:tcW w:w="2998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Elemento</w:t>
            </w:r>
          </w:p>
        </w:tc>
        <w:tc>
          <w:tcPr>
            <w:tcW w:w="2423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NIST AI RMF</w:t>
            </w:r>
          </w:p>
        </w:tc>
        <w:tc>
          <w:tcPr>
            <w:tcW w:w="4210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ISO/IEC 42001:2023</w:t>
            </w:r>
          </w:p>
        </w:tc>
      </w:tr>
      <w:tr>
        <w:tc>
          <w:tcPr>
            <w:tcW w:w="299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EC-A · 1 de 3 Preparar la información</w:t>
            </w:r>
          </w:p>
        </w:tc>
        <w:tc>
          <w:tcPr>
            <w:tcW w:w="242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Gestionar (uso conforme a la política)</w:t>
            </w:r>
          </w:p>
        </w:tc>
        <w:tc>
          <w:tcPr>
            <w:tcW w:w="421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Toma de conciencia (7.3)</w:t>
            </w:r>
          </w:p>
        </w:tc>
      </w:tr>
      <w:tr>
        <w:tc>
          <w:tcPr>
            <w:tcW w:w="299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EC-A · 2 de 3 Verificar los productos</w:t>
            </w:r>
          </w:p>
        </w:tc>
        <w:tc>
          <w:tcPr>
            <w:tcW w:w="242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Medir (exactitud y sesgo)</w:t>
            </w:r>
          </w:p>
        </w:tc>
        <w:tc>
          <w:tcPr>
            <w:tcW w:w="421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Toma de conciencia (7.3)</w:t>
            </w:r>
          </w:p>
        </w:tc>
      </w:tr>
      <w:tr>
        <w:tc>
          <w:tcPr>
            <w:tcW w:w="299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EC-A · 3 de 3 Atender incidentes</w:t>
            </w:r>
          </w:p>
        </w:tc>
        <w:tc>
          <w:tcPr>
            <w:tcW w:w="242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Gestionar (respuesta a incidentes)</w:t>
            </w:r>
          </w:p>
        </w:tc>
        <w:tc>
          <w:tcPr>
            <w:tcW w:w="421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Toma de conciencia (7.3)</w:t>
            </w:r>
          </w:p>
        </w:tc>
      </w:tr>
      <w:tr>
        <w:tc>
          <w:tcPr>
            <w:tcW w:w="299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EC-B · 1 de 4 Integrar el inventario</w:t>
            </w:r>
          </w:p>
        </w:tc>
        <w:tc>
          <w:tcPr>
            <w:tcW w:w="242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Mapear</w:t>
            </w:r>
          </w:p>
        </w:tc>
        <w:tc>
          <w:tcPr>
            <w:tcW w:w="421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Contexto y alcance (4)</w:t>
            </w:r>
          </w:p>
        </w:tc>
      </w:tr>
      <w:tr>
        <w:tc>
          <w:tcPr>
            <w:tcW w:w="299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EC-B · 2 de 4 Evaluar los riesgos</w:t>
            </w:r>
          </w:p>
        </w:tc>
        <w:tc>
          <w:tcPr>
            <w:tcW w:w="242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Mapear y medir</w:t>
            </w:r>
          </w:p>
        </w:tc>
        <w:tc>
          <w:tcPr>
            <w:tcW w:w="421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Evaluación de riesgos y de impacto (6.1 y 8)</w:t>
            </w:r>
          </w:p>
        </w:tc>
      </w:tr>
      <w:tr>
        <w:tc>
          <w:tcPr>
            <w:tcW w:w="299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EC-B · 3 de 4 Establecer política y controles</w:t>
            </w:r>
          </w:p>
        </w:tc>
        <w:tc>
          <w:tcPr>
            <w:tcW w:w="242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Gobernar y gestionar</w:t>
            </w:r>
          </w:p>
        </w:tc>
        <w:tc>
          <w:tcPr>
            <w:tcW w:w="421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Política de IA (5.2); competencia y toma de conciencia (7.2 y 7.3)</w:t>
            </w:r>
          </w:p>
        </w:tc>
      </w:tr>
      <w:tr>
        <w:tc>
          <w:tcPr>
            <w:tcW w:w="2998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EC-B · 4 de 4 Supervisar y gestionar incidentes</w:t>
            </w:r>
          </w:p>
        </w:tc>
        <w:tc>
          <w:tcPr>
            <w:tcW w:w="242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Gestionar</w:t>
            </w:r>
          </w:p>
        </w:tc>
        <w:tc>
          <w:tcPr>
            <w:tcW w:w="4210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Evaluación del desempeño (9) y mejora (10)</w:t>
            </w:r>
          </w:p>
        </w:tc>
      </w:tr>
    </w:tbl>
    <w:p>
      <w:pPr>
        <w:pStyle w:val="BodyText"/>
      </w:pPr>
    </w:p>
    <w:p>
      <w:pPr>
        <w:pStyle w:val="BodyText"/>
      </w:pPr>
      <w:r>
        <w:rPr/>
        <w:t>Referente adicional: el artículo 4 del Reglamento (UE) 2024/1689 (alfabetización en IA), modificado en julio de 2026 por el Reglamento (UE) 2026/1744, que mantiene la obligación de tomar medidas sin exigir un nivel específico. El EC-A puede servir como evidencia de esas medidas.</w:t>
      </w:r>
    </w:p>
    <w:p>
      <w:pPr>
        <w:pStyle w:val="BodyText"/>
        <w:pBdr>
          <w:bottom w:val="single" w:sz="4" w:space="1" w:color="BFC0C0"/>
        </w:pBdr>
      </w:pPr>
    </w:p>
    <w:p>
      <w:pPr>
        <w:pStyle w:val="Heading2"/>
      </w:pPr>
      <w:r>
        <w:rPr/>
        <w:t>Delimitación frente a estándares existentes en el RENEC</w:t>
      </w:r>
    </w:p>
    <w:p>
      <w:pPr>
        <w:pStyle w:val="FirstParagraph"/>
      </w:pPr>
      <w:r>
        <w:rPr/>
        <w:t>Revisión de octubre de 2026.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844"/>
        <w:gridCol w:w="4393"/>
        <w:gridCol w:w="4393"/>
      </w:tblGrid>
      <w:tr>
        <w:trPr>
          <w:tblHeader w:val="true"/>
          <w:cantSplit/>
        </w:trPr>
        <w:tc>
          <w:tcPr>
            <w:tcW w:w="844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EC</w:t>
            </w:r>
          </w:p>
        </w:tc>
        <w:tc>
          <w:tcPr>
            <w:tcW w:w="4393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Título</w:t>
            </w:r>
          </w:p>
        </w:tc>
        <w:tc>
          <w:tcPr>
            <w:tcW w:w="4393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Relación con esta familia</w:t>
            </w:r>
          </w:p>
        </w:tc>
      </w:tr>
      <w:tr>
        <w:tc>
          <w:tcPr>
            <w:tcW w:w="844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EC1705</w:t>
            </w:r>
          </w:p>
        </w:tc>
        <w:tc>
          <w:tcPr>
            <w:tcW w:w="43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Uso básico de herramientas de inteligencia artificial generativa para la creación de contenido digital</w:t>
            </w:r>
          </w:p>
        </w:tc>
        <w:tc>
          <w:tcPr>
            <w:tcW w:w="4393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Complementario.</w:t>
            </w:r>
            <w:r>
              <w:rPr>
                <w:sz w:val="17"/>
              </w:rPr>
              <w:t xml:space="preserve"> Evalúa la creación de contenido con IA; su Elemento 3 de 3 ("Aplicar principios de uso responsable y seguro de la inteligencia artificial generativa") aplica principios de transparencia, veracidad, privacidad y propiedad intelectual durante esa creación. El EC-A evalúa un procedimiento con registros que aquel no exige: clasificar y depurar la información conforme al esquema de la organización, contrastar cada dato con una fuente verificable, y reportar incidentes y suplantaciones conforme al protocolo.</w:t>
            </w:r>
          </w:p>
        </w:tc>
      </w:tr>
      <w:tr>
        <w:tc>
          <w:tcPr>
            <w:tcW w:w="844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ECM0358</w:t>
            </w:r>
          </w:p>
        </w:tc>
        <w:tc>
          <w:tcPr>
            <w:tcW w:w="43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Fundamentos de IA generativa por Microsoft (estándar de marca)</w:t>
            </w:r>
          </w:p>
        </w:tc>
        <w:tc>
          <w:tcPr>
            <w:tcW w:w="43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Ligado a un proveedor; la familia es neutral respecto de la tecnología.</w:t>
            </w:r>
          </w:p>
        </w:tc>
      </w:tr>
      <w:tr>
        <w:tc>
          <w:tcPr>
            <w:tcW w:w="844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EC1691</w:t>
            </w:r>
          </w:p>
        </w:tc>
        <w:tc>
          <w:tcPr>
            <w:tcW w:w="43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Elaboración de materiales educativos con apoyo de IA generativa</w:t>
            </w:r>
          </w:p>
        </w:tc>
        <w:tc>
          <w:tcPr>
            <w:tcW w:w="43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Distinto ámbito (docencia). Sin traslape.</w:t>
            </w:r>
          </w:p>
        </w:tc>
      </w:tr>
      <w:tr>
        <w:tc>
          <w:tcPr>
            <w:tcW w:w="844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EC1657</w:t>
            </w:r>
          </w:p>
        </w:tc>
        <w:tc>
          <w:tcPr>
            <w:tcW w:w="43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Integración de arquitectura y herramientas de IA generativa en la cadena de suministro</w:t>
            </w:r>
          </w:p>
        </w:tc>
        <w:tc>
          <w:tcPr>
            <w:tcW w:w="43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Distinto ámbito (implementación técnica). Sin traslape.</w:t>
            </w:r>
          </w:p>
        </w:tc>
      </w:tr>
      <w:tr>
        <w:tc>
          <w:tcPr>
            <w:tcW w:w="844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EC1771</w:t>
            </w:r>
          </w:p>
        </w:tc>
        <w:tc>
          <w:tcPr>
            <w:tcW w:w="43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Gestión de prácticas seguras y cultura de ciberseguridad en el entorno laboral (2026)</w:t>
            </w:r>
          </w:p>
        </w:tc>
        <w:tc>
          <w:tcPr>
            <w:tcW w:w="43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Relacionado por tema (seguridad de la información en el trabajo). Su texto no pudo consultarse; comparar antes de presentar.</w:t>
            </w:r>
          </w:p>
        </w:tc>
      </w:tr>
      <w:tr>
        <w:tc>
          <w:tcPr>
            <w:tcW w:w="844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EC1801</w:t>
            </w:r>
          </w:p>
        </w:tc>
        <w:tc>
          <w:tcPr>
            <w:tcW w:w="43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Gestión de la calidad en servicios de tecnologías de la información y ciberseguridad (2026)</w:t>
            </w:r>
          </w:p>
        </w:tc>
        <w:tc>
          <w:tcPr>
            <w:tcW w:w="43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Distinto ámbito (servicios de TI). Su texto no pudo consultarse.</w:t>
            </w:r>
          </w:p>
        </w:tc>
      </w:tr>
      <w:tr>
        <w:tc>
          <w:tcPr>
            <w:tcW w:w="844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EC1827</w:t>
            </w:r>
          </w:p>
        </w:tc>
        <w:tc>
          <w:tcPr>
            <w:tcW w:w="43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Desarrollo de productos y servicios con IA en MiPyME (Acuerdo SE/III-26/05,R; aprobado el 3 de julio de 2026, DOF del 7 de agosto de 2026)</w:t>
            </w:r>
          </w:p>
        </w:tc>
        <w:tc>
          <w:tcPr>
            <w:tcW w:w="43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Distinto ámbito (desarrollo de productos). Sin traslape.</w:t>
            </w:r>
          </w:p>
        </w:tc>
      </w:tr>
      <w:tr>
        <w:tc>
          <w:tcPr>
            <w:tcW w:w="844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EC1828</w:t>
            </w:r>
          </w:p>
        </w:tc>
        <w:tc>
          <w:tcPr>
            <w:tcW w:w="43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Implementación de estrategias con Marketing, utilizando IA para la Alta Dirección en PyME's (mismo acuerdo)</w:t>
            </w:r>
          </w:p>
        </w:tc>
        <w:tc>
          <w:tcPr>
            <w:tcW w:w="43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Distinto ámbito (marketing directivo). Sin traslape.</w:t>
            </w:r>
          </w:p>
        </w:tc>
      </w:tr>
      <w:tr>
        <w:tc>
          <w:tcPr>
            <w:tcW w:w="844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EC1829</w:t>
            </w:r>
          </w:p>
        </w:tc>
        <w:tc>
          <w:tcPr>
            <w:tcW w:w="43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Producción de videos digitales con herramientas de IA generativa (mismo acuerdo)</w:t>
            </w:r>
          </w:p>
        </w:tc>
        <w:tc>
          <w:tcPr>
            <w:tcW w:w="4393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Distinto ámbito (producción de contenido). Sin traslape.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b/>
        </w:rPr>
        <w:t>Conclusión:</w:t>
      </w:r>
      <w:r>
        <w:rPr/>
        <w:t xml:space="preserve"> ningún EC publicado cubre la protección de la información en el uso de IA como procedimiento evaluable (EC-A) ni la gestión de riesgos y controles de IA en la organización (EC-B). Comparación con el texto publicado del Elemento 3 del EC1705 (9 de octubre de 2026): tiene dos desempeños (revisar las políticas de privacidad de la herramienta; identificar y verificar con fuentes alternas fechas, cifras, nombres y referencias) y una actitud, sin productos ni conocimientos propios; hay traslape parcial en la intención y no en los criterios (ver nota 1 del EC-A). Publicaciones posteriores al 7 de agosto de 2026: no se encontraron nuevos acuerdos del CONOCER en el DOF hasta el 9 de octubre de 2026; la página de publicaciones del CONOCER no lista estándares posteriores al EC1826. Antes de presentar los estándares, volver a revisar.</w:t>
      </w:r>
    </w:p>
    <w:sectPr>
      <w:footerReference w:type="default" r:id="rId9"/>
      <w:pgSz w:w="12240" w:h="15840"/>
      <w:pgMar w:top="1304" w:left="1304" w:right="1304" w:bottom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sz w:val="16"/>
      </w:rPr>
      <w:t xml:space="preserve">Mapa funcional · 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00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lowerLetter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funcional – Familia de Estándares de Competencia en IA</dc:title>
  <dc:creator>Proyecto Estándares de Competencia en IA</dc:creator>
  <cp:keywords/>
  <dcterms:created xsi:type="dcterms:W3CDTF">2026-10-09T15:04:45Z</dcterms:created>
  <dcterms:modified xsi:type="dcterms:W3CDTF">2026-10-09T15:04:45Z</dcterms:modified>
  <dc:description>Generado desde Markdown el 9 de octubre de 2026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