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r>
        <w:rPr/>
        <w:t>I.- Datos Generales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80"/>
        <w:gridCol w:w="8065"/>
      </w:tblGrid>
      <w:tr>
        <w:trPr>
          <w:tblHeader w:val="true"/>
          <w:cantSplit/>
        </w:trPr>
        <w:tc>
          <w:tcPr>
            <w:tcW w:w="1680" w:type="dxa"/>
            <w:shd w:val="clear" w:color="auto" w:fill="ECECEC"/>
          </w:tcPr>
          <w:p>
            <w:pPr>
              <w:pStyle w:val="Compact"/>
              <w:spacing w:before="20" w:after="20"/>
            </w:pPr>
            <w:r>
              <w:rPr>
                <w:b/>
                <w:sz w:val="17"/>
              </w:rPr>
              <w:t>Código</w:t>
            </w:r>
          </w:p>
        </w:tc>
        <w:tc>
          <w:tcPr>
            <w:tcW w:w="8065" w:type="dxa"/>
            <w:shd w:val="clear" w:color="auto" w:fill="ECECEC"/>
          </w:tcPr>
          <w:p>
            <w:pPr>
              <w:pStyle w:val="Compact"/>
              <w:spacing w:before="20" w:after="20"/>
            </w:pPr>
            <w:r>
              <w:rPr>
                <w:b/>
                <w:sz w:val="17"/>
              </w:rPr>
              <w:t>Título</w:t>
            </w:r>
          </w:p>
        </w:tc>
      </w:tr>
      <w:tr>
        <w:tc>
          <w:tcPr>
            <w:tcW w:w="1680" w:type="dxa"/>
          </w:tcPr>
          <w:p>
            <w:pPr>
              <w:pStyle w:val="Compact"/>
              <w:spacing w:before="20" w:after="20"/>
            </w:pPr>
            <w:r>
              <w:rPr>
                <w:sz w:val="17"/>
              </w:rPr>
              <w:t>[Asignado por el CONOCER]</w:t>
            </w:r>
          </w:p>
        </w:tc>
        <w:tc>
          <w:tcPr>
            <w:tcW w:w="8065" w:type="dxa"/>
          </w:tcPr>
          <w:p>
            <w:pPr>
              <w:pStyle w:val="Compact"/>
              <w:spacing w:before="20" w:after="20"/>
            </w:pPr>
            <w:r>
              <w:rPr>
                <w:sz w:val="17"/>
              </w:rPr>
              <w:t>Protección de la información y verificación de resultados en el uso de herramientas de inteligencia artificial generativa</w:t>
            </w:r>
          </w:p>
        </w:tc>
      </w:tr>
    </w:tbl>
    <w:p>
      <w:pPr>
        <w:pStyle w:val="BodyText"/>
      </w:pPr>
    </w:p>
    <w:p>
      <w:pPr>
        <w:pStyle w:val="Heading3"/>
      </w:pPr>
      <w:r>
        <w:rPr/>
        <w:t>Propósito del Estándar de Competencia</w:t>
      </w:r>
    </w:p>
    <w:p>
      <w:pPr>
        <w:pStyle w:val="FirstParagraph"/>
      </w:pPr>
      <w:r>
        <w:rPr/>
        <w:t>Servir como referente para la evaluación y certificación de las personas que utilizan herramientas de inteligencia artificial generativa en actividades laborales o de formación, y que preparan la información conforme a su clasificación antes de ingresarla, verifican los productos obtenidos y atienden los incidentes relacionados con su uso, incluidos los intentos de suplantación de identidad mediante contenido sintético.</w:t>
      </w:r>
    </w:p>
    <w:p>
      <w:pPr>
        <w:pStyle w:val="BodyText"/>
      </w:pPr>
      <w:r>
        <w:rPr/>
        <w:t>Asimismo, puede ser referente para el desarrollo de programas de capacitación y de formación basados en Estándares de Competencia (EC).</w:t>
      </w:r>
    </w:p>
    <w:p>
      <w:pPr>
        <w:pStyle w:val="BodyText"/>
      </w:pPr>
      <w:r>
        <w:rPr/>
        <w:t>El presente EC se refiere únicamente a funciones para cuya realización no se requiere por disposición legal, la posesión de un título profesional. Por lo que para certificarse en este EC no deberá ser requisito el poseer dicho documento académico.</w:t>
      </w:r>
    </w:p>
    <w:p>
      <w:pPr>
        <w:pStyle w:val="Heading3"/>
      </w:pPr>
      <w:r>
        <w:rPr/>
        <w:t>Descripción general del Estándar de Competencia</w:t>
      </w:r>
    </w:p>
    <w:p>
      <w:pPr>
        <w:pStyle w:val="FirstParagraph"/>
      </w:pPr>
      <w:r>
        <w:rPr/>
        <w:t>Este EC expresa las funciones que una persona realiza al utilizar herramientas de inteligencia artificial generativa en su trabajo, desde la verificación de que la herramienta está autorizada y la clasificación y depuración de la información que ingresará, hasta la verificación de los productos obtenidos, la revisión de los derechos de terceros, la declaración del uso de la herramienta y la atención de los incidentes, incluidos los intentos de suplantación de identidad mediante voz, imagen, video o texto sintéticos.</w:t>
      </w:r>
    </w:p>
    <w:p>
      <w:pPr>
        <w:pStyle w:val="BodyText"/>
      </w:pPr>
      <w:r>
        <w:rPr/>
        <w:t>También establece los conocimientos teóricos, básicos y prácticos con los que debe contar para realizar un trabajo, así como las actitudes relevantes en su desempeño.</w:t>
      </w:r>
    </w:p>
    <w:p>
      <w:pPr>
        <w:pStyle w:val="BodyText"/>
      </w:pPr>
      <w:r>
        <w:rPr/>
        <w:t>El presente EC se fundamenta en criterios rectores de legalidad, competitividad, libre acceso, respeto, trabajo digno y responsabilidad social.</w:t>
      </w:r>
    </w:p>
    <w:p>
      <w:pPr>
        <w:pStyle w:val="Heading3"/>
      </w:pPr>
      <w:r>
        <w:rPr/>
        <w:t>Nivel en el Sistema Nacional de Competencias: Dos</w:t>
      </w:r>
    </w:p>
    <w:p>
      <w:pPr>
        <w:pStyle w:val="FirstParagraph"/>
      </w:pPr>
      <w:r>
        <w:rPr/>
        <w:t>Desempeña actividades programadas que, en su mayoría, son rutinarias y predecibles. Depende de las instrucciones de un superior. Se coordina con compañeros de trabajo del mismo nivel jerárquico.</w:t>
      </w:r>
    </w:p>
    <w:p>
      <w:pPr>
        <w:pStyle w:val="Heading3"/>
      </w:pPr>
      <w:r>
        <w:rPr/>
        <w:t>Comité de Gestión por Competencias que lo desarrolló</w:t>
      </w:r>
    </w:p>
    <w:p>
      <w:pPr>
        <w:pStyle w:val="FirstParagraph"/>
      </w:pPr>
      <w:r>
        <w:rPr/>
        <w:t>[Por designar]</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653"/>
        <w:gridCol w:w="5092"/>
      </w:tblGrid>
      <w:tr>
        <w:trPr>
          <w:tblHeader w:val="true"/>
          <w:cantSplit/>
        </w:trPr>
        <w:tc>
          <w:tcPr>
            <w:tcW w:w="4653" w:type="dxa"/>
            <w:shd w:val="clear" w:color="auto" w:fill="ECECEC"/>
          </w:tcPr>
          <w:p>
            <w:pPr>
              <w:pStyle w:val="Compact"/>
              <w:spacing w:before="20" w:after="20"/>
            </w:pPr>
            <w:r>
              <w:rPr>
                <w:b/>
                <w:sz w:val="17"/>
              </w:rPr>
              <w:t>Fecha de aprobación por el Comité Técnico del CONOCER</w:t>
            </w:r>
          </w:p>
        </w:tc>
        <w:tc>
          <w:tcPr>
            <w:tcW w:w="5092" w:type="dxa"/>
            <w:shd w:val="clear" w:color="auto" w:fill="ECECEC"/>
          </w:tcPr>
          <w:p>
            <w:pPr>
              <w:pStyle w:val="Compact"/>
              <w:spacing w:before="20" w:after="20"/>
            </w:pPr>
            <w:r>
              <w:rPr>
                <w:b/>
                <w:sz w:val="17"/>
              </w:rPr>
              <w:t>Fecha de publicación en el Diario Oficial de la Federación</w:t>
            </w:r>
          </w:p>
        </w:tc>
      </w:tr>
      <w:tr>
        <w:tc>
          <w:tcPr>
            <w:tcW w:w="4653" w:type="dxa"/>
          </w:tcPr>
          <w:p>
            <w:pPr>
              <w:pStyle w:val="Compact"/>
              <w:spacing w:before="20" w:after="20"/>
            </w:pPr>
            <w:r>
              <w:rPr>
                <w:sz w:val="17"/>
              </w:rPr>
              <w:t>[ ]</w:t>
            </w:r>
          </w:p>
        </w:tc>
        <w:tc>
          <w:tcPr>
            <w:tcW w:w="5092" w:type="dxa"/>
          </w:tcPr>
          <w:p>
            <w:pPr>
              <w:pStyle w:val="Compact"/>
              <w:spacing w:before="20" w:after="20"/>
            </w:pPr>
            <w:r>
              <w:rPr>
                <w:sz w:val="17"/>
              </w:rPr>
              <w:t>[ ]</w:t>
            </w:r>
          </w:p>
        </w:tc>
      </w:tr>
    </w:tbl>
    <w:p>
      <w:pPr>
        <w:pStyle w:val="BodyText"/>
      </w:pP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381"/>
        <w:gridCol w:w="5364"/>
      </w:tblGrid>
      <w:tr>
        <w:trPr>
          <w:tblHeader w:val="true"/>
          <w:cantSplit/>
        </w:trPr>
        <w:tc>
          <w:tcPr>
            <w:tcW w:w="4381" w:type="dxa"/>
            <w:shd w:val="clear" w:color="auto" w:fill="ECECEC"/>
          </w:tcPr>
          <w:p>
            <w:pPr>
              <w:pStyle w:val="Compact"/>
              <w:spacing w:before="20" w:after="20"/>
            </w:pPr>
            <w:r>
              <w:rPr>
                <w:b/>
                <w:sz w:val="17"/>
              </w:rPr>
              <w:t>Periodo sugerido de revisión/actualización del EC</w:t>
            </w:r>
          </w:p>
        </w:tc>
        <w:tc>
          <w:tcPr>
            <w:tcW w:w="5364" w:type="dxa"/>
            <w:shd w:val="clear" w:color="auto" w:fill="ECECEC"/>
          </w:tcPr>
          <w:p>
            <w:pPr>
              <w:pStyle w:val="Compact"/>
              <w:spacing w:before="20" w:after="20"/>
            </w:pPr>
            <w:r>
              <w:rPr>
                <w:b/>
                <w:sz w:val="17"/>
              </w:rPr>
              <w:t>Tiempo de Vigencia del Certificado de competencia en este EC</w:t>
            </w:r>
          </w:p>
        </w:tc>
      </w:tr>
      <w:tr>
        <w:tc>
          <w:tcPr>
            <w:tcW w:w="4381" w:type="dxa"/>
          </w:tcPr>
          <w:p>
            <w:pPr>
              <w:pStyle w:val="Compact"/>
              <w:spacing w:before="20" w:after="20"/>
            </w:pPr>
            <w:r>
              <w:rPr>
                <w:sz w:val="17"/>
              </w:rPr>
              <w:t>2 años</w:t>
            </w:r>
          </w:p>
        </w:tc>
        <w:tc>
          <w:tcPr>
            <w:tcW w:w="5364" w:type="dxa"/>
          </w:tcPr>
          <w:p>
            <w:pPr>
              <w:pStyle w:val="Compact"/>
              <w:spacing w:before="20" w:after="20"/>
            </w:pPr>
            <w:r>
              <w:rPr>
                <w:sz w:val="17"/>
              </w:rPr>
              <w:t>2 años</w:t>
            </w:r>
          </w:p>
        </w:tc>
      </w:tr>
    </w:tbl>
    <w:p>
      <w:pPr>
        <w:pStyle w:val="BodyText"/>
      </w:pPr>
    </w:p>
    <w:p>
      <w:pPr>
        <w:pStyle w:val="Heading3"/>
      </w:pPr>
      <w:r>
        <w:rPr/>
        <w:t>Ocupaciones relacionadas con este EC de acuerdo con el Sistema Nacional de Clasificación de Ocupaciones (SINCO)</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5955"/>
        <w:gridCol w:w="3790"/>
      </w:tblGrid>
      <w:tr>
        <w:trPr>
          <w:tblHeader w:val="true"/>
          <w:cantSplit/>
        </w:trPr>
        <w:tc>
          <w:tcPr>
            <w:tcW w:w="5955" w:type="dxa"/>
            <w:shd w:val="clear" w:color="auto" w:fill="ECECEC"/>
          </w:tcPr>
          <w:p>
            <w:pPr>
              <w:pStyle w:val="Compact"/>
              <w:spacing w:before="20" w:after="20"/>
            </w:pPr>
            <w:r>
              <w:rPr>
                <w:b/>
                <w:sz w:val="17"/>
              </w:rPr>
              <w:t>Grupo unitario</w:t>
            </w:r>
          </w:p>
        </w:tc>
        <w:tc>
          <w:tcPr>
            <w:tcW w:w="3790" w:type="dxa"/>
            <w:shd w:val="clear" w:color="auto" w:fill="ECECEC"/>
          </w:tcPr>
          <w:p>
            <w:pPr>
              <w:pStyle w:val="Compact"/>
              <w:spacing w:before="20" w:after="20"/>
            </w:pPr>
            <w:r>
              <w:rPr>
                <w:b/>
                <w:sz w:val="17"/>
              </w:rPr>
              <w:t>Ocupaciones asociadas</w:t>
            </w:r>
          </w:p>
        </w:tc>
      </w:tr>
      <w:tr>
        <w:tc>
          <w:tcPr>
            <w:tcW w:w="5955" w:type="dxa"/>
          </w:tcPr>
          <w:p>
            <w:pPr>
              <w:pStyle w:val="Compact"/>
              <w:spacing w:before="20" w:after="20"/>
            </w:pPr>
            <w:r>
              <w:rPr>
                <w:sz w:val="17"/>
              </w:rPr>
              <w:t>9999 Ocupaciones no especificadas</w:t>
            </w:r>
          </w:p>
        </w:tc>
        <w:tc>
          <w:tcPr>
            <w:tcW w:w="3790" w:type="dxa"/>
          </w:tcPr>
          <w:p>
            <w:pPr>
              <w:pStyle w:val="Compact"/>
              <w:spacing w:before="20" w:after="20"/>
            </w:pPr>
            <w:r>
              <w:rPr>
                <w:sz w:val="17"/>
              </w:rPr>
              <w:t>Sin referente</w:t>
            </w:r>
          </w:p>
        </w:tc>
      </w:tr>
    </w:tbl>
    <w:p>
      <w:pPr>
        <w:pStyle w:val="BodyText"/>
      </w:pPr>
    </w:p>
    <w:p>
      <w:pPr>
        <w:pStyle w:val="BodyText"/>
      </w:pPr>
      <w:r>
        <w:rPr>
          <w:b/>
        </w:rPr>
        <w:t>Ocupaciones no contenidas en el Sistema Nacional de Clasificación de Ocupaciones y reconocidas en el Sector para este EC:</w:t>
      </w:r>
    </w:p>
    <w:p>
      <w:pPr>
        <w:pStyle w:val="Compact"/>
        <w:numPr>
          <w:ilvl w:val="0"/>
          <w:numId w:val="1039"/>
        </w:numPr>
      </w:pPr>
      <w:r>
        <w:rPr/>
        <w:t>Auxiliar administrativo</w:t>
      </w:r>
    </w:p>
    <w:p>
      <w:pPr>
        <w:pStyle w:val="Compact"/>
        <w:numPr>
          <w:ilvl w:val="0"/>
          <w:numId w:val="1039"/>
        </w:numPr>
      </w:pPr>
      <w:r>
        <w:rPr/>
        <w:t>Analista de información</w:t>
      </w:r>
    </w:p>
    <w:p>
      <w:pPr>
        <w:pStyle w:val="Compact"/>
        <w:numPr>
          <w:ilvl w:val="0"/>
          <w:numId w:val="1039"/>
        </w:numPr>
      </w:pPr>
      <w:r>
        <w:rPr/>
        <w:t>Asistente ejecutivo</w:t>
      </w:r>
    </w:p>
    <w:p>
      <w:pPr>
        <w:pStyle w:val="Compact"/>
        <w:numPr>
          <w:ilvl w:val="0"/>
          <w:numId w:val="1039"/>
        </w:numPr>
      </w:pPr>
      <w:r>
        <w:rPr/>
        <w:t>Ejecutivo de atención a clientes</w:t>
      </w:r>
    </w:p>
    <w:p>
      <w:pPr>
        <w:pStyle w:val="Compact"/>
        <w:numPr>
          <w:ilvl w:val="0"/>
          <w:numId w:val="1039"/>
        </w:numPr>
      </w:pPr>
      <w:r>
        <w:rPr/>
        <w:t>Personal de oficina usuario de herramientas de inteligencia artificial generativa</w:t>
      </w:r>
    </w:p>
    <w:p>
      <w:pPr>
        <w:pStyle w:val="Heading3"/>
      </w:pPr>
      <w:r>
        <w:rPr/>
        <w:t>Clasificación según el Sistema de Clasificación Industrial de América del Norte (SCIAN)</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223"/>
        <w:gridCol w:w="1403"/>
        <w:gridCol w:w="1668"/>
        <w:gridCol w:w="1706"/>
        <w:gridCol w:w="1744"/>
      </w:tblGrid>
      <w:tr>
        <w:trPr>
          <w:tblHeader w:val="true"/>
          <w:cantSplit/>
        </w:trPr>
        <w:tc>
          <w:tcPr>
            <w:tcW w:w="3223" w:type="dxa"/>
            <w:shd w:val="clear" w:color="auto" w:fill="ECECEC"/>
          </w:tcPr>
          <w:p>
            <w:pPr>
              <w:pStyle w:val="Compact"/>
              <w:spacing w:before="20" w:after="20"/>
            </w:pPr>
            <w:r>
              <w:rPr>
                <w:b/>
                <w:sz w:val="17"/>
              </w:rPr>
              <w:t>Sector</w:t>
            </w:r>
          </w:p>
        </w:tc>
        <w:tc>
          <w:tcPr>
            <w:tcW w:w="1403" w:type="dxa"/>
            <w:shd w:val="clear" w:color="auto" w:fill="ECECEC"/>
          </w:tcPr>
          <w:p>
            <w:pPr>
              <w:pStyle w:val="Compact"/>
              <w:spacing w:before="20" w:after="20"/>
            </w:pPr>
            <w:r>
              <w:rPr>
                <w:b/>
                <w:sz w:val="17"/>
              </w:rPr>
              <w:t>Subsector</w:t>
            </w:r>
          </w:p>
        </w:tc>
        <w:tc>
          <w:tcPr>
            <w:tcW w:w="1668" w:type="dxa"/>
            <w:shd w:val="clear" w:color="auto" w:fill="ECECEC"/>
          </w:tcPr>
          <w:p>
            <w:pPr>
              <w:pStyle w:val="Compact"/>
              <w:spacing w:before="20" w:after="20"/>
            </w:pPr>
            <w:r>
              <w:rPr>
                <w:b/>
                <w:sz w:val="17"/>
              </w:rPr>
              <w:t>Rama</w:t>
            </w:r>
          </w:p>
        </w:tc>
        <w:tc>
          <w:tcPr>
            <w:tcW w:w="1706" w:type="dxa"/>
            <w:shd w:val="clear" w:color="auto" w:fill="ECECEC"/>
          </w:tcPr>
          <w:p>
            <w:pPr>
              <w:pStyle w:val="Compact"/>
              <w:spacing w:before="20" w:after="20"/>
            </w:pPr>
            <w:r>
              <w:rPr>
                <w:b/>
                <w:sz w:val="17"/>
              </w:rPr>
              <w:t>Subrama</w:t>
            </w:r>
          </w:p>
        </w:tc>
        <w:tc>
          <w:tcPr>
            <w:tcW w:w="1744" w:type="dxa"/>
            <w:shd w:val="clear" w:color="auto" w:fill="ECECEC"/>
          </w:tcPr>
          <w:p>
            <w:pPr>
              <w:pStyle w:val="Compact"/>
              <w:spacing w:before="20" w:after="20"/>
            </w:pPr>
            <w:r>
              <w:rPr>
                <w:b/>
                <w:sz w:val="17"/>
              </w:rPr>
              <w:t>Clase</w:t>
            </w:r>
          </w:p>
        </w:tc>
      </w:tr>
      <w:tr>
        <w:tc>
          <w:tcPr>
            <w:tcW w:w="3223" w:type="dxa"/>
          </w:tcPr>
          <w:p>
            <w:pPr>
              <w:pStyle w:val="Compact"/>
              <w:spacing w:before="20" w:after="20"/>
            </w:pPr>
            <w:r>
              <w:rPr>
                <w:sz w:val="17"/>
              </w:rPr>
              <w:t>56 Servicios de apoyo a los negocios y manejo de residuos, y servicios de remediación</w:t>
            </w:r>
          </w:p>
        </w:tc>
        <w:tc>
          <w:tcPr>
            <w:tcW w:w="1403" w:type="dxa"/>
          </w:tcPr>
          <w:p>
            <w:pPr>
              <w:pStyle w:val="Compact"/>
              <w:spacing w:before="20" w:after="20"/>
            </w:pPr>
            <w:r>
              <w:rPr>
                <w:sz w:val="17"/>
              </w:rPr>
              <w:t>561 Servicios de apoyo a los negocios</w:t>
            </w:r>
          </w:p>
        </w:tc>
        <w:tc>
          <w:tcPr>
            <w:tcW w:w="1668" w:type="dxa"/>
          </w:tcPr>
          <w:p>
            <w:pPr>
              <w:pStyle w:val="Compact"/>
              <w:spacing w:before="20" w:after="20"/>
            </w:pPr>
            <w:r>
              <w:rPr>
                <w:sz w:val="17"/>
              </w:rPr>
              <w:t>5611 Servicios de administración de negocios</w:t>
            </w:r>
          </w:p>
        </w:tc>
        <w:tc>
          <w:tcPr>
            <w:tcW w:w="1706" w:type="dxa"/>
          </w:tcPr>
          <w:p>
            <w:pPr>
              <w:pStyle w:val="Compact"/>
              <w:spacing w:before="20" w:after="20"/>
            </w:pPr>
            <w:r>
              <w:rPr>
                <w:sz w:val="17"/>
              </w:rPr>
              <w:t>56111 Servicios de administración de negocios</w:t>
            </w:r>
          </w:p>
        </w:tc>
        <w:tc>
          <w:tcPr>
            <w:tcW w:w="1744" w:type="dxa"/>
          </w:tcPr>
          <w:p>
            <w:pPr>
              <w:pStyle w:val="Compact"/>
              <w:spacing w:before="20" w:after="20"/>
            </w:pPr>
            <w:r>
              <w:rPr>
                <w:sz w:val="17"/>
              </w:rPr>
              <w:t>561110 Servicios de administración de negocios</w:t>
            </w:r>
          </w:p>
        </w:tc>
      </w:tr>
    </w:tbl>
    <w:p>
      <w:pPr>
        <w:pStyle w:val="BodyText"/>
      </w:pPr>
    </w:p>
    <w:p>
      <w:pPr>
        <w:pStyle w:val="BodyText"/>
      </w:pPr>
      <w:r>
        <w:rPr>
          <w:i/>
        </w:rPr>
        <w:t>Clasificación propuesta, por confirmar con el CONOCER.</w:t>
      </w:r>
    </w:p>
    <w:p>
      <w:pPr>
        <w:pStyle w:val="BodyText"/>
      </w:pPr>
      <w:r>
        <w:rPr/>
        <w:t>El presente EC, una vez publicado en el Diario Oficial de la Federación, se integrará en el Registro Nacional de Estándares de Competencia que opera el CONOCER a fin de facilitar su uso y consulta gratuita.</w:t>
      </w:r>
    </w:p>
    <w:p>
      <w:pPr>
        <w:pStyle w:val="Heading3"/>
      </w:pPr>
      <w:r>
        <w:rPr/>
        <w:t>Organizaciones participantes en el desarrollo del Estándar de Competencia</w:t>
      </w:r>
    </w:p>
    <w:p>
      <w:pPr>
        <w:pStyle w:val="Compact"/>
        <w:numPr>
          <w:ilvl w:val="0"/>
          <w:numId w:val="1039"/>
        </w:numPr>
      </w:pPr>
      <w:r>
        <w:rPr/>
        <w:t>[Por integrar: empresa desarrolladora, centro de evaluación, instituciones de educación superior, empresas y cámaras empresariales]</w:t>
      </w:r>
    </w:p>
    <w:p>
      <w:pPr>
        <w:pStyle w:val="Heading3"/>
      </w:pPr>
      <w:r>
        <w:rPr/>
        <w:t>Aspectos relevantes de la evaluación</w:t>
      </w:r>
    </w:p>
    <w:p>
      <w:pPr>
        <w:pStyle w:val="FirstParagraph"/>
      </w:pPr>
      <w:r>
        <w:rPr>
          <w:b/>
        </w:rPr>
        <w:t>Detalles de la práctica a considerar</w:t>
      </w:r>
    </w:p>
    <w:p>
      <w:pPr>
        <w:pStyle w:val="Compact"/>
        <w:numPr>
          <w:ilvl w:val="0"/>
          <w:numId w:val="1039"/>
        </w:numPr>
      </w:pPr>
      <w:r>
        <w:rPr/>
        <w:t>La evaluación se lleva a cabo en situación simulada. El Centro de Evaluación proporciona un caso de trabajo de una organización ficticia, con documentos que contienen datos personales, datos personales sensibles e información confidencial ficticios.</w:t>
      </w:r>
    </w:p>
    <w:p>
      <w:pPr>
        <w:pStyle w:val="Compact"/>
        <w:numPr>
          <w:ilvl w:val="0"/>
          <w:numId w:val="1039"/>
        </w:numPr>
      </w:pPr>
      <w:r>
        <w:rPr/>
        <w:t>Para el Elemento 1 de 3 y el Elemento 2 de 3, la persona realiza una tarea con una herramienta de inteligencia artificial generativa autorizada en el caso, o con un entorno que la simule.</w:t>
      </w:r>
    </w:p>
    <w:p>
      <w:pPr>
        <w:pStyle w:val="Compact"/>
        <w:numPr>
          <w:ilvl w:val="0"/>
          <w:numId w:val="1039"/>
        </w:numPr>
      </w:pPr>
      <w:r>
        <w:rPr/>
        <w:t>Para el Elemento 3 de 3, el evaluador presenta a la persona una solicitud que suplanta la identidad de un integrante de la organización ficticia, mediante mensaje de texto, nota de voz o video.</w:t>
      </w:r>
    </w:p>
    <w:p>
      <w:pPr>
        <w:pStyle w:val="Compact"/>
        <w:numPr>
          <w:ilvl w:val="0"/>
          <w:numId w:val="1039"/>
        </w:numPr>
      </w:pPr>
      <w:r>
        <w:rPr/>
        <w:t>En ningún momento deben utilizarse datos personales ni información confidencial reales.</w:t>
      </w:r>
    </w:p>
    <w:p>
      <w:pPr>
        <w:pStyle w:val="Compact"/>
        <w:numPr>
          <w:ilvl w:val="0"/>
          <w:numId w:val="1039"/>
        </w:numPr>
      </w:pPr>
      <w:r>
        <w:rPr/>
        <w:t>Las instrucciones ingresadas a la herramienta y los resultados obtenidos se integran como evidencia.</w:t>
      </w:r>
    </w:p>
    <w:p>
      <w:pPr>
        <w:pStyle w:val="BodyText"/>
      </w:pPr>
      <w:r>
        <w:rPr>
          <w:b/>
        </w:rPr>
        <w:t>Apoyos/Requerimientos</w:t>
      </w:r>
    </w:p>
    <w:p>
      <w:pPr>
        <w:pStyle w:val="Compact"/>
        <w:numPr>
          <w:ilvl w:val="0"/>
          <w:numId w:val="1039"/>
        </w:numPr>
      </w:pPr>
      <w:r>
        <w:rPr/>
        <w:t>Equipo de cómputo con acceso a una herramienta de inteligencia artificial generativa, o entorno simulado proporcionado por el Centro de Evaluación.</w:t>
      </w:r>
    </w:p>
    <w:p>
      <w:pPr>
        <w:pStyle w:val="Compact"/>
        <w:numPr>
          <w:ilvl w:val="0"/>
          <w:numId w:val="1039"/>
        </w:numPr>
      </w:pPr>
      <w:r>
        <w:rPr/>
        <w:t>Caso de trabajo de la organización ficticia con sus anexos: documentos de trabajo, política de uso de IA, lista de herramientas autorizadas, esquema de clasificación de la información y protocolo de reporte de incidentes.</w:t>
      </w:r>
    </w:p>
    <w:p>
      <w:pPr>
        <w:pStyle w:val="Compact"/>
        <w:numPr>
          <w:ilvl w:val="0"/>
          <w:numId w:val="1039"/>
        </w:numPr>
      </w:pPr>
      <w:r>
        <w:rPr/>
        <w:t>Medio para presentar la solicitud simulada: mensaje de texto, nota de voz o video.</w:t>
      </w:r>
    </w:p>
    <w:p>
      <w:pPr>
        <w:pStyle w:val="Compact"/>
        <w:numPr>
          <w:ilvl w:val="0"/>
          <w:numId w:val="1039"/>
        </w:numPr>
      </w:pPr>
      <w:r>
        <w:rPr/>
        <w:t>Directorio de la organización ficticia con el canal alterno para confirmar instrucciones.</w:t>
      </w:r>
    </w:p>
    <w:p>
      <w:pPr>
        <w:pStyle w:val="Compact"/>
        <w:numPr>
          <w:ilvl w:val="0"/>
          <w:numId w:val="1039"/>
        </w:numPr>
      </w:pPr>
      <w:r>
        <w:rPr/>
        <w:t>Formatos de la organización ficticia para el registro de clasificación, el registro de verificación y el reporte de incidente.</w:t>
      </w:r>
    </w:p>
    <w:p>
      <w:pPr>
        <w:pStyle w:val="BodyText"/>
      </w:pPr>
      <w:r>
        <w:rPr>
          <w:b/>
        </w:rPr>
        <w:t>Duración estimada de la evaluación</w:t>
      </w:r>
    </w:p>
    <w:p>
      <w:pPr>
        <w:pStyle w:val="Compact"/>
        <w:numPr>
          <w:ilvl w:val="0"/>
          <w:numId w:val="1039"/>
        </w:numPr>
      </w:pPr>
      <w:r>
        <w:rPr/>
        <w:t>30 minutos en gabinete y 2 horas en campo, totalizando 2 horas y 30 minutos.</w:t>
      </w:r>
    </w:p>
    <w:p>
      <w:pPr>
        <w:pStyle w:val="Heading3"/>
      </w:pPr>
      <w:r>
        <w:rPr/>
        <w:t>Referencias de Información</w:t>
      </w:r>
    </w:p>
    <w:p>
      <w:pPr>
        <w:pStyle w:val="Compact"/>
        <w:numPr>
          <w:ilvl w:val="0"/>
          <w:numId w:val="1039"/>
        </w:numPr>
      </w:pPr>
      <w:r>
        <w:rPr/>
        <w:t>Ley Federal de Protección de Datos Personales en Posesión de los Particulares. Diario Oficial de la Federación, 20 de marzo de 2025 (última reforma: 14 de noviembre de 2025).</w:t>
      </w:r>
    </w:p>
    <w:p>
      <w:pPr>
        <w:pStyle w:val="Compact"/>
        <w:numPr>
          <w:ilvl w:val="0"/>
          <w:numId w:val="1039"/>
        </w:numPr>
      </w:pPr>
      <w:r>
        <w:rPr/>
        <w:t>Ley Federal del Trabajo (última reforma: 14 de mayo de 2026).</w:t>
      </w:r>
    </w:p>
    <w:p>
      <w:pPr>
        <w:pStyle w:val="Compact"/>
        <w:numPr>
          <w:ilvl w:val="0"/>
          <w:numId w:val="1039"/>
        </w:numPr>
      </w:pPr>
      <w:r>
        <w:rPr/>
        <w:t>Ley Federal del Derecho de Autor (última reforma: 14 de mayo de 2026).</w:t>
      </w:r>
    </w:p>
    <w:p>
      <w:pPr>
        <w:pStyle w:val="Compact"/>
        <w:numPr>
          <w:ilvl w:val="0"/>
          <w:numId w:val="1039"/>
        </w:numPr>
      </w:pPr>
      <w:r>
        <w:rPr/>
        <w:t>Código Civil Federal, artículo 1916.</w:t>
      </w:r>
    </w:p>
    <w:p>
      <w:pPr>
        <w:pStyle w:val="Compact"/>
        <w:numPr>
          <w:ilvl w:val="0"/>
          <w:numId w:val="1039"/>
        </w:numPr>
      </w:pPr>
      <w:r>
        <w:rPr/>
        <w:t>ISO/IEC 22989:2022. Information technology — Artificial intelligence — Artificial intelligence concepts and terminology.</w:t>
      </w:r>
    </w:p>
    <w:p>
      <w:pPr>
        <w:pStyle w:val="Compact"/>
        <w:numPr>
          <w:ilvl w:val="0"/>
          <w:numId w:val="1039"/>
        </w:numPr>
      </w:pPr>
      <w:r>
        <w:rPr/>
        <w:t>ISO/IEC 27001:2022. Information security, cybersecurity and privacy protection — Information security management systems — Requirements.</w:t>
      </w:r>
    </w:p>
    <w:p>
      <w:pPr>
        <w:pStyle w:val="Compact"/>
        <w:numPr>
          <w:ilvl w:val="0"/>
          <w:numId w:val="1039"/>
        </w:numPr>
      </w:pPr>
      <w:r>
        <w:rPr/>
        <w:t>ISO/IEC 42001:2023. Information technology — Artificial intelligence — Management system.</w:t>
      </w:r>
    </w:p>
    <w:p>
      <w:pPr>
        <w:pStyle w:val="Compact"/>
        <w:numPr>
          <w:ilvl w:val="0"/>
          <w:numId w:val="1039"/>
        </w:numPr>
      </w:pPr>
      <w:r>
        <w:rPr/>
        <w:t>National Institute of Standards and Technology (2024). NIST AI 600-1. Artificial Intelligence Risk Management Framework: Generative Artificial Intelligence Profile.</w:t>
      </w:r>
    </w:p>
    <w:p>
      <w:pPr>
        <w:pStyle w:val="Compact"/>
        <w:numPr>
          <w:ilvl w:val="0"/>
          <w:numId w:val="1039"/>
        </w:numPr>
      </w:pPr>
      <w:r>
        <w:rPr/>
        <w:t>Reglamento (UE) 2024/1689 del Parlamento Europeo y del Consejo, por el que se establecen normas armonizadas en materia de inteligencia artificial, artículo 4, en la redacción dada por el Reglamento (UE) 2026/1744 (DOUE, 24 de julio de 2026).</w:t>
      </w:r>
    </w:p>
    <w:p>
      <w:pPr>
        <w:pStyle w:val="Compact"/>
        <w:numPr>
          <w:ilvl w:val="0"/>
          <w:numId w:val="1039"/>
        </w:numPr>
      </w:pPr>
      <w:r>
        <w:rPr/>
        <w:t>UNESCO (2021). Recomendación sobre la ética de la inteligencia artificial.</w:t>
      </w:r>
    </w:p>
    <w:p>
      <w:pPr>
        <w:pStyle w:val="BodyText"/>
        <w:pBdr>
          <w:bottom w:val="single" w:sz="4" w:space="1" w:color="BFC0C0"/>
        </w:pBdr>
      </w:pPr>
    </w:p>
    <w:p>
      <w:pPr>
        <w:pStyle w:val="Heading2"/>
      </w:pPr>
      <w:r>
        <w:rPr/>
        <w:t>II.- Perfil del Estándar de Competencia</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913"/>
        <w:gridCol w:w="4832"/>
      </w:tblGrid>
      <w:tr>
        <w:trPr>
          <w:tblHeader w:val="true"/>
          <w:cantSplit/>
        </w:trPr>
        <w:tc>
          <w:tcPr>
            <w:tcW w:w="4913" w:type="dxa"/>
            <w:shd w:val="clear" w:color="auto" w:fill="ECECEC"/>
          </w:tcPr>
          <w:p>
            <w:pPr>
              <w:pStyle w:val="Compact"/>
              <w:spacing w:before="20" w:after="20"/>
            </w:pPr>
            <w:r>
              <w:rPr>
                <w:b/>
                <w:sz w:val="17"/>
              </w:rPr>
              <w:t>Estándar de Competencia</w:t>
            </w:r>
          </w:p>
        </w:tc>
        <w:tc>
          <w:tcPr>
            <w:tcW w:w="4832" w:type="dxa"/>
            <w:shd w:val="clear" w:color="auto" w:fill="ECECEC"/>
          </w:tcPr>
          <w:p>
            <w:pPr>
              <w:pStyle w:val="Compact"/>
              <w:spacing w:before="20" w:after="20"/>
            </w:pPr>
            <w:r>
              <w:rPr>
                <w:b/>
                <w:sz w:val="17"/>
              </w:rPr>
              <w:t>Elementos</w:t>
            </w:r>
          </w:p>
        </w:tc>
      </w:tr>
      <w:tr>
        <w:tc>
          <w:tcPr>
            <w:tcW w:w="4913" w:type="dxa"/>
          </w:tcPr>
          <w:p>
            <w:pPr>
              <w:pStyle w:val="Compact"/>
              <w:spacing w:before="20" w:after="20"/>
            </w:pPr>
            <w:r>
              <w:rPr>
                <w:sz w:val="17"/>
              </w:rPr>
              <w:t>Protección de la información y verificación de resultados en el uso de herramientas de inteligencia artificial generativa</w:t>
            </w:r>
          </w:p>
        </w:tc>
        <w:tc>
          <w:tcPr>
            <w:tcW w:w="4832" w:type="dxa"/>
          </w:tcPr>
          <w:p>
            <w:pPr>
              <w:pStyle w:val="Compact"/>
              <w:spacing w:before="20" w:after="20"/>
            </w:pPr>
            <w:r>
              <w:rPr>
                <w:b/>
                <w:sz w:val="17"/>
              </w:rPr>
              <w:t>Elemento 1 de 3</w:t>
            </w:r>
            <w:r>
              <w:rPr>
                <w:sz w:val="17"/>
              </w:rPr>
              <w:t xml:space="preserve"> · Preparar la información para su uso en herramientas de inteligencia artificial generativa</w:t>
            </w:r>
          </w:p>
        </w:tc>
      </w:tr>
      <w:tr>
        <w:tc>
          <w:tcPr>
            <w:tcW w:w="4913" w:type="dxa"/>
          </w:tcPr>
          <w:p>
            <w:pPr>
              <w:pStyle w:val="Compact"/>
              <w:spacing w:before="20" w:after="20"/>
            </w:pPr>
          </w:p>
        </w:tc>
        <w:tc>
          <w:tcPr>
            <w:tcW w:w="4832" w:type="dxa"/>
          </w:tcPr>
          <w:p>
            <w:pPr>
              <w:pStyle w:val="Compact"/>
              <w:spacing w:before="20" w:after="20"/>
            </w:pPr>
            <w:r>
              <w:rPr>
                <w:b/>
                <w:sz w:val="17"/>
              </w:rPr>
              <w:t>Elemento 2 de 3</w:t>
            </w:r>
            <w:r>
              <w:rPr>
                <w:sz w:val="17"/>
              </w:rPr>
              <w:t xml:space="preserve"> · Verificar los productos de trabajo elaborados con herramientas de inteligencia artificial generativa</w:t>
            </w:r>
          </w:p>
        </w:tc>
      </w:tr>
      <w:tr>
        <w:tc>
          <w:tcPr>
            <w:tcW w:w="4913" w:type="dxa"/>
          </w:tcPr>
          <w:p>
            <w:pPr>
              <w:pStyle w:val="Compact"/>
              <w:spacing w:before="20" w:after="20"/>
            </w:pPr>
          </w:p>
        </w:tc>
        <w:tc>
          <w:tcPr>
            <w:tcW w:w="4832" w:type="dxa"/>
          </w:tcPr>
          <w:p>
            <w:pPr>
              <w:pStyle w:val="Compact"/>
              <w:spacing w:before="20" w:after="20"/>
            </w:pPr>
            <w:r>
              <w:rPr>
                <w:b/>
                <w:sz w:val="17"/>
              </w:rPr>
              <w:t>Elemento 3 de 3</w:t>
            </w:r>
            <w:r>
              <w:rPr>
                <w:sz w:val="17"/>
              </w:rPr>
              <w:t xml:space="preserve"> · Atender los incidentes relacionados con el uso de inteligencia artificial generativa</w:t>
            </w:r>
          </w:p>
        </w:tc>
      </w:tr>
    </w:tbl>
    <w:p>
      <w:pPr>
        <w:pStyle w:val="BodyText"/>
      </w:pPr>
    </w:p>
    <w:p>
      <w:pPr>
        <w:pStyle w:val="BodyText"/>
        <w:pBdr>
          <w:bottom w:val="single" w:sz="4" w:space="1" w:color="BFC0C0"/>
        </w:pBdr>
      </w:pPr>
    </w:p>
    <w:p>
      <w:pPr>
        <w:pStyle w:val="Heading2"/>
      </w:pPr>
      <w:r>
        <w:rPr/>
        <w:t>III.- Elementos que conforman el Estándar de Competencia</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95"/>
        <w:gridCol w:w="876"/>
        <w:gridCol w:w="7973"/>
      </w:tblGrid>
      <w:tr>
        <w:trPr>
          <w:tblHeader w:val="true"/>
          <w:cantSplit/>
        </w:trPr>
        <w:tc>
          <w:tcPr>
            <w:tcW w:w="895" w:type="dxa"/>
            <w:shd w:val="clear" w:color="auto" w:fill="ECECEC"/>
          </w:tcPr>
          <w:p>
            <w:pPr>
              <w:pStyle w:val="Compact"/>
              <w:spacing w:before="20" w:after="20"/>
            </w:pPr>
            <w:r>
              <w:rPr>
                <w:b/>
                <w:sz w:val="17"/>
              </w:rPr>
              <w:t>Referencia</w:t>
            </w:r>
          </w:p>
        </w:tc>
        <w:tc>
          <w:tcPr>
            <w:tcW w:w="876" w:type="dxa"/>
            <w:shd w:val="clear" w:color="auto" w:fill="ECECEC"/>
          </w:tcPr>
          <w:p>
            <w:pPr>
              <w:pStyle w:val="Compact"/>
              <w:spacing w:before="20" w:after="20"/>
            </w:pPr>
            <w:r>
              <w:rPr>
                <w:b/>
                <w:sz w:val="17"/>
              </w:rPr>
              <w:t>Código</w:t>
            </w:r>
          </w:p>
        </w:tc>
        <w:tc>
          <w:tcPr>
            <w:tcW w:w="7973" w:type="dxa"/>
            <w:shd w:val="clear" w:color="auto" w:fill="ECECEC"/>
          </w:tcPr>
          <w:p>
            <w:pPr>
              <w:pStyle w:val="Compact"/>
              <w:spacing w:before="20" w:after="20"/>
            </w:pPr>
            <w:r>
              <w:rPr>
                <w:b/>
                <w:sz w:val="17"/>
              </w:rPr>
              <w:t>Título</w:t>
            </w:r>
          </w:p>
        </w:tc>
      </w:tr>
      <w:tr>
        <w:tc>
          <w:tcPr>
            <w:tcW w:w="895" w:type="dxa"/>
          </w:tcPr>
          <w:p>
            <w:pPr>
              <w:pStyle w:val="Compact"/>
              <w:spacing w:before="20" w:after="20"/>
            </w:pPr>
            <w:r>
              <w:rPr>
                <w:sz w:val="17"/>
              </w:rPr>
              <w:t>1 de 3</w:t>
            </w:r>
          </w:p>
        </w:tc>
        <w:tc>
          <w:tcPr>
            <w:tcW w:w="876" w:type="dxa"/>
          </w:tcPr>
          <w:p>
            <w:pPr>
              <w:pStyle w:val="Compact"/>
              <w:spacing w:before="20" w:after="20"/>
            </w:pPr>
            <w:r>
              <w:rPr>
                <w:sz w:val="17"/>
              </w:rPr>
              <w:t>[E0000]</w:t>
            </w:r>
          </w:p>
        </w:tc>
        <w:tc>
          <w:tcPr>
            <w:tcW w:w="7973" w:type="dxa"/>
          </w:tcPr>
          <w:p>
            <w:pPr>
              <w:pStyle w:val="Compact"/>
              <w:spacing w:before="20" w:after="20"/>
            </w:pPr>
            <w:r>
              <w:rPr>
                <w:sz w:val="17"/>
              </w:rPr>
              <w:t>Preparar la información para su uso en herramientas de inteligencia artificial generativa</w:t>
            </w:r>
          </w:p>
        </w:tc>
      </w:tr>
    </w:tbl>
    <w:p>
      <w:pPr>
        <w:pStyle w:val="BodyText"/>
      </w:pPr>
    </w:p>
    <w:p>
      <w:pPr>
        <w:pStyle w:val="Heading3"/>
      </w:pPr>
      <w:r>
        <w:rPr/>
        <w:t>CRITERIOS DE EVALUACIÓN</w:t>
      </w:r>
    </w:p>
    <w:p>
      <w:pPr>
        <w:pStyle w:val="FirstParagraph"/>
      </w:pPr>
      <w:r>
        <w:rPr/>
        <w:t>La persona es competente cuando demuestra los siguientes:</w:t>
      </w:r>
    </w:p>
    <w:p>
      <w:pPr>
        <w:pStyle w:val="BodyText"/>
      </w:pPr>
      <w:r>
        <w:rPr>
          <w:b/>
        </w:rPr>
        <w:t>DESEMPEÑOS</w:t>
      </w:r>
    </w:p>
    <w:p>
      <w:pPr>
        <w:pStyle w:val="Compact"/>
        <w:numPr>
          <w:ilvl w:val="0"/>
          <w:numId w:val="1040"/>
        </w:numPr>
      </w:pPr>
      <w:r>
        <w:rPr/>
        <w:t>Verifica la herramienta de inteligencia artificial generativa a utilizar:</w:t>
      </w:r>
      <w:r>
        <w:rPr/>
        <w:t xml:space="preserve"> </w:t>
      </w:r>
    </w:p>
    <w:p>
      <w:pPr>
        <w:pStyle w:val="Compact"/>
        <w:numPr>
          <w:ilvl w:val="1"/>
          <w:numId w:val="1039"/>
        </w:numPr>
      </w:pPr>
      <w:r>
        <w:rPr/>
        <w:t>Consultando la política de uso de IA de la organización,</w:t>
      </w:r>
    </w:p>
    <w:p>
      <w:pPr>
        <w:pStyle w:val="Compact"/>
        <w:numPr>
          <w:ilvl w:val="1"/>
          <w:numId w:val="1039"/>
        </w:numPr>
      </w:pPr>
      <w:r>
        <w:rPr/>
        <w:t>Confirmando que la herramienta se encuentra en la lista de herramientas autorizadas,</w:t>
      </w:r>
    </w:p>
    <w:p>
      <w:pPr>
        <w:pStyle w:val="Compact"/>
        <w:numPr>
          <w:ilvl w:val="1"/>
          <w:numId w:val="1039"/>
        </w:numPr>
      </w:pPr>
      <w:r>
        <w:rPr/>
        <w:t>Confirmando que la política permite el uso previsto para el tipo de información de la tarea, y</w:t>
      </w:r>
    </w:p>
    <w:p>
      <w:pPr>
        <w:pStyle w:val="Compact"/>
        <w:numPr>
          <w:ilvl w:val="1"/>
          <w:numId w:val="1039"/>
        </w:numPr>
      </w:pPr>
      <w:r>
        <w:rPr/>
        <w:t>Accediendo con la cuenta institucional, cuando la organización la asigna.</w:t>
      </w:r>
    </w:p>
    <w:p>
      <w:pPr>
        <w:pStyle w:val="Compact"/>
        <w:numPr>
          <w:ilvl w:val="0"/>
          <w:numId w:val="1040"/>
        </w:numPr>
      </w:pPr>
      <w:r>
        <w:rPr/>
        <w:t>Clasifica la información requerida para la tarea:</w:t>
      </w:r>
      <w:r>
        <w:rPr/>
        <w:t xml:space="preserve"> </w:t>
      </w:r>
    </w:p>
    <w:p>
      <w:pPr>
        <w:pStyle w:val="Compact"/>
        <w:numPr>
          <w:ilvl w:val="1"/>
          <w:numId w:val="1039"/>
        </w:numPr>
      </w:pPr>
      <w:r>
        <w:rPr/>
        <w:t>Revisando cada documento de trabajo que utilizará,</w:t>
      </w:r>
    </w:p>
    <w:p>
      <w:pPr>
        <w:pStyle w:val="Compact"/>
        <w:numPr>
          <w:ilvl w:val="1"/>
          <w:numId w:val="1039"/>
        </w:numPr>
      </w:pPr>
      <w:r>
        <w:rPr/>
        <w:t>Identificando los datos personales,</w:t>
      </w:r>
    </w:p>
    <w:p>
      <w:pPr>
        <w:pStyle w:val="Compact"/>
        <w:numPr>
          <w:ilvl w:val="1"/>
          <w:numId w:val="1039"/>
        </w:numPr>
      </w:pPr>
      <w:r>
        <w:rPr/>
        <w:t>Identificando los datos personales sensibles,</w:t>
      </w:r>
    </w:p>
    <w:p>
      <w:pPr>
        <w:pStyle w:val="Compact"/>
        <w:numPr>
          <w:ilvl w:val="1"/>
          <w:numId w:val="1039"/>
        </w:numPr>
      </w:pPr>
      <w:r>
        <w:rPr/>
        <w:t>Identificando la información confidencial de la organización y de terceros, y</w:t>
      </w:r>
    </w:p>
    <w:p>
      <w:pPr>
        <w:pStyle w:val="Compact"/>
        <w:numPr>
          <w:ilvl w:val="1"/>
          <w:numId w:val="1039"/>
        </w:numPr>
      </w:pPr>
      <w:r>
        <w:rPr/>
        <w:t>Asignando a cada tipo de información el nivel que establece el esquema de clasificación de la organización.</w:t>
      </w:r>
    </w:p>
    <w:p>
      <w:pPr>
        <w:pStyle w:val="Compact"/>
        <w:numPr>
          <w:ilvl w:val="0"/>
          <w:numId w:val="1040"/>
        </w:numPr>
      </w:pPr>
      <w:r>
        <w:rPr/>
        <w:t>Depura la información antes de ingresarla a la herramienta:</w:t>
      </w:r>
      <w:r>
        <w:rPr/>
        <w:t xml:space="preserve"> </w:t>
      </w:r>
    </w:p>
    <w:p>
      <w:pPr>
        <w:pStyle w:val="Compact"/>
        <w:numPr>
          <w:ilvl w:val="1"/>
          <w:numId w:val="1039"/>
        </w:numPr>
      </w:pPr>
      <w:r>
        <w:rPr/>
        <w:t>Eliminando los datos personales y la información confidencial que no son necesarios para la tarea,</w:t>
      </w:r>
    </w:p>
    <w:p>
      <w:pPr>
        <w:pStyle w:val="Compact"/>
        <w:numPr>
          <w:ilvl w:val="1"/>
          <w:numId w:val="1039"/>
        </w:numPr>
      </w:pPr>
      <w:r>
        <w:rPr/>
        <w:t>Sustituyendo por datos genéricos o ficticios los datos que permiten identificar a una persona,</w:t>
      </w:r>
    </w:p>
    <w:p>
      <w:pPr>
        <w:pStyle w:val="Compact"/>
        <w:numPr>
          <w:ilvl w:val="1"/>
          <w:numId w:val="1039"/>
        </w:numPr>
      </w:pPr>
      <w:r>
        <w:rPr/>
        <w:t>Verificando que la información depurada conserva lo necesario para realizar la tarea, y</w:t>
      </w:r>
    </w:p>
    <w:p>
      <w:pPr>
        <w:pStyle w:val="Compact"/>
        <w:numPr>
          <w:ilvl w:val="1"/>
          <w:numId w:val="1039"/>
        </w:numPr>
      </w:pPr>
      <w:r>
        <w:rPr/>
        <w:t>Solicitando autorización al responsable designado cuando la tarea requiere información clasificada que no puede depurarse.</w:t>
      </w:r>
    </w:p>
    <w:p>
      <w:pPr>
        <w:pStyle w:val="Compact"/>
        <w:numPr>
          <w:ilvl w:val="0"/>
          <w:numId w:val="1040"/>
        </w:numPr>
      </w:pPr>
      <w:r>
        <w:rPr/>
        <w:t>Ingresa la instrucción a la herramienta:</w:t>
      </w:r>
      <w:r>
        <w:rPr/>
        <w:t xml:space="preserve"> </w:t>
      </w:r>
    </w:p>
    <w:p>
      <w:pPr>
        <w:pStyle w:val="Compact"/>
        <w:numPr>
          <w:ilvl w:val="1"/>
          <w:numId w:val="1039"/>
        </w:numPr>
      </w:pPr>
      <w:r>
        <w:rPr/>
        <w:t>Utilizando únicamente la información depurada o autorizada,</w:t>
      </w:r>
    </w:p>
    <w:p>
      <w:pPr>
        <w:pStyle w:val="Compact"/>
        <w:numPr>
          <w:ilvl w:val="1"/>
          <w:numId w:val="1039"/>
        </w:numPr>
      </w:pPr>
      <w:r>
        <w:rPr/>
        <w:t>Indicando el objetivo, el contexto y el formato del resultado esperado, y</w:t>
      </w:r>
    </w:p>
    <w:p>
      <w:pPr>
        <w:pStyle w:val="Compact"/>
        <w:numPr>
          <w:ilvl w:val="1"/>
          <w:numId w:val="1039"/>
        </w:numPr>
      </w:pPr>
      <w:r>
        <w:rPr/>
        <w:t>Omitiendo en el texto de la instrucción datos personales e información confidencial.</w:t>
      </w:r>
    </w:p>
    <w:p>
      <w:pPr>
        <w:pStyle w:val="BodyText"/>
      </w:pPr>
      <w:r>
        <w:rPr/>
        <w:t>La persona es competente cuando obtiene los siguientes:</w:t>
      </w:r>
    </w:p>
    <w:p>
      <w:pPr>
        <w:pStyle w:val="BodyText"/>
      </w:pPr>
      <w:r>
        <w:rPr>
          <w:b/>
        </w:rPr>
        <w:t>PRODUCTOS</w:t>
      </w:r>
    </w:p>
    <w:p>
      <w:pPr>
        <w:pStyle w:val="Compact"/>
        <w:numPr>
          <w:ilvl w:val="0"/>
          <w:numId w:val="1041"/>
        </w:numPr>
      </w:pPr>
      <w:r>
        <w:rPr/>
        <w:t>El registro de clasificación de la información elaborado:</w:t>
      </w:r>
      <w:r>
        <w:rPr/>
        <w:t xml:space="preserve"> </w:t>
      </w:r>
    </w:p>
    <w:p>
      <w:pPr>
        <w:pStyle w:val="Compact"/>
        <w:numPr>
          <w:ilvl w:val="1"/>
          <w:numId w:val="1039"/>
        </w:numPr>
      </w:pPr>
      <w:r>
        <w:rPr/>
        <w:t>Contiene la descripción de la tarea,</w:t>
      </w:r>
    </w:p>
    <w:p>
      <w:pPr>
        <w:pStyle w:val="Compact"/>
        <w:numPr>
          <w:ilvl w:val="1"/>
          <w:numId w:val="1039"/>
        </w:numPr>
      </w:pPr>
      <w:r>
        <w:rPr/>
        <w:t>Contiene el nombre de la herramienta y su condición de autorizada,</w:t>
      </w:r>
    </w:p>
    <w:p>
      <w:pPr>
        <w:pStyle w:val="Compact"/>
        <w:numPr>
          <w:ilvl w:val="1"/>
          <w:numId w:val="1039"/>
        </w:numPr>
      </w:pPr>
      <w:r>
        <w:rPr/>
        <w:t>Identifica cada tipo de información contenida en los documentos de trabajo,</w:t>
      </w:r>
    </w:p>
    <w:p>
      <w:pPr>
        <w:pStyle w:val="Compact"/>
        <w:numPr>
          <w:ilvl w:val="1"/>
          <w:numId w:val="1039"/>
        </w:numPr>
      </w:pPr>
      <w:r>
        <w:rPr/>
        <w:t>Indica el nivel de clasificación asignado a cada tipo de información,</w:t>
      </w:r>
    </w:p>
    <w:p>
      <w:pPr>
        <w:pStyle w:val="Compact"/>
        <w:numPr>
          <w:ilvl w:val="1"/>
          <w:numId w:val="1039"/>
        </w:numPr>
      </w:pPr>
      <w:r>
        <w:rPr/>
        <w:t>Especifica el tratamiento aplicado a cada tipo de información: conservación, eliminación, sustitución o autorización,</w:t>
      </w:r>
    </w:p>
    <w:p>
      <w:pPr>
        <w:pStyle w:val="Compact"/>
        <w:numPr>
          <w:ilvl w:val="1"/>
          <w:numId w:val="1039"/>
        </w:numPr>
      </w:pPr>
      <w:r>
        <w:rPr/>
        <w:t>Incluye, en su caso, el nombre del responsable que autorizó el uso de información clasificada, e</w:t>
      </w:r>
    </w:p>
    <w:p>
      <w:pPr>
        <w:pStyle w:val="Compact"/>
        <w:numPr>
          <w:ilvl w:val="1"/>
          <w:numId w:val="1039"/>
        </w:numPr>
      </w:pPr>
      <w:r>
        <w:rPr/>
        <w:t>Incluye la fecha y el nombre de quien lo elaboró.</w:t>
      </w:r>
    </w:p>
    <w:p>
      <w:pPr>
        <w:pStyle w:val="Compact"/>
        <w:numPr>
          <w:ilvl w:val="0"/>
          <w:numId w:val="1041"/>
        </w:numPr>
      </w:pPr>
      <w:r>
        <w:rPr/>
        <w:t>La información depurada para la tarea:</w:t>
      </w:r>
      <w:r>
        <w:rPr/>
        <w:t xml:space="preserve"> </w:t>
      </w:r>
    </w:p>
    <w:p>
      <w:pPr>
        <w:pStyle w:val="Compact"/>
        <w:numPr>
          <w:ilvl w:val="1"/>
          <w:numId w:val="1039"/>
        </w:numPr>
      </w:pPr>
      <w:r>
        <w:rPr/>
        <w:t>No contiene datos que permitan identificar a una persona, salvo autorización registrada,</w:t>
      </w:r>
    </w:p>
    <w:p>
      <w:pPr>
        <w:pStyle w:val="Compact"/>
        <w:numPr>
          <w:ilvl w:val="1"/>
          <w:numId w:val="1039"/>
        </w:numPr>
      </w:pPr>
      <w:r>
        <w:rPr/>
        <w:t>No contiene información confidencial ajena al propósito de la tarea, y</w:t>
      </w:r>
    </w:p>
    <w:p>
      <w:pPr>
        <w:pStyle w:val="Compact"/>
        <w:numPr>
          <w:ilvl w:val="1"/>
          <w:numId w:val="1039"/>
        </w:numPr>
      </w:pPr>
      <w:r>
        <w:rPr/>
        <w:t>Conserva los elementos necesarios para realizar la tarea.</w:t>
      </w:r>
    </w:p>
    <w:p>
      <w:pPr>
        <w:pStyle w:val="BodyText"/>
      </w:pPr>
      <w:r>
        <w:rPr/>
        <w:t>La persona es competente cuando posee los siguientes: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847"/>
        <w:gridCol w:w="898"/>
      </w:tblGrid>
      <w:tr>
        <w:trPr>
          <w:tblHeader w:val="true"/>
          <w:cantSplit/>
        </w:trPr>
        <w:tc>
          <w:tcPr>
            <w:tcW w:w="8847" w:type="dxa"/>
            <w:shd w:val="clear" w:color="auto" w:fill="ECECEC"/>
          </w:tcPr>
          <w:p>
            <w:pPr>
              <w:pStyle w:val="Compact"/>
              <w:spacing w:before="20" w:after="20"/>
            </w:pPr>
            <w:r>
              <w:rPr>
                <w:b/>
                <w:sz w:val="17"/>
              </w:rPr>
              <w:t>CONOCIMIENTOS</w:t>
            </w:r>
          </w:p>
        </w:tc>
        <w:tc>
          <w:tcPr>
            <w:tcW w:w="898" w:type="dxa"/>
            <w:shd w:val="clear" w:color="auto" w:fill="ECECEC"/>
          </w:tcPr>
          <w:p>
            <w:pPr>
              <w:pStyle w:val="Compact"/>
              <w:spacing w:before="20" w:after="20"/>
            </w:pPr>
            <w:r>
              <w:rPr>
                <w:b/>
                <w:sz w:val="17"/>
              </w:rPr>
              <w:t>NIVEL</w:t>
            </w:r>
          </w:p>
        </w:tc>
      </w:tr>
      <w:tr>
        <w:tc>
          <w:tcPr>
            <w:tcW w:w="8847" w:type="dxa"/>
          </w:tcPr>
          <w:p>
            <w:pPr>
              <w:pStyle w:val="Compact"/>
              <w:spacing w:before="20" w:after="20"/>
            </w:pPr>
            <w:r>
              <w:rPr>
                <w:sz w:val="17"/>
              </w:rPr>
              <w:t>1. Datos personales, datos personales sensibles e información confidencial: concepto y ejemplos.</w:t>
            </w:r>
          </w:p>
        </w:tc>
        <w:tc>
          <w:tcPr>
            <w:tcW w:w="898" w:type="dxa"/>
          </w:tcPr>
          <w:p>
            <w:pPr>
              <w:pStyle w:val="Compact"/>
              <w:spacing w:before="20" w:after="20"/>
            </w:pPr>
            <w:r>
              <w:rPr>
                <w:sz w:val="17"/>
              </w:rPr>
              <w:t>Comprensión</w:t>
            </w:r>
          </w:p>
        </w:tc>
      </w:tr>
      <w:tr>
        <w:tc>
          <w:tcPr>
            <w:tcW w:w="8847" w:type="dxa"/>
          </w:tcPr>
          <w:p>
            <w:pPr>
              <w:pStyle w:val="Compact"/>
              <w:spacing w:before="20" w:after="20"/>
            </w:pPr>
            <w:r>
              <w:rPr>
                <w:sz w:val="17"/>
              </w:rPr>
              <w:t>2. Principios y deberes de protección de datos personales previstos en la legislación vigente.</w:t>
            </w:r>
          </w:p>
        </w:tc>
        <w:tc>
          <w:tcPr>
            <w:tcW w:w="898" w:type="dxa"/>
          </w:tcPr>
          <w:p>
            <w:pPr>
              <w:pStyle w:val="Compact"/>
              <w:spacing w:before="20" w:after="20"/>
            </w:pPr>
            <w:r>
              <w:rPr>
                <w:sz w:val="17"/>
              </w:rPr>
              <w:t>Conocimiento</w:t>
            </w:r>
          </w:p>
        </w:tc>
      </w:tr>
      <w:tr>
        <w:tc>
          <w:tcPr>
            <w:tcW w:w="8847" w:type="dxa"/>
          </w:tcPr>
          <w:p>
            <w:pPr>
              <w:pStyle w:val="Compact"/>
              <w:spacing w:before="20" w:after="20"/>
            </w:pPr>
            <w:r>
              <w:rPr>
                <w:sz w:val="17"/>
              </w:rPr>
              <w:t>3. Tratamiento que las herramientas de IA generativa pueden dar a la información ingresada: almacenamiento, conservación, uso para entrenamiento y acceso por terceros.</w:t>
            </w:r>
          </w:p>
        </w:tc>
        <w:tc>
          <w:tcPr>
            <w:tcW w:w="898" w:type="dxa"/>
          </w:tcPr>
          <w:p>
            <w:pPr>
              <w:pStyle w:val="Compact"/>
              <w:spacing w:before="20" w:after="20"/>
            </w:pPr>
            <w:r>
              <w:rPr>
                <w:sz w:val="17"/>
              </w:rPr>
              <w:t>Comprensión</w:t>
            </w:r>
          </w:p>
        </w:tc>
      </w:tr>
      <w:tr>
        <w:tc>
          <w:tcPr>
            <w:tcW w:w="8847" w:type="dxa"/>
          </w:tcPr>
          <w:p>
            <w:pPr>
              <w:pStyle w:val="Compact"/>
              <w:spacing w:before="20" w:after="20"/>
            </w:pPr>
            <w:r>
              <w:rPr>
                <w:sz w:val="17"/>
              </w:rPr>
              <w:t>4. Diferencias entre cuentas institucionales y cuentas personales en herramientas de IA generativa.</w:t>
            </w:r>
          </w:p>
        </w:tc>
        <w:tc>
          <w:tcPr>
            <w:tcW w:w="898" w:type="dxa"/>
          </w:tcPr>
          <w:p>
            <w:pPr>
              <w:pStyle w:val="Compact"/>
              <w:spacing w:before="20" w:after="20"/>
            </w:pPr>
            <w:r>
              <w:rPr>
                <w:sz w:val="17"/>
              </w:rPr>
              <w:t>Comprensión</w:t>
            </w:r>
          </w:p>
        </w:tc>
      </w:tr>
      <w:tr>
        <w:tc>
          <w:tcPr>
            <w:tcW w:w="8847" w:type="dxa"/>
          </w:tcPr>
          <w:p>
            <w:pPr>
              <w:pStyle w:val="Compact"/>
              <w:spacing w:before="20" w:after="20"/>
            </w:pPr>
            <w:r>
              <w:rPr>
                <w:sz w:val="17"/>
              </w:rPr>
              <w:t>5. Técnicas de eliminación y sustitución de datos que permiten identificar a una persona.</w:t>
            </w:r>
          </w:p>
        </w:tc>
        <w:tc>
          <w:tcPr>
            <w:tcW w:w="898" w:type="dxa"/>
          </w:tcPr>
          <w:p>
            <w:pPr>
              <w:pStyle w:val="Compact"/>
              <w:spacing w:before="20" w:after="20"/>
            </w:pPr>
            <w:r>
              <w:rPr>
                <w:sz w:val="17"/>
              </w:rPr>
              <w:t>Aplicación</w:t>
            </w:r>
          </w:p>
        </w:tc>
      </w:tr>
    </w:tbl>
    <w:p>
      <w:pPr>
        <w:pStyle w:val="BodyText"/>
      </w:pPr>
    </w:p>
    <w:p>
      <w:pPr>
        <w:pStyle w:val="BodyText"/>
      </w:pPr>
      <w:r>
        <w:rPr/>
        <w:t>La persona es competente cuando demuestra las siguientes:</w:t>
      </w:r>
    </w:p>
    <w:p>
      <w:pPr>
        <w:pStyle w:val="BodyText"/>
      </w:pPr>
      <w:r>
        <w:rPr>
          <w:b/>
        </w:rPr>
        <w:t>RESPUESTAS ANTE SITUACIONES EMERGENTES</w:t>
      </w:r>
    </w:p>
    <w:p>
      <w:pPr>
        <w:pStyle w:val="BodyText"/>
      </w:pPr>
      <w:r>
        <w:rPr>
          <w:b/>
        </w:rPr>
        <w:t>Situación emergente</w:t>
      </w:r>
    </w:p>
    <w:p>
      <w:pPr>
        <w:pStyle w:val="Compact"/>
        <w:numPr>
          <w:ilvl w:val="0"/>
          <w:numId w:val="1042"/>
        </w:numPr>
      </w:pPr>
      <w:r>
        <w:rPr/>
        <w:t>La tarea requiere ingresar a la herramienta datos personales sensibles que no pueden depurarse y el responsable designado no está disponible para autorizarlo.</w:t>
      </w:r>
    </w:p>
    <w:p>
      <w:pPr>
        <w:pStyle w:val="BodyText"/>
      </w:pPr>
      <w:r>
        <w:rPr>
          <w:b/>
        </w:rPr>
        <w:t>Respuestas esperadas</w:t>
      </w:r>
    </w:p>
    <w:p>
      <w:pPr>
        <w:pStyle w:val="Compact"/>
        <w:numPr>
          <w:ilvl w:val="0"/>
          <w:numId w:val="1043"/>
        </w:numPr>
      </w:pPr>
      <w:r>
        <w:rPr/>
        <w:t>Se abstiene de ingresar la información a la herramienta, registra la situación en el registro de clasificación, informa a su superior inmediato y realiza la tarea sin la herramienta o la reprograma hasta obtener la autorización.</w:t>
      </w:r>
    </w:p>
    <w:p>
      <w:pPr>
        <w:pStyle w:val="BodyText"/>
      </w:pPr>
      <w:r>
        <w:rPr/>
        <w:t>La persona es competente cuando demuestra las siguientes:</w:t>
      </w:r>
    </w:p>
    <w:p>
      <w:pPr>
        <w:pStyle w:val="BodyText"/>
      </w:pPr>
      <w:r>
        <w:rPr>
          <w:b/>
        </w:rPr>
        <w:t>ACTITUDES/HÁBITOS/VALORES</w:t>
      </w:r>
    </w:p>
    <w:p>
      <w:pPr>
        <w:pStyle w:val="Compact"/>
        <w:numPr>
          <w:ilvl w:val="0"/>
          <w:numId w:val="1044"/>
        </w:numPr>
      </w:pPr>
      <w:r>
        <w:rPr/>
        <w:t>Responsabilidad: La manera en que verifica que la herramienta está autorizada antes de ingresar cualquier información.</w:t>
      </w:r>
    </w:p>
    <w:p>
      <w:pPr>
        <w:pStyle w:val="Compact"/>
        <w:numPr>
          <w:ilvl w:val="0"/>
          <w:numId w:val="1044"/>
        </w:numPr>
      </w:pPr>
      <w:r>
        <w:rPr/>
        <w:t>Orden: La manera en que registra la clasificación y el tratamiento de cada tipo de información siguiendo la secuencia del esquema de la organización.</w:t>
      </w:r>
    </w:p>
    <w:p>
      <w:pPr>
        <w:pStyle w:val="BodyText"/>
      </w:pPr>
      <w:r>
        <w:rPr>
          <w:b/>
        </w:rPr>
        <w:t>GLOSARIO</w:t>
      </w:r>
    </w:p>
    <w:p>
      <w:pPr>
        <w:pStyle w:val="Compact"/>
        <w:numPr>
          <w:ilvl w:val="0"/>
          <w:numId w:val="1045"/>
        </w:numPr>
      </w:pPr>
      <w:r>
        <w:rPr/>
        <w:t>Cuenta institucional: Acceso a una herramienta de IA generativa contratado o administrado por la organización, sujeto a sus condiciones de uso y seguridad.</w:t>
      </w:r>
    </w:p>
    <w:p>
      <w:pPr>
        <w:pStyle w:val="Compact"/>
        <w:numPr>
          <w:ilvl w:val="0"/>
          <w:numId w:val="1045"/>
        </w:numPr>
      </w:pPr>
      <w:r>
        <w:rPr/>
        <w:t>Dato personal: Cualquier información concerniente a una persona identificada o identificable. Se considera que una persona es identificable cuando su identidad pueda determinarse directa o indirectamente a través de cualquier información.</w:t>
      </w:r>
    </w:p>
    <w:p>
      <w:pPr>
        <w:pStyle w:val="Compact"/>
        <w:numPr>
          <w:ilvl w:val="0"/>
          <w:numId w:val="1045"/>
        </w:numPr>
      </w:pPr>
      <w:r>
        <w:rPr/>
        <w:t>Dato personal sensible: Aquellos datos personales que afectan a la esfera más íntima de la persona titular, o cuya utilización indebida puede dar origen a discriminación o conlleva un riesgo grave para esta; de manera enunciativa más no limitativa, los que puedan revelar aspectos como origen racial o étnico, estado de salud presente o futuro, información genética, creencias religiosas, filosóficas y morales, opiniones políticas y preferencia sexual.</w:t>
      </w:r>
    </w:p>
    <w:p>
      <w:pPr>
        <w:pStyle w:val="Compact"/>
        <w:numPr>
          <w:ilvl w:val="0"/>
          <w:numId w:val="1045"/>
        </w:numPr>
      </w:pPr>
      <w:r>
        <w:rPr/>
        <w:t>Depuración de la información: Eliminación o sustitución de los datos personales y de la información confidencial que no son necesarios para una tarea, antes de ingresarla a una herramienta de IA.</w:t>
      </w:r>
    </w:p>
    <w:p>
      <w:pPr>
        <w:pStyle w:val="Compact"/>
        <w:numPr>
          <w:ilvl w:val="0"/>
          <w:numId w:val="1045"/>
        </w:numPr>
      </w:pPr>
      <w:r>
        <w:rPr/>
        <w:t>Esquema de clasificación de la información: Criterios de la organización para asignar a cada tipo de información un nivel de acceso y de protección.</w:t>
      </w:r>
    </w:p>
    <w:p>
      <w:pPr>
        <w:pStyle w:val="Compact"/>
        <w:numPr>
          <w:ilvl w:val="0"/>
          <w:numId w:val="1045"/>
        </w:numPr>
      </w:pPr>
      <w:r>
        <w:rPr/>
        <w:t>Herramienta autorizada: Herramienta de IA generativa aprobada expresamente por la organización para un uso determinado.</w:t>
      </w:r>
    </w:p>
    <w:p>
      <w:pPr>
        <w:pStyle w:val="Compact"/>
        <w:numPr>
          <w:ilvl w:val="0"/>
          <w:numId w:val="1045"/>
        </w:numPr>
      </w:pPr>
      <w:r>
        <w:rPr/>
        <w:t>Información confidencial: Información de la organización o de terceros cuyo acceso está restringido por disposición legal, contractual o por decisión de la organización.</w:t>
      </w:r>
    </w:p>
    <w:p>
      <w:pPr>
        <w:pStyle w:val="Compact"/>
        <w:numPr>
          <w:ilvl w:val="0"/>
          <w:numId w:val="1045"/>
        </w:numPr>
      </w:pPr>
      <w:r>
        <w:rPr/>
        <w:t xml:space="preserve">Instrucción: Texto que la persona ingresa a una herramienta de IA generativa para indicarle el resultado esperado; también se le denomina </w:t>
      </w:r>
      <w:r>
        <w:rPr>
          <w:i/>
        </w:rPr>
        <w:t>prompt</w:t>
      </w:r>
      <w:r>
        <w:rPr/>
        <w:t>.</w:t>
      </w:r>
    </w:p>
    <w:p>
      <w:pPr>
        <w:pStyle w:val="BodyText"/>
        <w:pBdr>
          <w:bottom w:val="single" w:sz="4" w:space="1" w:color="BFC0C0"/>
        </w:pBdr>
      </w:pP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65"/>
        <w:gridCol w:w="865"/>
        <w:gridCol w:w="8014"/>
      </w:tblGrid>
      <w:tr>
        <w:trPr>
          <w:tblHeader w:val="true"/>
          <w:cantSplit/>
        </w:trPr>
        <w:tc>
          <w:tcPr>
            <w:tcW w:w="865" w:type="dxa"/>
            <w:shd w:val="clear" w:color="auto" w:fill="ECECEC"/>
          </w:tcPr>
          <w:p>
            <w:pPr>
              <w:pStyle w:val="Compact"/>
              <w:spacing w:before="20" w:after="20"/>
            </w:pPr>
            <w:r>
              <w:rPr>
                <w:b/>
                <w:sz w:val="17"/>
              </w:rPr>
              <w:t>Referencia</w:t>
            </w:r>
          </w:p>
        </w:tc>
        <w:tc>
          <w:tcPr>
            <w:tcW w:w="865" w:type="dxa"/>
            <w:shd w:val="clear" w:color="auto" w:fill="ECECEC"/>
          </w:tcPr>
          <w:p>
            <w:pPr>
              <w:pStyle w:val="Compact"/>
              <w:spacing w:before="20" w:after="20"/>
            </w:pPr>
            <w:r>
              <w:rPr>
                <w:b/>
                <w:sz w:val="17"/>
              </w:rPr>
              <w:t>Código</w:t>
            </w:r>
          </w:p>
        </w:tc>
        <w:tc>
          <w:tcPr>
            <w:tcW w:w="8014" w:type="dxa"/>
            <w:shd w:val="clear" w:color="auto" w:fill="ECECEC"/>
          </w:tcPr>
          <w:p>
            <w:pPr>
              <w:pStyle w:val="Compact"/>
              <w:spacing w:before="20" w:after="20"/>
            </w:pPr>
            <w:r>
              <w:rPr>
                <w:b/>
                <w:sz w:val="17"/>
              </w:rPr>
              <w:t>Título</w:t>
            </w:r>
          </w:p>
        </w:tc>
      </w:tr>
      <w:tr>
        <w:tc>
          <w:tcPr>
            <w:tcW w:w="865" w:type="dxa"/>
          </w:tcPr>
          <w:p>
            <w:pPr>
              <w:pStyle w:val="Compact"/>
              <w:spacing w:before="20" w:after="20"/>
            </w:pPr>
            <w:r>
              <w:rPr>
                <w:sz w:val="17"/>
              </w:rPr>
              <w:t>2 de 3</w:t>
            </w:r>
          </w:p>
        </w:tc>
        <w:tc>
          <w:tcPr>
            <w:tcW w:w="865" w:type="dxa"/>
          </w:tcPr>
          <w:p>
            <w:pPr>
              <w:pStyle w:val="Compact"/>
              <w:spacing w:before="20" w:after="20"/>
            </w:pPr>
            <w:r>
              <w:rPr>
                <w:sz w:val="17"/>
              </w:rPr>
              <w:t>[E0000]</w:t>
            </w:r>
          </w:p>
        </w:tc>
        <w:tc>
          <w:tcPr>
            <w:tcW w:w="8014" w:type="dxa"/>
          </w:tcPr>
          <w:p>
            <w:pPr>
              <w:pStyle w:val="Compact"/>
              <w:spacing w:before="20" w:after="20"/>
            </w:pPr>
            <w:r>
              <w:rPr>
                <w:sz w:val="17"/>
              </w:rPr>
              <w:t>Verificar los productos de trabajo elaborados con herramientas de inteligencia artificial generativa</w:t>
            </w:r>
          </w:p>
        </w:tc>
      </w:tr>
    </w:tbl>
    <w:p>
      <w:pPr>
        <w:pStyle w:val="BodyText"/>
      </w:pPr>
    </w:p>
    <w:p>
      <w:pPr>
        <w:pStyle w:val="Heading3"/>
      </w:pPr>
      <w:r>
        <w:rPr/>
        <w:t>CRITERIOS DE EVALUACIÓN</w:t>
      </w:r>
    </w:p>
    <w:p>
      <w:pPr>
        <w:pStyle w:val="FirstParagraph"/>
      </w:pPr>
      <w:r>
        <w:rPr/>
        <w:t>La persona es competente cuando demuestra los siguientes:</w:t>
      </w:r>
    </w:p>
    <w:p>
      <w:pPr>
        <w:pStyle w:val="BodyText"/>
      </w:pPr>
      <w:r>
        <w:rPr>
          <w:b/>
        </w:rPr>
        <w:t>DESEMPEÑOS</w:t>
      </w:r>
    </w:p>
    <w:p>
      <w:pPr>
        <w:pStyle w:val="Compact"/>
        <w:numPr>
          <w:ilvl w:val="0"/>
          <w:numId w:val="1046"/>
        </w:numPr>
      </w:pPr>
      <w:r>
        <w:rPr/>
        <w:t>Verifica el contenido generado por la herramienta:</w:t>
      </w:r>
      <w:r>
        <w:rPr/>
        <w:t xml:space="preserve"> </w:t>
      </w:r>
    </w:p>
    <w:p>
      <w:pPr>
        <w:pStyle w:val="Compact"/>
        <w:numPr>
          <w:ilvl w:val="1"/>
          <w:numId w:val="1039"/>
        </w:numPr>
      </w:pPr>
      <w:r>
        <w:rPr/>
        <w:t>Contrastando cada dato, cifra, fecha, nombre propio, cita y referencia con al menos una fuente verificable distinta de la herramienta,</w:t>
      </w:r>
    </w:p>
    <w:p>
      <w:pPr>
        <w:pStyle w:val="Compact"/>
        <w:numPr>
          <w:ilvl w:val="1"/>
          <w:numId w:val="1039"/>
        </w:numPr>
      </w:pPr>
      <w:r>
        <w:rPr/>
        <w:t>Identificando la información inexacta, desactualizada o inexistente,</w:t>
      </w:r>
    </w:p>
    <w:p>
      <w:pPr>
        <w:pStyle w:val="Compact"/>
        <w:numPr>
          <w:ilvl w:val="1"/>
          <w:numId w:val="1039"/>
        </w:numPr>
      </w:pPr>
      <w:r>
        <w:rPr/>
        <w:t>Identificando el contenido sesgado o discriminatorio, y</w:t>
      </w:r>
    </w:p>
    <w:p>
      <w:pPr>
        <w:pStyle w:val="Compact"/>
        <w:numPr>
          <w:ilvl w:val="1"/>
          <w:numId w:val="1039"/>
        </w:numPr>
      </w:pPr>
      <w:r>
        <w:rPr/>
        <w:t>Corrigiendo o eliminando el contenido que no pudo verificarse.</w:t>
      </w:r>
    </w:p>
    <w:p>
      <w:pPr>
        <w:pStyle w:val="Compact"/>
        <w:numPr>
          <w:ilvl w:val="0"/>
          <w:numId w:val="1046"/>
        </w:numPr>
      </w:pPr>
      <w:r>
        <w:rPr/>
        <w:t>Revisa que el producto respete la información y los derechos de terceros:</w:t>
      </w:r>
      <w:r>
        <w:rPr/>
        <w:t xml:space="preserve"> </w:t>
      </w:r>
    </w:p>
    <w:p>
      <w:pPr>
        <w:pStyle w:val="Compact"/>
        <w:numPr>
          <w:ilvl w:val="1"/>
          <w:numId w:val="1039"/>
        </w:numPr>
      </w:pPr>
      <w:r>
        <w:rPr/>
        <w:t>Verificando que no contiene datos personales ni información confidencial no autorizados, incluidos los que haya incorporado la herramienta,</w:t>
      </w:r>
    </w:p>
    <w:p>
      <w:pPr>
        <w:pStyle w:val="Compact"/>
        <w:numPr>
          <w:ilvl w:val="1"/>
          <w:numId w:val="1039"/>
        </w:numPr>
      </w:pPr>
      <w:r>
        <w:rPr/>
        <w:t>Verificando que no utiliza la imagen, la voz o los rasgos físicos de una persona sin su autorización,</w:t>
      </w:r>
    </w:p>
    <w:p>
      <w:pPr>
        <w:pStyle w:val="Compact"/>
        <w:numPr>
          <w:ilvl w:val="1"/>
          <w:numId w:val="1039"/>
        </w:numPr>
      </w:pPr>
      <w:r>
        <w:rPr/>
        <w:t>Verificando que no reproduce obras protegidas ni signos distintivos sin autorización, y</w:t>
      </w:r>
    </w:p>
    <w:p>
      <w:pPr>
        <w:pStyle w:val="Compact"/>
        <w:numPr>
          <w:ilvl w:val="1"/>
          <w:numId w:val="1039"/>
        </w:numPr>
      </w:pPr>
      <w:r>
        <w:rPr/>
        <w:t>Etiquetando como generado con IA el contenido sintético de imagen, audio o video, conforme a la política de la organización.</w:t>
      </w:r>
    </w:p>
    <w:p>
      <w:pPr>
        <w:pStyle w:val="Compact"/>
        <w:numPr>
          <w:ilvl w:val="0"/>
          <w:numId w:val="1046"/>
        </w:numPr>
      </w:pPr>
      <w:r>
        <w:rPr/>
        <w:t>Declara el uso de la herramienta de IA generativa:</w:t>
      </w:r>
      <w:r>
        <w:rPr/>
        <w:t xml:space="preserve"> </w:t>
      </w:r>
    </w:p>
    <w:p>
      <w:pPr>
        <w:pStyle w:val="Compact"/>
        <w:numPr>
          <w:ilvl w:val="1"/>
          <w:numId w:val="1039"/>
        </w:numPr>
      </w:pPr>
      <w:r>
        <w:rPr/>
        <w:t>Aplicando la política de la organización o las reglas de la institución educativa,</w:t>
      </w:r>
    </w:p>
    <w:p>
      <w:pPr>
        <w:pStyle w:val="Compact"/>
        <w:numPr>
          <w:ilvl w:val="1"/>
          <w:numId w:val="1039"/>
        </w:numPr>
      </w:pPr>
      <w:r>
        <w:rPr/>
        <w:t>Indicando la herramienta utilizada, e</w:t>
      </w:r>
    </w:p>
    <w:p>
      <w:pPr>
        <w:pStyle w:val="Compact"/>
        <w:numPr>
          <w:ilvl w:val="1"/>
          <w:numId w:val="1039"/>
        </w:numPr>
      </w:pPr>
      <w:r>
        <w:rPr/>
        <w:t>Indicando la parte del producto elaborada con apoyo de la herramienta.</w:t>
      </w:r>
    </w:p>
    <w:p>
      <w:pPr>
        <w:pStyle w:val="BodyText"/>
      </w:pPr>
      <w:r>
        <w:rPr/>
        <w:t>La persona es competente cuando obtiene los siguientes:</w:t>
      </w:r>
    </w:p>
    <w:p>
      <w:pPr>
        <w:pStyle w:val="BodyText"/>
      </w:pPr>
      <w:r>
        <w:rPr>
          <w:b/>
        </w:rPr>
        <w:t>PRODUCTOS</w:t>
      </w:r>
    </w:p>
    <w:p>
      <w:pPr>
        <w:pStyle w:val="Compact"/>
        <w:numPr>
          <w:ilvl w:val="0"/>
          <w:numId w:val="1047"/>
        </w:numPr>
      </w:pPr>
      <w:r>
        <w:rPr/>
        <w:t>El producto de trabajo verificado:</w:t>
      </w:r>
      <w:r>
        <w:rPr/>
        <w:t xml:space="preserve"> </w:t>
      </w:r>
    </w:p>
    <w:p>
      <w:pPr>
        <w:pStyle w:val="Compact"/>
        <w:numPr>
          <w:ilvl w:val="1"/>
          <w:numId w:val="1039"/>
        </w:numPr>
      </w:pPr>
      <w:r>
        <w:rPr/>
        <w:t>Corresponde al objetivo de la tarea,</w:t>
      </w:r>
    </w:p>
    <w:p>
      <w:pPr>
        <w:pStyle w:val="Compact"/>
        <w:numPr>
          <w:ilvl w:val="1"/>
          <w:numId w:val="1039"/>
        </w:numPr>
      </w:pPr>
      <w:r>
        <w:rPr/>
        <w:t>No contiene datos, cifras, citas ni referencias sin verificar,</w:t>
      </w:r>
    </w:p>
    <w:p>
      <w:pPr>
        <w:pStyle w:val="Compact"/>
        <w:numPr>
          <w:ilvl w:val="1"/>
          <w:numId w:val="1039"/>
        </w:numPr>
      </w:pPr>
      <w:r>
        <w:rPr/>
        <w:t>No contiene datos personales ni información confidencial no autorizados,</w:t>
      </w:r>
    </w:p>
    <w:p>
      <w:pPr>
        <w:pStyle w:val="Compact"/>
        <w:numPr>
          <w:ilvl w:val="1"/>
          <w:numId w:val="1039"/>
        </w:numPr>
      </w:pPr>
      <w:r>
        <w:rPr/>
        <w:t>Incluye la declaración de uso de IA, e</w:t>
      </w:r>
    </w:p>
    <w:p>
      <w:pPr>
        <w:pStyle w:val="Compact"/>
        <w:numPr>
          <w:ilvl w:val="1"/>
          <w:numId w:val="1039"/>
        </w:numPr>
      </w:pPr>
      <w:r>
        <w:rPr/>
        <w:t>Incluye la etiqueta de contenido sintético, cuando contiene imagen, audio o video generados con IA.</w:t>
      </w:r>
    </w:p>
    <w:p>
      <w:pPr>
        <w:pStyle w:val="Compact"/>
        <w:numPr>
          <w:ilvl w:val="0"/>
          <w:numId w:val="1047"/>
        </w:numPr>
      </w:pPr>
      <w:r>
        <w:rPr/>
        <w:t>El registro de verificación elaborado:</w:t>
      </w:r>
      <w:r>
        <w:rPr/>
        <w:t xml:space="preserve"> </w:t>
      </w:r>
    </w:p>
    <w:p>
      <w:pPr>
        <w:pStyle w:val="Compact"/>
        <w:numPr>
          <w:ilvl w:val="1"/>
          <w:numId w:val="1039"/>
        </w:numPr>
      </w:pPr>
      <w:r>
        <w:rPr/>
        <w:t>Contiene el nombre de la herramienta utilizada,</w:t>
      </w:r>
    </w:p>
    <w:p>
      <w:pPr>
        <w:pStyle w:val="Compact"/>
        <w:numPr>
          <w:ilvl w:val="1"/>
          <w:numId w:val="1039"/>
        </w:numPr>
      </w:pPr>
      <w:r>
        <w:rPr/>
        <w:t>Contiene las instrucciones ingresadas a la herramienta,</w:t>
      </w:r>
    </w:p>
    <w:p>
      <w:pPr>
        <w:pStyle w:val="Compact"/>
        <w:numPr>
          <w:ilvl w:val="1"/>
          <w:numId w:val="1039"/>
        </w:numPr>
      </w:pPr>
      <w:r>
        <w:rPr/>
        <w:t>Contiene cada dato verificado y la fuente con la que se contrastó,</w:t>
      </w:r>
    </w:p>
    <w:p>
      <w:pPr>
        <w:pStyle w:val="Compact"/>
        <w:numPr>
          <w:ilvl w:val="1"/>
          <w:numId w:val="1039"/>
        </w:numPr>
      </w:pPr>
      <w:r>
        <w:rPr/>
        <w:t>Describe las correcciones y eliminaciones realizadas al contenido generado, e</w:t>
      </w:r>
    </w:p>
    <w:p>
      <w:pPr>
        <w:pStyle w:val="Compact"/>
        <w:numPr>
          <w:ilvl w:val="1"/>
          <w:numId w:val="1039"/>
        </w:numPr>
      </w:pPr>
      <w:r>
        <w:rPr/>
        <w:t>Incluye la fecha y el nombre de quien lo elaboró.</w:t>
      </w:r>
    </w:p>
    <w:p>
      <w:pPr>
        <w:pStyle w:val="BodyText"/>
      </w:pPr>
      <w:r>
        <w:rPr/>
        <w:t>La persona es competente cuando posee los siguientes: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825"/>
        <w:gridCol w:w="920"/>
      </w:tblGrid>
      <w:tr>
        <w:trPr>
          <w:tblHeader w:val="true"/>
          <w:cantSplit/>
        </w:trPr>
        <w:tc>
          <w:tcPr>
            <w:tcW w:w="8825" w:type="dxa"/>
            <w:shd w:val="clear" w:color="auto" w:fill="ECECEC"/>
          </w:tcPr>
          <w:p>
            <w:pPr>
              <w:pStyle w:val="Compact"/>
              <w:spacing w:before="20" w:after="20"/>
            </w:pPr>
            <w:r>
              <w:rPr>
                <w:b/>
                <w:sz w:val="17"/>
              </w:rPr>
              <w:t>CONOCIMIENTOS</w:t>
            </w:r>
          </w:p>
        </w:tc>
        <w:tc>
          <w:tcPr>
            <w:tcW w:w="920" w:type="dxa"/>
            <w:shd w:val="clear" w:color="auto" w:fill="ECECEC"/>
          </w:tcPr>
          <w:p>
            <w:pPr>
              <w:pStyle w:val="Compact"/>
              <w:spacing w:before="20" w:after="20"/>
            </w:pPr>
            <w:r>
              <w:rPr>
                <w:b/>
                <w:sz w:val="17"/>
              </w:rPr>
              <w:t>NIVEL</w:t>
            </w:r>
          </w:p>
        </w:tc>
      </w:tr>
      <w:tr>
        <w:tc>
          <w:tcPr>
            <w:tcW w:w="8825" w:type="dxa"/>
          </w:tcPr>
          <w:p>
            <w:pPr>
              <w:pStyle w:val="Compact"/>
              <w:spacing w:before="20" w:after="20"/>
            </w:pPr>
            <w:r>
              <w:rPr>
                <w:sz w:val="17"/>
              </w:rPr>
              <w:t>1. Funcionamiento general de la IA generativa y sus limitaciones: información inventada, sesgos y desactualización.</w:t>
            </w:r>
          </w:p>
        </w:tc>
        <w:tc>
          <w:tcPr>
            <w:tcW w:w="920" w:type="dxa"/>
          </w:tcPr>
          <w:p>
            <w:pPr>
              <w:pStyle w:val="Compact"/>
              <w:spacing w:before="20" w:after="20"/>
            </w:pPr>
            <w:r>
              <w:rPr>
                <w:sz w:val="17"/>
              </w:rPr>
              <w:t>Comprensión</w:t>
            </w:r>
          </w:p>
        </w:tc>
      </w:tr>
      <w:tr>
        <w:tc>
          <w:tcPr>
            <w:tcW w:w="8825" w:type="dxa"/>
          </w:tcPr>
          <w:p>
            <w:pPr>
              <w:pStyle w:val="Compact"/>
              <w:spacing w:before="20" w:after="20"/>
            </w:pPr>
            <w:r>
              <w:rPr>
                <w:sz w:val="17"/>
              </w:rPr>
              <w:t>2. Criterios para identificar fuentes verificables: autoría, fecha, origen institucional y trazabilidad.</w:t>
            </w:r>
          </w:p>
        </w:tc>
        <w:tc>
          <w:tcPr>
            <w:tcW w:w="920" w:type="dxa"/>
          </w:tcPr>
          <w:p>
            <w:pPr>
              <w:pStyle w:val="Compact"/>
              <w:spacing w:before="20" w:after="20"/>
            </w:pPr>
            <w:r>
              <w:rPr>
                <w:sz w:val="17"/>
              </w:rPr>
              <w:t>Aplicación</w:t>
            </w:r>
          </w:p>
        </w:tc>
      </w:tr>
      <w:tr>
        <w:tc>
          <w:tcPr>
            <w:tcW w:w="8825" w:type="dxa"/>
          </w:tcPr>
          <w:p>
            <w:pPr>
              <w:pStyle w:val="Compact"/>
              <w:spacing w:before="20" w:after="20"/>
            </w:pPr>
            <w:r>
              <w:rPr>
                <w:sz w:val="17"/>
              </w:rPr>
              <w:t>3. Nociones de derechos de autor y de protección de la imagen y la voz de las personas.</w:t>
            </w:r>
          </w:p>
        </w:tc>
        <w:tc>
          <w:tcPr>
            <w:tcW w:w="920" w:type="dxa"/>
          </w:tcPr>
          <w:p>
            <w:pPr>
              <w:pStyle w:val="Compact"/>
              <w:spacing w:before="20" w:after="20"/>
            </w:pPr>
            <w:r>
              <w:rPr>
                <w:sz w:val="17"/>
              </w:rPr>
              <w:t>Conocimiento</w:t>
            </w:r>
          </w:p>
        </w:tc>
      </w:tr>
      <w:tr>
        <w:tc>
          <w:tcPr>
            <w:tcW w:w="8825" w:type="dxa"/>
          </w:tcPr>
          <w:p>
            <w:pPr>
              <w:pStyle w:val="Compact"/>
              <w:spacing w:before="20" w:after="20"/>
            </w:pPr>
            <w:r>
              <w:rPr>
                <w:sz w:val="17"/>
              </w:rPr>
              <w:t>4. Formas de declarar el uso de IA en productos de trabajo y académicos.</w:t>
            </w:r>
          </w:p>
        </w:tc>
        <w:tc>
          <w:tcPr>
            <w:tcW w:w="920" w:type="dxa"/>
          </w:tcPr>
          <w:p>
            <w:pPr>
              <w:pStyle w:val="Compact"/>
              <w:spacing w:before="20" w:after="20"/>
            </w:pPr>
            <w:r>
              <w:rPr>
                <w:sz w:val="17"/>
              </w:rPr>
              <w:t>Aplicación</w:t>
            </w:r>
          </w:p>
        </w:tc>
      </w:tr>
    </w:tbl>
    <w:p>
      <w:pPr>
        <w:pStyle w:val="BodyText"/>
      </w:pPr>
    </w:p>
    <w:p>
      <w:pPr>
        <w:pStyle w:val="BodyText"/>
      </w:pPr>
      <w:r>
        <w:rPr/>
        <w:t>La persona es competente cuando demuestra las siguientes:</w:t>
      </w:r>
    </w:p>
    <w:p>
      <w:pPr>
        <w:pStyle w:val="BodyText"/>
      </w:pPr>
      <w:r>
        <w:rPr>
          <w:b/>
        </w:rPr>
        <w:t>ACTITUDES/HÁBITOS/VALORES</w:t>
      </w:r>
    </w:p>
    <w:p>
      <w:pPr>
        <w:pStyle w:val="Compact"/>
        <w:numPr>
          <w:ilvl w:val="0"/>
          <w:numId w:val="1048"/>
        </w:numPr>
      </w:pPr>
      <w:r>
        <w:rPr/>
        <w:t>Responsabilidad: La manera en que corrige o elimina el contenido que no pudo verificar antes de entregar el producto.</w:t>
      </w:r>
    </w:p>
    <w:p>
      <w:pPr>
        <w:pStyle w:val="Compact"/>
        <w:numPr>
          <w:ilvl w:val="0"/>
          <w:numId w:val="1048"/>
        </w:numPr>
      </w:pPr>
      <w:r>
        <w:rPr/>
        <w:t>Perseverancia: La manera en que contrasta cada dato con las fuentes hasta confirmarlo o descartarlo.</w:t>
      </w:r>
    </w:p>
    <w:p>
      <w:pPr>
        <w:pStyle w:val="BodyText"/>
      </w:pPr>
      <w:r>
        <w:rPr>
          <w:b/>
        </w:rPr>
        <w:t>GLOSARIO</w:t>
      </w:r>
    </w:p>
    <w:p>
      <w:pPr>
        <w:pStyle w:val="Compact"/>
        <w:numPr>
          <w:ilvl w:val="0"/>
          <w:numId w:val="1049"/>
        </w:numPr>
      </w:pPr>
      <w:r>
        <w:rPr/>
        <w:t>Contenido sintético: Texto, imagen, audio o video creado o modificado mediante inteligencia artificial.</w:t>
      </w:r>
    </w:p>
    <w:p>
      <w:pPr>
        <w:pStyle w:val="Compact"/>
        <w:numPr>
          <w:ilvl w:val="0"/>
          <w:numId w:val="1049"/>
        </w:numPr>
      </w:pPr>
      <w:r>
        <w:rPr/>
        <w:t>Declaración de uso de IA: Mención expresa, en un producto de trabajo, de la herramienta de IA utilizada y de la parte elaborada con su apoyo.</w:t>
      </w:r>
    </w:p>
    <w:p>
      <w:pPr>
        <w:pStyle w:val="Compact"/>
        <w:numPr>
          <w:ilvl w:val="0"/>
          <w:numId w:val="1049"/>
        </w:numPr>
      </w:pPr>
      <w:r>
        <w:rPr/>
        <w:t>Fuente verificable: Documento o registro distinto de la herramienta de IA, con autoría u origen identificable, que permite comprobar un dato.</w:t>
      </w:r>
    </w:p>
    <w:p>
      <w:pPr>
        <w:pStyle w:val="Compact"/>
        <w:numPr>
          <w:ilvl w:val="0"/>
          <w:numId w:val="1049"/>
        </w:numPr>
      </w:pPr>
      <w:r>
        <w:rPr/>
        <w:t>Información inventada: Contenido generado por la herramienta que aparenta ser verdadero, pero carece de sustento en una fuente verificable; también se le denomina alucinación.</w:t>
      </w:r>
    </w:p>
    <w:p>
      <w:pPr>
        <w:pStyle w:val="Compact"/>
        <w:numPr>
          <w:ilvl w:val="0"/>
          <w:numId w:val="1049"/>
        </w:numPr>
      </w:pPr>
      <w:r>
        <w:rPr/>
        <w:t>Sesgo: Tendencia sistemática del contenido generado a favorecer o perjudicar a personas o grupos.</w:t>
      </w:r>
    </w:p>
    <w:p>
      <w:pPr>
        <w:pStyle w:val="BodyText"/>
        <w:pBdr>
          <w:bottom w:val="single" w:sz="4" w:space="1" w:color="BFC0C0"/>
        </w:pBdr>
      </w:pP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943"/>
        <w:gridCol w:w="879"/>
        <w:gridCol w:w="7923"/>
      </w:tblGrid>
      <w:tr>
        <w:trPr>
          <w:tblHeader w:val="true"/>
          <w:cantSplit/>
        </w:trPr>
        <w:tc>
          <w:tcPr>
            <w:tcW w:w="943" w:type="dxa"/>
            <w:shd w:val="clear" w:color="auto" w:fill="ECECEC"/>
          </w:tcPr>
          <w:p>
            <w:pPr>
              <w:pStyle w:val="Compact"/>
              <w:spacing w:before="20" w:after="20"/>
            </w:pPr>
            <w:r>
              <w:rPr>
                <w:b/>
                <w:sz w:val="17"/>
              </w:rPr>
              <w:t>Referencia</w:t>
            </w:r>
          </w:p>
        </w:tc>
        <w:tc>
          <w:tcPr>
            <w:tcW w:w="879" w:type="dxa"/>
            <w:shd w:val="clear" w:color="auto" w:fill="ECECEC"/>
          </w:tcPr>
          <w:p>
            <w:pPr>
              <w:pStyle w:val="Compact"/>
              <w:spacing w:before="20" w:after="20"/>
            </w:pPr>
            <w:r>
              <w:rPr>
                <w:b/>
                <w:sz w:val="17"/>
              </w:rPr>
              <w:t>Código</w:t>
            </w:r>
          </w:p>
        </w:tc>
        <w:tc>
          <w:tcPr>
            <w:tcW w:w="7923" w:type="dxa"/>
            <w:shd w:val="clear" w:color="auto" w:fill="ECECEC"/>
          </w:tcPr>
          <w:p>
            <w:pPr>
              <w:pStyle w:val="Compact"/>
              <w:spacing w:before="20" w:after="20"/>
            </w:pPr>
            <w:r>
              <w:rPr>
                <w:b/>
                <w:sz w:val="17"/>
              </w:rPr>
              <w:t>Título</w:t>
            </w:r>
          </w:p>
        </w:tc>
      </w:tr>
      <w:tr>
        <w:tc>
          <w:tcPr>
            <w:tcW w:w="943" w:type="dxa"/>
          </w:tcPr>
          <w:p>
            <w:pPr>
              <w:pStyle w:val="Compact"/>
              <w:spacing w:before="20" w:after="20"/>
            </w:pPr>
            <w:r>
              <w:rPr>
                <w:sz w:val="17"/>
              </w:rPr>
              <w:t>3 de 3</w:t>
            </w:r>
          </w:p>
        </w:tc>
        <w:tc>
          <w:tcPr>
            <w:tcW w:w="879" w:type="dxa"/>
          </w:tcPr>
          <w:p>
            <w:pPr>
              <w:pStyle w:val="Compact"/>
              <w:spacing w:before="20" w:after="20"/>
            </w:pPr>
            <w:r>
              <w:rPr>
                <w:sz w:val="17"/>
              </w:rPr>
              <w:t>[E0000]</w:t>
            </w:r>
          </w:p>
        </w:tc>
        <w:tc>
          <w:tcPr>
            <w:tcW w:w="7923" w:type="dxa"/>
          </w:tcPr>
          <w:p>
            <w:pPr>
              <w:pStyle w:val="Compact"/>
              <w:spacing w:before="20" w:after="20"/>
            </w:pPr>
            <w:r>
              <w:rPr>
                <w:sz w:val="17"/>
              </w:rPr>
              <w:t>Atender los incidentes relacionados con el uso de inteligencia artificial generativa</w:t>
            </w:r>
          </w:p>
        </w:tc>
      </w:tr>
    </w:tbl>
    <w:p>
      <w:pPr>
        <w:pStyle w:val="BodyText"/>
      </w:pPr>
    </w:p>
    <w:p>
      <w:pPr>
        <w:pStyle w:val="Heading3"/>
      </w:pPr>
      <w:r>
        <w:rPr/>
        <w:t>CRITERIOS DE EVALUACIÓN</w:t>
      </w:r>
    </w:p>
    <w:p>
      <w:pPr>
        <w:pStyle w:val="FirstParagraph"/>
      </w:pPr>
      <w:r>
        <w:rPr/>
        <w:t>La persona es competente cuando demuestra los siguientes:</w:t>
      </w:r>
    </w:p>
    <w:p>
      <w:pPr>
        <w:pStyle w:val="BodyText"/>
      </w:pPr>
      <w:r>
        <w:rPr>
          <w:b/>
        </w:rPr>
        <w:t>DESEMPEÑOS</w:t>
      </w:r>
    </w:p>
    <w:p>
      <w:pPr>
        <w:pStyle w:val="Compact"/>
        <w:numPr>
          <w:ilvl w:val="0"/>
          <w:numId w:val="1050"/>
        </w:numPr>
      </w:pPr>
      <w:r>
        <w:rPr/>
        <w:t>Verifica la autenticidad de una solicitud sospechosa:</w:t>
      </w:r>
      <w:r>
        <w:rPr/>
        <w:t xml:space="preserve"> </w:t>
      </w:r>
    </w:p>
    <w:p>
      <w:pPr>
        <w:pStyle w:val="Compact"/>
        <w:numPr>
          <w:ilvl w:val="1"/>
          <w:numId w:val="1039"/>
        </w:numPr>
      </w:pPr>
      <w:r>
        <w:rPr/>
        <w:t>Identificando las señales de posible suplantación: urgencia para omitir el procedimiento habitual, solicitud por un canal no habitual, petición de transferencias o de información confidencial, e inconsistencias en la voz, la imagen o el texto,</w:t>
      </w:r>
    </w:p>
    <w:p>
      <w:pPr>
        <w:pStyle w:val="Compact"/>
        <w:numPr>
          <w:ilvl w:val="1"/>
          <w:numId w:val="1039"/>
        </w:numPr>
      </w:pPr>
      <w:r>
        <w:rPr/>
        <w:t>Absteniéndose de ejecutar la instrucción mientras no confirme su autenticidad, y</w:t>
      </w:r>
    </w:p>
    <w:p>
      <w:pPr>
        <w:pStyle w:val="Compact"/>
        <w:numPr>
          <w:ilvl w:val="1"/>
          <w:numId w:val="1039"/>
        </w:numPr>
      </w:pPr>
      <w:r>
        <w:rPr/>
        <w:t>Confirmando la solicitud por el canal alterno establecido por la organización.</w:t>
      </w:r>
    </w:p>
    <w:p>
      <w:pPr>
        <w:pStyle w:val="Compact"/>
        <w:numPr>
          <w:ilvl w:val="0"/>
          <w:numId w:val="1050"/>
        </w:numPr>
      </w:pPr>
      <w:r>
        <w:rPr/>
        <w:t>Reporta el incidente identificado:</w:t>
      </w:r>
      <w:r>
        <w:rPr/>
        <w:t xml:space="preserve"> </w:t>
      </w:r>
    </w:p>
    <w:p>
      <w:pPr>
        <w:pStyle w:val="Compact"/>
        <w:numPr>
          <w:ilvl w:val="1"/>
          <w:numId w:val="1039"/>
        </w:numPr>
      </w:pPr>
      <w:r>
        <w:rPr/>
        <w:t>Dirigiéndolo al responsable designado por la organización,</w:t>
      </w:r>
    </w:p>
    <w:p>
      <w:pPr>
        <w:pStyle w:val="Compact"/>
        <w:numPr>
          <w:ilvl w:val="1"/>
          <w:numId w:val="1039"/>
        </w:numPr>
      </w:pPr>
      <w:r>
        <w:rPr/>
        <w:t>Presentándolo en el plazo que establece el protocolo de la organización,</w:t>
      </w:r>
    </w:p>
    <w:p>
      <w:pPr>
        <w:pStyle w:val="Compact"/>
        <w:numPr>
          <w:ilvl w:val="1"/>
          <w:numId w:val="1039"/>
        </w:numPr>
      </w:pPr>
      <w:r>
        <w:rPr/>
        <w:t>Describiendo los hechos, la herramienta o el canal involucrado y la información comprometida, y</w:t>
      </w:r>
    </w:p>
    <w:p>
      <w:pPr>
        <w:pStyle w:val="Compact"/>
        <w:numPr>
          <w:ilvl w:val="1"/>
          <w:numId w:val="1039"/>
        </w:numPr>
      </w:pPr>
      <w:r>
        <w:rPr/>
        <w:t>Absteniéndose de difundir el contenido o la información involucrada.</w:t>
      </w:r>
    </w:p>
    <w:p>
      <w:pPr>
        <w:pStyle w:val="BodyText"/>
      </w:pPr>
      <w:r>
        <w:rPr/>
        <w:t>La persona es competente cuando obtiene el siguiente:</w:t>
      </w:r>
    </w:p>
    <w:p>
      <w:pPr>
        <w:pStyle w:val="BodyText"/>
      </w:pPr>
      <w:r>
        <w:rPr>
          <w:b/>
        </w:rPr>
        <w:t>PRODUCTO</w:t>
      </w:r>
    </w:p>
    <w:p>
      <w:pPr>
        <w:pStyle w:val="Compact"/>
        <w:numPr>
          <w:ilvl w:val="0"/>
          <w:numId w:val="1051"/>
        </w:numPr>
      </w:pPr>
      <w:r>
        <w:rPr/>
        <w:t>El reporte de incidente requisitado:</w:t>
      </w:r>
      <w:r>
        <w:rPr/>
        <w:t xml:space="preserve"> </w:t>
      </w:r>
    </w:p>
    <w:p>
      <w:pPr>
        <w:pStyle w:val="Compact"/>
        <w:numPr>
          <w:ilvl w:val="1"/>
          <w:numId w:val="1039"/>
        </w:numPr>
      </w:pPr>
      <w:r>
        <w:rPr/>
        <w:t>Contiene la fecha y la hora en que se identificó el incidente,</w:t>
      </w:r>
    </w:p>
    <w:p>
      <w:pPr>
        <w:pStyle w:val="Compact"/>
        <w:numPr>
          <w:ilvl w:val="1"/>
          <w:numId w:val="1039"/>
        </w:numPr>
      </w:pPr>
      <w:r>
        <w:rPr/>
        <w:t>Indica el tipo de incidente: ingreso indebido de información, suplantación de identidad o resultado que puede causar un daño,</w:t>
      </w:r>
    </w:p>
    <w:p>
      <w:pPr>
        <w:pStyle w:val="Compact"/>
        <w:numPr>
          <w:ilvl w:val="1"/>
          <w:numId w:val="1039"/>
        </w:numPr>
      </w:pPr>
      <w:r>
        <w:rPr/>
        <w:t>Identifica la herramienta o el canal involucrado,</w:t>
      </w:r>
    </w:p>
    <w:p>
      <w:pPr>
        <w:pStyle w:val="Compact"/>
        <w:numPr>
          <w:ilvl w:val="1"/>
          <w:numId w:val="1039"/>
        </w:numPr>
      </w:pPr>
      <w:r>
        <w:rPr/>
        <w:t>Describe la información comprometida,</w:t>
      </w:r>
    </w:p>
    <w:p>
      <w:pPr>
        <w:pStyle w:val="Compact"/>
        <w:numPr>
          <w:ilvl w:val="1"/>
          <w:numId w:val="1039"/>
        </w:numPr>
      </w:pPr>
      <w:r>
        <w:rPr/>
        <w:t>Describe las acciones de contención realizadas, e</w:t>
      </w:r>
    </w:p>
    <w:p>
      <w:pPr>
        <w:pStyle w:val="Compact"/>
        <w:numPr>
          <w:ilvl w:val="1"/>
          <w:numId w:val="1039"/>
        </w:numPr>
      </w:pPr>
      <w:r>
        <w:rPr/>
        <w:t>Indica el nombre del responsable al que se notificó y la hora de la notificación.</w:t>
      </w:r>
    </w:p>
    <w:p>
      <w:pPr>
        <w:pStyle w:val="BodyText"/>
      </w:pPr>
      <w:r>
        <w:rPr/>
        <w:t>La persona es competente cuando posee los siguientes: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564"/>
        <w:gridCol w:w="1181"/>
      </w:tblGrid>
      <w:tr>
        <w:trPr>
          <w:tblHeader w:val="true"/>
          <w:cantSplit/>
        </w:trPr>
        <w:tc>
          <w:tcPr>
            <w:tcW w:w="8564" w:type="dxa"/>
            <w:shd w:val="clear" w:color="auto" w:fill="ECECEC"/>
          </w:tcPr>
          <w:p>
            <w:pPr>
              <w:pStyle w:val="Compact"/>
              <w:spacing w:before="20" w:after="20"/>
            </w:pPr>
            <w:r>
              <w:rPr>
                <w:b/>
                <w:sz w:val="17"/>
              </w:rPr>
              <w:t>CONOCIMIENTOS</w:t>
            </w:r>
          </w:p>
        </w:tc>
        <w:tc>
          <w:tcPr>
            <w:tcW w:w="1181" w:type="dxa"/>
            <w:shd w:val="clear" w:color="auto" w:fill="ECECEC"/>
          </w:tcPr>
          <w:p>
            <w:pPr>
              <w:pStyle w:val="Compact"/>
              <w:spacing w:before="20" w:after="20"/>
            </w:pPr>
            <w:r>
              <w:rPr>
                <w:b/>
                <w:sz w:val="17"/>
              </w:rPr>
              <w:t>NIVEL</w:t>
            </w:r>
          </w:p>
        </w:tc>
      </w:tr>
      <w:tr>
        <w:tc>
          <w:tcPr>
            <w:tcW w:w="8564" w:type="dxa"/>
          </w:tcPr>
          <w:p>
            <w:pPr>
              <w:pStyle w:val="Compact"/>
              <w:spacing w:before="20" w:after="20"/>
            </w:pPr>
            <w:r>
              <w:rPr>
                <w:sz w:val="17"/>
              </w:rPr>
              <w:t>1. Tipos de incidentes relacionados con el uso de IA generativa.</w:t>
            </w:r>
          </w:p>
        </w:tc>
        <w:tc>
          <w:tcPr>
            <w:tcW w:w="1181" w:type="dxa"/>
          </w:tcPr>
          <w:p>
            <w:pPr>
              <w:pStyle w:val="Compact"/>
              <w:spacing w:before="20" w:after="20"/>
            </w:pPr>
            <w:r>
              <w:rPr>
                <w:sz w:val="17"/>
              </w:rPr>
              <w:t>Conocimiento</w:t>
            </w:r>
          </w:p>
        </w:tc>
      </w:tr>
      <w:tr>
        <w:tc>
          <w:tcPr>
            <w:tcW w:w="8564" w:type="dxa"/>
          </w:tcPr>
          <w:p>
            <w:pPr>
              <w:pStyle w:val="Compact"/>
              <w:spacing w:before="20" w:after="20"/>
            </w:pPr>
            <w:r>
              <w:rPr>
                <w:sz w:val="17"/>
              </w:rPr>
              <w:t>2. Señales de suplantación de identidad mediante voz, imagen, video o texto sintéticos.</w:t>
            </w:r>
          </w:p>
        </w:tc>
        <w:tc>
          <w:tcPr>
            <w:tcW w:w="1181" w:type="dxa"/>
          </w:tcPr>
          <w:p>
            <w:pPr>
              <w:pStyle w:val="Compact"/>
              <w:spacing w:before="20" w:after="20"/>
            </w:pPr>
            <w:r>
              <w:rPr>
                <w:sz w:val="17"/>
              </w:rPr>
              <w:t>Comprensión</w:t>
            </w:r>
          </w:p>
        </w:tc>
      </w:tr>
      <w:tr>
        <w:tc>
          <w:tcPr>
            <w:tcW w:w="8564" w:type="dxa"/>
          </w:tcPr>
          <w:p>
            <w:pPr>
              <w:pStyle w:val="Compact"/>
              <w:spacing w:before="20" w:after="20"/>
            </w:pPr>
            <w:r>
              <w:rPr>
                <w:sz w:val="17"/>
              </w:rPr>
              <w:t>3. Protocolo de reporte de incidentes: canal, responsable y plazo.</w:t>
            </w:r>
          </w:p>
        </w:tc>
        <w:tc>
          <w:tcPr>
            <w:tcW w:w="1181" w:type="dxa"/>
          </w:tcPr>
          <w:p>
            <w:pPr>
              <w:pStyle w:val="Compact"/>
              <w:spacing w:before="20" w:after="20"/>
            </w:pPr>
            <w:r>
              <w:rPr>
                <w:sz w:val="17"/>
              </w:rPr>
              <w:t>Aplicación</w:t>
            </w:r>
          </w:p>
        </w:tc>
      </w:tr>
    </w:tbl>
    <w:p>
      <w:pPr>
        <w:pStyle w:val="BodyText"/>
      </w:pPr>
    </w:p>
    <w:p>
      <w:pPr>
        <w:pStyle w:val="BodyText"/>
      </w:pPr>
      <w:r>
        <w:rPr/>
        <w:t>La persona es competente cuando demuestra las siguientes:</w:t>
      </w:r>
    </w:p>
    <w:p>
      <w:pPr>
        <w:pStyle w:val="BodyText"/>
      </w:pPr>
      <w:r>
        <w:rPr>
          <w:b/>
        </w:rPr>
        <w:t>RESPUESTAS ANTE SITUACIONES EMERGENTES</w:t>
      </w:r>
    </w:p>
    <w:p>
      <w:pPr>
        <w:pStyle w:val="BodyText"/>
      </w:pPr>
      <w:r>
        <w:rPr>
          <w:b/>
        </w:rPr>
        <w:t>Situación emergente</w:t>
      </w:r>
    </w:p>
    <w:p>
      <w:pPr>
        <w:pStyle w:val="Compact"/>
        <w:numPr>
          <w:ilvl w:val="0"/>
          <w:numId w:val="1052"/>
        </w:numPr>
      </w:pPr>
      <w:r>
        <w:rPr/>
        <w:t>Durante la tarea, la persona advierte que ingresó a la herramienta un documento con datos personales sin depurar.</w:t>
      </w:r>
    </w:p>
    <w:p>
      <w:pPr>
        <w:pStyle w:val="BodyText"/>
      </w:pPr>
      <w:r>
        <w:rPr>
          <w:b/>
        </w:rPr>
        <w:t>Respuestas esperadas</w:t>
      </w:r>
    </w:p>
    <w:p>
      <w:pPr>
        <w:pStyle w:val="Compact"/>
        <w:numPr>
          <w:ilvl w:val="0"/>
          <w:numId w:val="1053"/>
        </w:numPr>
      </w:pPr>
      <w:r>
        <w:rPr/>
        <w:t>Suspende el uso de la herramienta, notifica de inmediato al responsable designado, sigue sus indicaciones sobre la eliminación de la conversación o del archivo y requisita el reporte de incidente.</w:t>
      </w:r>
    </w:p>
    <w:p>
      <w:pPr>
        <w:pStyle w:val="BodyText"/>
      </w:pPr>
      <w:r>
        <w:rPr/>
        <w:t>La persona es competente cuando demuestra las siguientes:</w:t>
      </w:r>
    </w:p>
    <w:p>
      <w:pPr>
        <w:pStyle w:val="BodyText"/>
      </w:pPr>
      <w:r>
        <w:rPr>
          <w:b/>
        </w:rPr>
        <w:t>ACTITUDES/HÁBITOS/VALORES</w:t>
      </w:r>
    </w:p>
    <w:p>
      <w:pPr>
        <w:pStyle w:val="Compact"/>
        <w:numPr>
          <w:ilvl w:val="0"/>
          <w:numId w:val="1054"/>
        </w:numPr>
      </w:pPr>
      <w:r>
        <w:rPr/>
        <w:t>Iniciativa: La manera en que reporta el incidente sin esperar a que se le solicite.</w:t>
      </w:r>
    </w:p>
    <w:p>
      <w:pPr>
        <w:pStyle w:val="Compact"/>
        <w:numPr>
          <w:ilvl w:val="0"/>
          <w:numId w:val="1054"/>
        </w:numPr>
      </w:pPr>
      <w:r>
        <w:rPr/>
        <w:t>Responsabilidad: La manera en que se abstiene de ejecutar instrucciones cuya autenticidad no ha confirmado.</w:t>
      </w:r>
    </w:p>
    <w:p>
      <w:pPr>
        <w:pStyle w:val="BodyText"/>
      </w:pPr>
      <w:r>
        <w:rPr>
          <w:b/>
        </w:rPr>
        <w:t>GLOSARIO</w:t>
      </w:r>
    </w:p>
    <w:p>
      <w:pPr>
        <w:pStyle w:val="Compact"/>
        <w:numPr>
          <w:ilvl w:val="0"/>
          <w:numId w:val="1055"/>
        </w:numPr>
      </w:pPr>
      <w:r>
        <w:rPr/>
        <w:t>Canal alterno: Medio de comunicación distinto del utilizado en la solicitud, establecido previamente por la organización para confirmar instrucciones.</w:t>
      </w:r>
    </w:p>
    <w:p>
      <w:pPr>
        <w:pStyle w:val="Compact"/>
        <w:numPr>
          <w:ilvl w:val="0"/>
          <w:numId w:val="1055"/>
        </w:numPr>
      </w:pPr>
      <w:r>
        <w:rPr/>
        <w:t>Incidente: Evento que compromete o puede comprometer la información de la organización o de terceros, o que puede causar un daño derivado del uso de IA.</w:t>
      </w:r>
    </w:p>
    <w:p>
      <w:pPr>
        <w:pStyle w:val="Compact"/>
        <w:numPr>
          <w:ilvl w:val="0"/>
          <w:numId w:val="1055"/>
        </w:numPr>
      </w:pPr>
      <w:r>
        <w:rPr/>
        <w:t>Suplantación de identidad: Acción de hacerse pasar por otra persona, incluido el uso de voz, imagen, video o texto sintéticos.</w:t>
      </w:r>
    </w:p>
    <w:p>
      <w:pPr>
        <w:pStyle w:val="BodyText"/>
        <w:pBdr>
          <w:bottom w:val="single" w:sz="4" w:space="1" w:color="BFC0C0"/>
        </w:pBdr>
      </w:pPr>
    </w:p>
    <w:p>
      <w:pPr>
        <w:pStyle w:val="Heading2"/>
      </w:pPr>
      <w:r>
        <w:rPr/>
        <w:t>Notas para el Comité de Gestión por Competencias</w:t>
      </w:r>
    </w:p>
    <w:p>
      <w:pPr>
        <w:pStyle w:val="FirstParagraph"/>
      </w:pPr>
      <w:r>
        <w:rPr>
          <w:i/>
        </w:rPr>
        <w:t>No forman parte del Estándar de Competencia.</w:t>
      </w:r>
    </w:p>
    <w:p>
      <w:pPr>
        <w:pStyle w:val="Compact"/>
        <w:numPr>
          <w:ilvl w:val="0"/>
          <w:numId w:val="1056"/>
        </w:numPr>
      </w:pPr>
      <w:r>
        <w:rPr>
          <w:b/>
        </w:rPr>
        <w:t>Delimitación.</w:t>
      </w:r>
      <w:r>
        <w:rPr/>
        <w:t xml:space="preserve"> Complementa al EC1705. Aquel evalúa la creación de contenido digital con IA generativa (nivel Tres) y, en su Elemento 3 de 3 ("Aplicar principios de uso responsable y seguro de la inteligencia artificial generativa"), la aplicación de principios de privacidad y veracidad durante esa creación. Comparación con su texto publicado (9 de octubre de 2026): ese Elemento tiene dos desempeños y una actitud, y no tiene productos ni conocimientos propios. Su desempeño 1 (revisar las políticas de privacidad de la herramienta y evitar ingresar información que comprometa la privacidad cuando no son claras) se parece al Desempeño 1 del Elemento 1 de este EC, pero se basa en las políticas del proveedor y no en la política y la lista de herramientas autorizadas de la organización, y no exige clasificar, depurar ni registrar la información. Su desempeño 2 (identificar fechas, cifras, nombres y referencias y verificarlas con fuentes alternas) se parece al Desempeño 1 del Elemento 2 de este EC, que además exige al menos una fuente verificable distinta de la herramienta para cada dato, un registro de verificación, la revisión de derechos de terceros y la declaración de uso. Hay traslape parcial en la intención, no en los criterios: se delimita por el procedimiento con registro y por el nivel (Dos, frente a Tres). El EC1705 no cubre incidentes ni suplantaciones. La revisión de los estándares publicados no identificó otro con este objeto; relacionados por tema, pero con otro alcance, son el EC1771 (cultura de ciberseguridad en el entorno laboral) y el EC1801 (gestión de la calidad en servicios de tecnologías de la información y ciberseguridad), cuyos textos no pudieron consultarse (ver </w:t>
      </w:r>
      <w:r>
        <w:rPr>
          <w:rFonts w:ascii="Consolas" w:hAnsi="Consolas"/>
        </w:rPr>
        <w:t>verificacion/INFORME-VERIFICACION.md</w:t>
      </w:r>
      <w:r>
        <w:rPr/>
        <w:t>).</w:t>
      </w:r>
    </w:p>
    <w:p>
      <w:pPr>
        <w:pStyle w:val="Compact"/>
        <w:numPr>
          <w:ilvl w:val="0"/>
          <w:numId w:val="1056"/>
        </w:numPr>
      </w:pPr>
      <w:r>
        <w:rPr>
          <w:b/>
        </w:rPr>
        <w:t>Fórmulas del formato.</w:t>
      </w:r>
      <w:r>
        <w:rPr/>
        <w:t xml:space="preserve"> Verificadas el 9 de octubre de 2026 en estándares publicados con el formato F21-COOPYD-01 versión 08 (EC1705, EC1780, EC1781, EC1804, EC1691 y EC1131.01) y, para las situaciones emergentes y el nivel Dos, también en el EC1171, el EC0553.01 y el EC0554.01 (versión 7.0 del formato): "demuestra los siguientes" (desempeños), "obtiene los siguientes" (productos), "posee los siguientes" (conocimientos, con columna de nivel) y "demuestra las siguientes" (actitudes y respuestas ante situaciones emergentes, con el encabezado "RESPUESTAS ANTE SITUACIONES EMERGENTES" y los subtítulos "Situación emergente" y "Respuestas esperadas"); en singular, "demuestra el siguiente" (EC1131.01). "Obtiene el siguiente" no apareció en los estándares consultados y se conserva por analogía. Niveles de conocimiento usados: Conocimiento, Comprensión y Aplicación. Actitudes del catálogo: Responsabilidad, Orden, Perseverancia (EC1691), Iniciativa (EC1780), Amabilidad, Tolerancia y Cooperación. El texto del nivel Dos es igual al del EC0554.01 y el EC1804. En el formato versión 08 el campo de empresas se llama "Organizaciones participantes en el desarrollo del Estándar de Competencia", el campo "Tiempo de Vigencia del Certificado" aparece en estándares de 2026 (EC1781) y no existe el apartado "Relación con otros estándares de competencia". Por confirmar con el CONOCER: que la plantilla vigente no haya cambiado.</w:t>
      </w:r>
    </w:p>
    <w:p>
      <w:pPr>
        <w:pStyle w:val="Compact"/>
        <w:numPr>
          <w:ilvl w:val="0"/>
          <w:numId w:val="1056"/>
        </w:numPr>
      </w:pPr>
      <w:r>
        <w:rPr>
          <w:b/>
        </w:rPr>
        <w:t>Clasificación.</w:t>
      </w:r>
      <w:r>
        <w:rPr/>
        <w:t xml:space="preserve"> Verificada en el SCIAN México 2023 del INEGI (estructura oficial): 561110 "Servicios de administración de negocios" y la jerarquía 56, 561, 5611, 56111 coinciden con la tabla; el estándar EC1804 usa los nombres de 2018 del sector 56 ("y desechos"). Es una propuesta para una función transversal de oficina: confirmar con el CONOCER. Precedentes: el EC1705 usa el sector 61 (servicios educativos) y el EC1657 el sector 54 (su PDF no pudo descargarse; dato por confirmar). El grupo unitario SINCO 9999 "Ocupaciones no especificadas", con "Sin referente", sigue el precedente del EC1171 y el EC1781.</w:t>
      </w:r>
    </w:p>
    <w:p>
      <w:pPr>
        <w:pStyle w:val="Compact"/>
        <w:numPr>
          <w:ilvl w:val="0"/>
          <w:numId w:val="1056"/>
        </w:numPr>
      </w:pPr>
      <w:r>
        <w:rPr>
          <w:b/>
        </w:rPr>
        <w:t>Definiciones legales.</w:t>
      </w:r>
      <w:r>
        <w:rPr/>
        <w:t xml:space="preserve"> "Dato personal" y "dato personal sensible" se transcribieron del artículo 2 de la Ley Federal de Protección de Datos Personales en Posesión de los Particulares (nueva ley del DOF del 20 de marzo de 2025; última reforma DOF del 14 de noviembre de 2025). La lista de la ley de 2025 no incluye la afiliación sindical que los borradores anteriores citaban (probablemente tomada de la ley de 2010, dato no verificado); se eliminó. La autorización del responsable designado (Elemento 1, desempeño 3) no sustituye el fundamento legal: para datos sensibles se requiere el consentimiento expreso y por escrito de la persona titular (artículo 8), que verifica quien autoriza. La imagen y la voz son datos personales; la de artistas intérpretes y ejecutantes está protegida además por la Ley Federal del Derecho de Autor, incluso cuando se recrea con IA (artículo 87, reforma del 14 de mayo de 2026), y la de cualquier persona frente al daño moral (Código Civil Federal, artículo 1916). En México no se localizó una disposición vigente que obligue a etiquetar el contenido sintético; el criterio remite a la política de la organización. Revisión de un especialista: pendiente.</w:t>
      </w:r>
    </w:p>
    <w:p>
      <w:pPr>
        <w:pStyle w:val="Compact"/>
        <w:numPr>
          <w:ilvl w:val="0"/>
          <w:numId w:val="1056"/>
        </w:numPr>
      </w:pPr>
      <w:r>
        <w:rPr>
          <w:b/>
        </w:rPr>
        <w:t>Evaluación.</w:t>
      </w:r>
      <w:r>
        <w:rPr/>
        <w:t xml:space="preserve"> Validar en la prueba piloto la duración y la consistencia entre evaluadores. Consultar al CONOCER si procede la evaluación a distancia.</w:t>
      </w:r>
    </w:p>
    <w:p>
      <w:pPr>
        <w:pStyle w:val="BodyText"/>
      </w:pPr>
      <w:r>
        <w:rPr>
          <w:b/>
        </w:rPr>
        <w:t>Cambios respecto de la versión 0.1:</w:t>
      </w:r>
      <w:r>
        <w:rPr/>
        <w:t xml:space="preserve"> título ajustado para reflejar sus dos funciones centrales; el Elemento 2 se centra en verificar, no en generar contenido, para diferenciarse del EC1705; criterios medibles en lugar de adjetivos ("al menos una fuente verificable distinta de la herramienta"); nueva situación emergente en el Elemento 1; glosario ampliado; frases introductorias del formato completas.</w:t>
      </w:r>
    </w:p>
    <w:p>
      <w:pPr>
        <w:pStyle w:val="BodyText"/>
      </w:pPr>
      <w:r>
        <w:rPr>
          <w:b/>
        </w:rPr>
        <w:t>Cambios de la verificación del 9 de octubre de 2026:</w:t>
      </w:r>
      <w:r>
        <w:rPr/>
        <w:t xml:space="preserve"> encabezado y frases de las respuestas ante situaciones emergentes conforme a los estándares publicados; nombre del campo de organizaciones participantes; se retiró el apartado "Relación con otros estándares de competencia", que no existe en el formato versión 08 (la relación con el EC1705 está en la nota 1); definiciones de dato personal y dato personal sensible conforme al artículo 2 de la ley de 2025 (se retiró la afiliación sindical); notas 1 a 4 actualizadas con lo verificado y lo pendiente.</w:t>
      </w:r>
    </w:p>
    <w:p>
      <w:pPr>
        <w:pStyle w:val="BodyText"/>
      </w:pPr>
      <w:r>
        <w:rPr>
          <w:b/>
        </w:rPr>
        <w:t>Cambios de la revisión jurídica del 9 de octubre de 2026:</w:t>
      </w:r>
      <w:r>
        <w:rPr/>
        <w:t xml:space="preserve"> el etiquetado del contenido sintético remite a la política de la organización (no se localizó una obligación legal general); referencias actualizadas a la reforma de la Ley Federal del Derecho de Autor del 14 de mayo de 2026 y al Código Civil Federal; la nota 4 aclara que la autorización interna no sustituye el consentimiento expreso y por escrito para datos sensibles.</w:t>
      </w:r>
    </w:p>
    <w:sectPr>
      <w:headerReference w:type="default" r:id="rId9"/>
      <w:pgSz w:w="12240" w:h="15840"/>
      <w:pgMar w:top="1814" w:left="1247" w:right="1247"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6"/>
      <w:gridCol w:w="4706"/>
    </w:tblGrid>
    <w:tr>
      <w:tc>
        <w:tcPr>
          <w:tcW w:type="dxa" w:w="5443"/>
        </w:tcPr>
        <w:p>
          <w:pPr>
            <w:jc w:val="center"/>
          </w:pPr>
          <w:r>
            <w:rPr>
              <w:rFonts w:ascii="Arial" w:hAnsi="Arial" w:eastAsia="Arial"/>
              <w:b/>
              <w:sz w:val="24"/>
            </w:rPr>
            <w:t>ESTÁNDAR DE COMPETENCIA</w:t>
          </w:r>
        </w:p>
      </w:tc>
      <w:tc>
        <w:tcPr>
          <w:tcW w:type="dxa" w:w="3969"/>
        </w:tcPr>
        <w:p>
          <w:r>
            <w:rPr>
              <w:rFonts w:ascii="Arial" w:hAnsi="Arial" w:eastAsia="Arial"/>
              <w:b w:val="0"/>
              <w:sz w:val="16"/>
            </w:rPr>
            <w:t>Formato de Estándar de Competencia F21-COOPYD-01</w:t>
          </w:r>
        </w:p>
        <w:p>
          <w:r>
            <w:rPr>
              <w:rFonts w:ascii="Arial" w:hAnsi="Arial" w:eastAsia="Arial"/>
              <w:b w:val="0"/>
              <w:sz w:val="16"/>
            </w:rPr>
            <w:t>Versión: borrador 1.0 para validación</w:t>
          </w:r>
        </w:p>
        <w:p>
          <w:r>
            <w:rPr>
              <w:rFonts w:ascii="Arial" w:hAnsi="Arial" w:eastAsia="Arial"/>
              <w:b w:val="0"/>
              <w:sz w:val="16"/>
            </w:rPr>
            <w:t xml:space="preserve">Página </w:t>
          </w:r>
          <w:r>
            <w:rPr>
              <w:rFonts w:ascii="Arial" w:hAnsi="Arial" w:eastAsia="Arial"/>
              <w:b w:val="0"/>
              <w:sz w:val="16"/>
            </w:rPr>
            <w:fldChar w:fldCharType="begin"/>
            <w:instrText xml:space="preserve">PAGE</w:instrText>
            <w:fldChar w:fldCharType="end"/>
          </w:r>
          <w:r>
            <w:rPr>
              <w:rFonts w:ascii="Arial" w:hAnsi="Arial" w:eastAsia="Arial"/>
              <w:b w:val="0"/>
              <w:sz w:val="16"/>
            </w:rPr>
            <w:t xml:space="preserve"> de </w:t>
          </w:r>
          <w:r>
            <w:rPr>
              <w:rFonts w:ascii="Arial" w:hAnsi="Arial" w:eastAsia="Arial"/>
              <w:b w:val="0"/>
              <w:sz w:val="16"/>
            </w:rPr>
            <w:fldChar w:fldCharType="begin"/>
            <w:instrText xml:space="preserve">NUMPAGES</w:instrText>
            <w:fldChar w:fldCharType="end"/>
          </w:r>
        </w:p>
      </w:tc>
    </w:tr>
  </w:tbl>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02-EC-A-borrador</dc:title>
  <dc:creator>Proyecto Estándares de Competencia en IA</dc:creator>
  <cp:keywords/>
  <dcterms:created xsi:type="dcterms:W3CDTF">2026-10-09T15:04:45Z</dcterms:created>
  <dcterms:modified xsi:type="dcterms:W3CDTF">2026-10-09T15:04:45Z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