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Pr/>
        <w:t>Plantilla de política de uso de inteligencia artificial</w:t>
      </w:r>
    </w:p>
    <w:p>
      <w:pPr>
        <w:pStyle w:val="FirstParagraph"/>
      </w:pPr>
      <w:r>
        <w:rPr/>
        <w:t>Versión 1.0 · Borrador para prueba piloto · Octubre de 2026</w:t>
      </w:r>
    </w:p>
    <w:p>
      <w:pPr>
        <w:pStyle w:val="BlockText"/>
      </w:pPr>
      <w:r>
        <w:rPr>
          <w:b/>
        </w:rPr>
        <w:t>Cómo usar esta plantilla.</w:t>
      </w:r>
      <w:r>
        <w:rPr/>
        <w:t xml:space="preserve"> Sustituye el texto entre corchetes [ ] con los datos de la organización y elimina las opciones que no apliquen. Antes de aprobarla: (1) revísala con el área jurídica o con un abogado; (2) confírmala con Tecnologías de la Información, Recursos Humanos y las áreas usuarias; (3) haz que la apruebe la dirección. Después: comunícala, capacita al personal (contenidos del EC-A) y recaba la carta de conocimiento (Anexo 6).</w:t>
      </w:r>
    </w:p>
    <w:p>
      <w:pPr>
        <w:pStyle w:val="BlockText"/>
      </w:pPr>
      <w:r>
        <w:rPr/>
        <w:t>Esta plantilla no constituye asesoría jurídica. Contiene los once contenidos que exige el Producto 1 del Elemento 3 del EC-B (ver la tabla de correspondencia al final). Las organizaciones de sectores regulados (salud, financiero, educación, gobierno) deben agregar las reglas de su sector.</w:t>
      </w:r>
    </w:p>
    <w:p>
      <w:pPr>
        <w:pStyle w:val="BodyText"/>
        <w:pBdr>
          <w:bottom w:val="single" w:sz="4" w:space="1" w:color="BFC0C0"/>
        </w:pBdr>
      </w:pPr>
    </w:p>
    <w:p>
      <w:pPr>
        <w:pStyle w:val="Heading2"/>
      </w:pPr>
      <w:r>
        <w:rPr/>
        <w:t>POLÍTICA DE USO DE INTELIGENCIA ARTIFICIAL DE [NOMBRE DE LA ORGANIZACIÓN]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98"/>
        <w:gridCol w:w="1036"/>
        <w:gridCol w:w="2812"/>
        <w:gridCol w:w="2516"/>
        <w:gridCol w:w="2368"/>
      </w:tblGrid>
      <w:tr>
        <w:trPr>
          <w:tblHeader w:val="true"/>
          <w:cantSplit/>
        </w:trPr>
        <w:tc>
          <w:tcPr>
            <w:tcW w:w="898" w:type="dxa"/>
            <w:shd w:val="clear" w:color="auto" w:fill="ECECEC"/>
          </w:tcPr>
          <w:p>
            <w:pPr>
              <w:pStyle w:val="Compact"/>
              <w:spacing w:before="20" w:after="20"/>
            </w:pPr>
            <w:r>
              <w:rPr>
                <w:b/>
                <w:sz w:val="17"/>
              </w:rPr>
              <w:t>Clave</w:t>
            </w:r>
          </w:p>
        </w:tc>
        <w:tc>
          <w:tcPr>
            <w:tcW w:w="1036" w:type="dxa"/>
            <w:shd w:val="clear" w:color="auto" w:fill="ECECEC"/>
          </w:tcPr>
          <w:p>
            <w:pPr>
              <w:pStyle w:val="Compact"/>
              <w:spacing w:before="20" w:after="20"/>
            </w:pPr>
            <w:r>
              <w:rPr>
                <w:b/>
                <w:sz w:val="17"/>
              </w:rPr>
              <w:t>Versión</w:t>
            </w:r>
          </w:p>
        </w:tc>
        <w:tc>
          <w:tcPr>
            <w:tcW w:w="2812" w:type="dxa"/>
            <w:shd w:val="clear" w:color="auto" w:fill="ECECEC"/>
          </w:tcPr>
          <w:p>
            <w:pPr>
              <w:pStyle w:val="Compact"/>
              <w:spacing w:before="20" w:after="20"/>
            </w:pPr>
            <w:r>
              <w:rPr>
                <w:b/>
                <w:sz w:val="17"/>
              </w:rPr>
              <w:t>Fecha de aprobación</w:t>
            </w:r>
          </w:p>
        </w:tc>
        <w:tc>
          <w:tcPr>
            <w:tcW w:w="2516" w:type="dxa"/>
            <w:shd w:val="clear" w:color="auto" w:fill="ECECEC"/>
          </w:tcPr>
          <w:p>
            <w:pPr>
              <w:pStyle w:val="Compact"/>
              <w:spacing w:before="20" w:after="20"/>
            </w:pPr>
            <w:r>
              <w:rPr>
                <w:b/>
                <w:sz w:val="17"/>
              </w:rPr>
              <w:t>Aprobó</w:t>
            </w:r>
          </w:p>
        </w:tc>
        <w:tc>
          <w:tcPr>
            <w:tcW w:w="2368" w:type="dxa"/>
            <w:shd w:val="clear" w:color="auto" w:fill="ECECEC"/>
          </w:tcPr>
          <w:p>
            <w:pPr>
              <w:pStyle w:val="Compact"/>
              <w:spacing w:before="20" w:after="20"/>
            </w:pPr>
            <w:r>
              <w:rPr>
                <w:b/>
                <w:sz w:val="17"/>
              </w:rPr>
              <w:t>Entrada en vigor</w:t>
            </w:r>
          </w:p>
        </w:tc>
      </w:tr>
      <w:tr>
        <w:tc>
          <w:tcPr>
            <w:tcW w:w="898" w:type="dxa"/>
          </w:tcPr>
          <w:p>
            <w:pPr>
              <w:pStyle w:val="Compact"/>
              <w:spacing w:before="20" w:after="20"/>
            </w:pPr>
            <w:r>
              <w:rPr>
                <w:sz w:val="17"/>
              </w:rPr>
              <w:t>[ ]</w:t>
            </w:r>
          </w:p>
        </w:tc>
        <w:tc>
          <w:tcPr>
            <w:tcW w:w="1036" w:type="dxa"/>
          </w:tcPr>
          <w:p>
            <w:pPr>
              <w:pStyle w:val="Compact"/>
              <w:spacing w:before="20" w:after="20"/>
            </w:pPr>
            <w:r>
              <w:rPr>
                <w:sz w:val="17"/>
              </w:rPr>
              <w:t>[1.0]</w:t>
            </w:r>
          </w:p>
        </w:tc>
        <w:tc>
          <w:tcPr>
            <w:tcW w:w="2812" w:type="dxa"/>
          </w:tcPr>
          <w:p>
            <w:pPr>
              <w:pStyle w:val="Compact"/>
              <w:spacing w:before="20" w:after="20"/>
            </w:pPr>
            <w:r>
              <w:rPr>
                <w:sz w:val="17"/>
              </w:rPr>
              <w:t>[ ]</w:t>
            </w:r>
          </w:p>
        </w:tc>
        <w:tc>
          <w:tcPr>
            <w:tcW w:w="2516" w:type="dxa"/>
          </w:tcPr>
          <w:p>
            <w:pPr>
              <w:pStyle w:val="Compact"/>
              <w:spacing w:before="20" w:after="20"/>
            </w:pPr>
            <w:r>
              <w:rPr>
                <w:sz w:val="17"/>
              </w:rPr>
              <w:t>[Nombre y puesto]</w:t>
            </w:r>
          </w:p>
        </w:tc>
        <w:tc>
          <w:tcPr>
            <w:tcW w:w="2368" w:type="dxa"/>
          </w:tcPr>
          <w:p>
            <w:pPr>
              <w:pStyle w:val="Compact"/>
              <w:spacing w:before="20" w:after="20"/>
            </w:pPr>
            <w:r>
              <w:rPr>
                <w:sz w:val="17"/>
              </w:rPr>
              <w:t>[ ]</w:t>
            </w:r>
          </w:p>
        </w:tc>
      </w:tr>
    </w:tbl>
    <w:p>
      <w:pPr>
        <w:pStyle w:val="BodyText"/>
      </w:pPr>
    </w:p>
    <w:p>
      <w:pPr>
        <w:pStyle w:val="Heading3"/>
      </w:pPr>
      <w:r>
        <w:rPr/>
        <w:t>1. Objetivo</w:t>
      </w:r>
    </w:p>
    <w:p>
      <w:pPr>
        <w:pStyle w:val="FirstParagraph"/>
      </w:pPr>
      <w:r>
        <w:rPr/>
        <w:t>Establecer las reglas para el uso de sistemas de inteligencia artificial en [nombre de la organización], con el fin de aprovecharlos en sus actividades, proteger su información y la de terceros, y respetar los derechos de las personas.</w:t>
      </w:r>
    </w:p>
    <w:p>
      <w:pPr>
        <w:pStyle w:val="Heading3"/>
      </w:pPr>
      <w:r>
        <w:rPr/>
        <w:t>2. Alcance</w:t>
      </w:r>
    </w:p>
    <w:p>
      <w:pPr>
        <w:pStyle w:val="FirstParagraph"/>
      </w:pPr>
      <w:r>
        <w:rPr/>
        <w:t xml:space="preserve">2.1 </w:t>
      </w:r>
      <w:r>
        <w:rPr>
          <w:b/>
        </w:rPr>
        <w:t>Personas.</w:t>
      </w:r>
      <w:r>
        <w:rPr/>
        <w:t xml:space="preserve"> Esta política aplica a todo el personal de [nombre de la organización], incluidos [practicantes y becarios], que use sistemas de IA en sus actividades o con información de la organización. Al personal por honorarios, de empresas contratistas y de proveedores se le aplica por medio de sus contratos (punto 2.3).</w:t>
      </w:r>
    </w:p>
    <w:p>
      <w:pPr>
        <w:pStyle w:val="BodyText"/>
      </w:pPr>
      <w:r>
        <w:rPr/>
        <w:t xml:space="preserve">2.2 </w:t>
      </w:r>
      <w:r>
        <w:rPr>
          <w:b/>
        </w:rPr>
        <w:t>Sistemas.</w:t>
      </w:r>
      <w:r>
        <w:rPr/>
        <w:t xml:space="preserve"> Aplica a todo sistema de IA usado para fines de la organización, sea cual sea su forma de acceso:</w:t>
      </w:r>
    </w:p>
    <w:p>
      <w:pPr>
        <w:pStyle w:val="Compact"/>
        <w:numPr>
          <w:ilvl w:val="0"/>
          <w:numId w:val="1012"/>
        </w:numPr>
      </w:pPr>
      <w:r>
        <w:rPr/>
        <w:t>Herramientas de IA generativa de texto, imagen, audio o video.</w:t>
      </w:r>
    </w:p>
    <w:p>
      <w:pPr>
        <w:pStyle w:val="Compact"/>
        <w:numPr>
          <w:ilvl w:val="0"/>
          <w:numId w:val="1012"/>
        </w:numPr>
      </w:pPr>
      <w:r>
        <w:rPr/>
        <w:t>Sistemas de recomendación, clasificación o decisión automatizada.</w:t>
      </w:r>
    </w:p>
    <w:p>
      <w:pPr>
        <w:pStyle w:val="Compact"/>
        <w:numPr>
          <w:ilvl w:val="0"/>
          <w:numId w:val="1012"/>
        </w:numPr>
      </w:pPr>
      <w:r>
        <w:rPr/>
        <w:t>Funciones de IA incorporadas en otro software (correo, procesador de textos, nómina, sistemas de gestión, atención a clientes).</w:t>
      </w:r>
    </w:p>
    <w:p>
      <w:pPr>
        <w:pStyle w:val="Compact"/>
        <w:numPr>
          <w:ilvl w:val="0"/>
          <w:numId w:val="1012"/>
        </w:numPr>
      </w:pPr>
      <w:r>
        <w:rPr/>
        <w:t>Extensiones de navegador y aplicaciones con funciones de IA.</w:t>
      </w:r>
    </w:p>
    <w:p>
      <w:pPr>
        <w:pStyle w:val="BodyText"/>
      </w:pPr>
      <w:r>
        <w:rPr/>
        <w:t xml:space="preserve">2.3 </w:t>
      </w:r>
      <w:r>
        <w:rPr>
          <w:b/>
        </w:rPr>
        <w:t>Proveedores.</w:t>
      </w:r>
      <w:r>
        <w:rPr/>
        <w:t xml:space="preserve"> Los contratos con proveedores que traten información de la organización con sistemas de IA incluirán las obligaciones aplicables de esta política.</w:t>
      </w:r>
    </w:p>
    <w:p>
      <w:pPr>
        <w:pStyle w:val="Heading3"/>
      </w:pPr>
      <w:r>
        <w:rPr/>
        <w:t>3. Definiciones</w:t>
      </w:r>
    </w:p>
    <w:p>
      <w:pPr>
        <w:pStyle w:val="Compact"/>
        <w:numPr>
          <w:ilvl w:val="0"/>
          <w:numId w:val="1012"/>
        </w:numPr>
      </w:pPr>
      <w:r>
        <w:rPr>
          <w:b/>
        </w:rPr>
        <w:t>Contenido sintético:</w:t>
      </w:r>
      <w:r>
        <w:rPr/>
        <w:t xml:space="preserve"> texto, imagen, audio o video creado o modificado mediante IA.</w:t>
      </w:r>
    </w:p>
    <w:p>
      <w:pPr>
        <w:pStyle w:val="Compact"/>
        <w:numPr>
          <w:ilvl w:val="0"/>
          <w:numId w:val="1012"/>
        </w:numPr>
      </w:pPr>
      <w:r>
        <w:rPr>
          <w:b/>
        </w:rPr>
        <w:t>Cuenta institucional:</w:t>
      </w:r>
      <w:r>
        <w:rPr/>
        <w:t xml:space="preserve"> acceso a un sistema de IA contratado o administrado por la organización.</w:t>
      </w:r>
    </w:p>
    <w:p>
      <w:pPr>
        <w:pStyle w:val="Compact"/>
        <w:numPr>
          <w:ilvl w:val="0"/>
          <w:numId w:val="1012"/>
        </w:numPr>
      </w:pPr>
      <w:r>
        <w:rPr>
          <w:b/>
        </w:rPr>
        <w:t>Dato personal:</w:t>
      </w:r>
      <w:r>
        <w:rPr/>
        <w:t xml:space="preserve"> cualquier información concerniente a una persona identificada o identificable. Se considera que una persona es identificable cuando su identidad pueda determinarse directa o indirectamente a través de cualquier información.</w:t>
      </w:r>
    </w:p>
    <w:p>
      <w:pPr>
        <w:pStyle w:val="Compact"/>
        <w:numPr>
          <w:ilvl w:val="0"/>
          <w:numId w:val="1012"/>
        </w:numPr>
      </w:pPr>
      <w:r>
        <w:rPr>
          <w:b/>
        </w:rPr>
        <w:t>Dato personal sensible:</w:t>
      </w:r>
      <w:r>
        <w:rPr/>
        <w:t xml:space="preserve"> aquellos datos personales que afectan a la esfera más íntima de la persona titular, o cuya utilización indebida puede dar origen a discriminación o conlleva un riesgo grave para esta; de manera enunciativa más no limitativa, los que puedan revelar aspectos como origen racial o étnico, estado de salud presente o futuro, información genética, creencias religiosas, filosóficas y morales, opiniones políticas y preferencia sexual.</w:t>
      </w:r>
    </w:p>
    <w:p>
      <w:pPr>
        <w:pStyle w:val="Compact"/>
        <w:numPr>
          <w:ilvl w:val="0"/>
          <w:numId w:val="1012"/>
        </w:numPr>
      </w:pPr>
      <w:r>
        <w:rPr>
          <w:b/>
        </w:rPr>
        <w:t>Persona encargada:</w:t>
      </w:r>
      <w:r>
        <w:rPr/>
        <w:t xml:space="preserve"> persona física o jurídica que, sola o conjuntamente con otras, trata datos personales por cuenta de la organización.</w:t>
      </w:r>
    </w:p>
    <w:p>
      <w:pPr>
        <w:pStyle w:val="Compact"/>
        <w:numPr>
          <w:ilvl w:val="0"/>
          <w:numId w:val="1012"/>
        </w:numPr>
      </w:pPr>
      <w:r>
        <w:rPr>
          <w:b/>
        </w:rPr>
        <w:t>Transferencia:</w:t>
      </w:r>
      <w:r>
        <w:rPr/>
        <w:t xml:space="preserve"> toda comunicación de datos personales dentro o fuera del territorio mexicano a una persona distinta de la persona titular, de la organización o de la persona encargada.</w:t>
      </w:r>
    </w:p>
    <w:p>
      <w:pPr>
        <w:pStyle w:val="Compact"/>
        <w:numPr>
          <w:ilvl w:val="0"/>
          <w:numId w:val="1012"/>
        </w:numPr>
      </w:pPr>
      <w:r>
        <w:rPr>
          <w:b/>
        </w:rPr>
        <w:t>Depuración:</w:t>
      </w:r>
      <w:r>
        <w:rPr/>
        <w:t xml:space="preserve"> eliminación o sustitución de los datos personales y de la información confidencial que no son necesarios para una tarea, antes de ingresar la información a un sistema de IA.</w:t>
      </w:r>
    </w:p>
    <w:p>
      <w:pPr>
        <w:pStyle w:val="Compact"/>
        <w:numPr>
          <w:ilvl w:val="0"/>
          <w:numId w:val="1012"/>
        </w:numPr>
      </w:pPr>
      <w:r>
        <w:rPr>
          <w:b/>
        </w:rPr>
        <w:t>Incidente de IA:</w:t>
      </w:r>
      <w:r>
        <w:rPr/>
        <w:t xml:space="preserve"> evento derivado del uso de un sistema de IA que compromete la información o que causa, o puede causar, un daño a personas o a la organización.</w:t>
      </w:r>
    </w:p>
    <w:p>
      <w:pPr>
        <w:pStyle w:val="Compact"/>
        <w:numPr>
          <w:ilvl w:val="0"/>
          <w:numId w:val="1012"/>
        </w:numPr>
      </w:pPr>
      <w:r>
        <w:rPr>
          <w:b/>
        </w:rPr>
        <w:t>Intervención humana:</w:t>
      </w:r>
      <w:r>
        <w:rPr/>
        <w:t xml:space="preserve"> revisión del resultado de un sistema de IA por una persona con autoridad y conocimiento suficientes para confirmarlo, modificarlo o rechazarlo antes de que produzca efectos.</w:t>
      </w:r>
    </w:p>
    <w:p>
      <w:pPr>
        <w:pStyle w:val="Compact"/>
        <w:numPr>
          <w:ilvl w:val="0"/>
          <w:numId w:val="1012"/>
        </w:numPr>
      </w:pPr>
      <w:r>
        <w:rPr>
          <w:b/>
        </w:rPr>
        <w:t>Sistema de IA:</w:t>
      </w:r>
      <w:r>
        <w:rPr/>
        <w:t xml:space="preserve"> sistema basado en máquinas que, a partir de la información que recibe, genera resultados como contenido, predicciones, recomendaciones o decisiones.</w:t>
      </w:r>
    </w:p>
    <w:p>
      <w:pPr>
        <w:pStyle w:val="Compact"/>
        <w:numPr>
          <w:ilvl w:val="0"/>
          <w:numId w:val="1012"/>
        </w:numPr>
      </w:pPr>
      <w:r>
        <w:rPr>
          <w:b/>
        </w:rPr>
        <w:t>Sistema de IA autorizado:</w:t>
      </w:r>
      <w:r>
        <w:rPr/>
        <w:t xml:space="preserve"> sistema registrado en el Anexo 1, para los usos y con la información que ahí se indican.</w:t>
      </w:r>
    </w:p>
    <w:p>
      <w:pPr>
        <w:pStyle w:val="BodyText"/>
      </w:pPr>
      <w:r>
        <w:rPr>
          <w:i/>
        </w:rPr>
        <w:t>Las definiciones de dato personal, dato personal sensible, persona encargada y transferencia siguen el artículo 2 de la Ley Federal de Protección de Datos Personales en Posesión de los Particulares (DOF 20-03-2025; última reforma DOF 14-11-2025). Si la organización es una institución pública, ajústalas a la Ley General de Protección de Datos Personales en Posesión de Sujetos Obligados o a la ley local que le aplique.</w:t>
      </w:r>
    </w:p>
    <w:p>
      <w:pPr>
        <w:pStyle w:val="Heading3"/>
      </w:pPr>
      <w:r>
        <w:rPr/>
        <w:t>4. Principios</w:t>
      </w:r>
    </w:p>
    <w:p>
      <w:pPr>
        <w:pStyle w:val="FirstParagraph"/>
      </w:pPr>
      <w:r>
        <w:rPr/>
        <w:t>El uso de IA en la organización se rige por estos principios:</w:t>
      </w:r>
    </w:p>
    <w:p>
      <w:pPr>
        <w:pStyle w:val="Compact"/>
        <w:numPr>
          <w:ilvl w:val="0"/>
          <w:numId w:val="1013"/>
        </w:numPr>
      </w:pPr>
      <w:r>
        <w:rPr>
          <w:b/>
        </w:rPr>
        <w:t>Finalidad:</w:t>
      </w:r>
      <w:r>
        <w:rPr/>
        <w:t xml:space="preserve"> se usa para fines de la organización y para los usos autorizados.</w:t>
      </w:r>
    </w:p>
    <w:p>
      <w:pPr>
        <w:pStyle w:val="Compact"/>
        <w:numPr>
          <w:ilvl w:val="0"/>
          <w:numId w:val="1013"/>
        </w:numPr>
      </w:pPr>
      <w:r>
        <w:rPr>
          <w:b/>
        </w:rPr>
        <w:t>Protección de la información:</w:t>
      </w:r>
      <w:r>
        <w:rPr/>
        <w:t xml:space="preserve"> se ingresa solo la información necesaria y permitida.</w:t>
      </w:r>
    </w:p>
    <w:p>
      <w:pPr>
        <w:pStyle w:val="Compact"/>
        <w:numPr>
          <w:ilvl w:val="0"/>
          <w:numId w:val="1013"/>
        </w:numPr>
      </w:pPr>
      <w:r>
        <w:rPr>
          <w:b/>
        </w:rPr>
        <w:t>Responsabilidad humana:</w:t>
      </w:r>
      <w:r>
        <w:rPr/>
        <w:t xml:space="preserve"> quien entrega un producto elaborado con IA responde por su contenido.</w:t>
      </w:r>
    </w:p>
    <w:p>
      <w:pPr>
        <w:pStyle w:val="Compact"/>
        <w:numPr>
          <w:ilvl w:val="0"/>
          <w:numId w:val="1013"/>
        </w:numPr>
      </w:pPr>
      <w:r>
        <w:rPr>
          <w:b/>
        </w:rPr>
        <w:t>Transparencia:</w:t>
      </w:r>
      <w:r>
        <w:rPr/>
        <w:t xml:space="preserve"> se declara el uso de IA y se etiqueta el contenido sintético.</w:t>
      </w:r>
    </w:p>
    <w:p>
      <w:pPr>
        <w:pStyle w:val="Compact"/>
        <w:numPr>
          <w:ilvl w:val="0"/>
          <w:numId w:val="1013"/>
        </w:numPr>
      </w:pPr>
      <w:r>
        <w:rPr>
          <w:b/>
        </w:rPr>
        <w:t>Respeto a las personas:</w:t>
      </w:r>
      <w:r>
        <w:rPr/>
        <w:t xml:space="preserve"> ningún uso de IA discrimina, engaña ni decide sobre personas sin intervención humana.</w:t>
      </w:r>
    </w:p>
    <w:p>
      <w:pPr>
        <w:pStyle w:val="Heading3"/>
      </w:pPr>
      <w:r>
        <w:rPr/>
        <w:t>5. Autorización de sistemas de IA</w:t>
      </w:r>
    </w:p>
    <w:p>
      <w:pPr>
        <w:pStyle w:val="FirstParagraph"/>
      </w:pPr>
      <w:r>
        <w:rPr/>
        <w:t xml:space="preserve">5.1 </w:t>
      </w:r>
      <w:r>
        <w:rPr>
          <w:b/>
        </w:rPr>
        <w:t>Regla general.</w:t>
      </w:r>
      <w:r>
        <w:rPr/>
        <w:t xml:space="preserve"> Solo se usan los sistemas de IA registrados en el Anexo 1, para los usos y con la información que ahí se indican, y con la cuenta institucional.</w:t>
      </w:r>
    </w:p>
    <w:p>
      <w:pPr>
        <w:pStyle w:val="BodyText"/>
      </w:pPr>
      <w:r>
        <w:rPr/>
        <w:t xml:space="preserve">5.2 </w:t>
      </w:r>
      <w:r>
        <w:rPr>
          <w:b/>
        </w:rPr>
        <w:t>Prohibiciones.</w:t>
      </w:r>
      <w:r>
        <w:rPr/>
        <w:t xml:space="preserve"> Queda prohibido:</w:t>
      </w:r>
    </w:p>
    <w:p>
      <w:pPr>
        <w:pStyle w:val="Compact"/>
        <w:numPr>
          <w:ilvl w:val="0"/>
          <w:numId w:val="1012"/>
        </w:numPr>
      </w:pPr>
      <w:r>
        <w:rPr/>
        <w:t>Usar cuentas personales de sistemas de IA para tareas de la organización.</w:t>
      </w:r>
    </w:p>
    <w:p>
      <w:pPr>
        <w:pStyle w:val="Compact"/>
        <w:numPr>
          <w:ilvl w:val="0"/>
          <w:numId w:val="1012"/>
        </w:numPr>
      </w:pPr>
      <w:r>
        <w:rPr/>
        <w:t>Instalar extensiones de navegador o aplicaciones con funciones de IA no autorizadas.</w:t>
      </w:r>
    </w:p>
    <w:p>
      <w:pPr>
        <w:pStyle w:val="Compact"/>
        <w:numPr>
          <w:ilvl w:val="0"/>
          <w:numId w:val="1012"/>
        </w:numPr>
      </w:pPr>
      <w:r>
        <w:rPr/>
        <w:t>Activar funciones o módulos de IA en un software ya contratado sin seguir el procedimiento de autorización.</w:t>
      </w:r>
    </w:p>
    <w:p>
      <w:pPr>
        <w:pStyle w:val="BodyText"/>
      </w:pPr>
      <w:r>
        <w:rPr/>
        <w:t xml:space="preserve">5.3 </w:t>
      </w:r>
      <w:r>
        <w:rPr>
          <w:b/>
        </w:rPr>
        <w:t>Procedimiento de autorización.</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3339"/>
        <w:gridCol w:w="4409"/>
        <w:gridCol w:w="1883"/>
      </w:tblGrid>
      <w:tr>
        <w:trPr>
          <w:tblHeader w:val="true"/>
          <w:cantSplit/>
        </w:trPr>
        <w:tc>
          <w:tcPr>
            <w:tcW w:w="3339" w:type="dxa"/>
            <w:shd w:val="clear" w:color="auto" w:fill="ECECEC"/>
          </w:tcPr>
          <w:p>
            <w:pPr>
              <w:pStyle w:val="Compact"/>
              <w:spacing w:before="20" w:after="20"/>
            </w:pPr>
            <w:r>
              <w:rPr>
                <w:b/>
                <w:sz w:val="17"/>
              </w:rPr>
              <w:t>Paso</w:t>
            </w:r>
          </w:p>
        </w:tc>
        <w:tc>
          <w:tcPr>
            <w:tcW w:w="4409" w:type="dxa"/>
            <w:shd w:val="clear" w:color="auto" w:fill="ECECEC"/>
          </w:tcPr>
          <w:p>
            <w:pPr>
              <w:pStyle w:val="Compact"/>
              <w:spacing w:before="20" w:after="20"/>
            </w:pPr>
            <w:r>
              <w:rPr>
                <w:b/>
                <w:sz w:val="17"/>
              </w:rPr>
              <w:t>Responsable</w:t>
            </w:r>
          </w:p>
        </w:tc>
        <w:tc>
          <w:tcPr>
            <w:tcW w:w="1883" w:type="dxa"/>
            <w:shd w:val="clear" w:color="auto" w:fill="ECECEC"/>
          </w:tcPr>
          <w:p>
            <w:pPr>
              <w:pStyle w:val="Compact"/>
              <w:spacing w:before="20" w:after="20"/>
            </w:pPr>
            <w:r>
              <w:rPr>
                <w:b/>
                <w:sz w:val="17"/>
              </w:rPr>
              <w:t>Plazo</w:t>
            </w:r>
          </w:p>
        </w:tc>
      </w:tr>
      <w:tr>
        <w:tc>
          <w:tcPr>
            <w:tcW w:w="3339" w:type="dxa"/>
          </w:tcPr>
          <w:p>
            <w:pPr>
              <w:pStyle w:val="Compact"/>
              <w:spacing w:before="20" w:after="20"/>
            </w:pPr>
            <w:r>
              <w:rPr>
                <w:sz w:val="17"/>
              </w:rPr>
              <w:t>1. Solicitud con el formato del Anexo 3</w:t>
            </w:r>
          </w:p>
        </w:tc>
        <w:tc>
          <w:tcPr>
            <w:tcW w:w="4409" w:type="dxa"/>
          </w:tcPr>
          <w:p>
            <w:pPr>
              <w:pStyle w:val="Compact"/>
              <w:spacing w:before="20" w:after="20"/>
            </w:pPr>
            <w:r>
              <w:rPr>
                <w:sz w:val="17"/>
              </w:rPr>
              <w:t>Área interesada</w:t>
            </w:r>
          </w:p>
        </w:tc>
        <w:tc>
          <w:tcPr>
            <w:tcW w:w="1883" w:type="dxa"/>
          </w:tcPr>
          <w:p>
            <w:pPr>
              <w:pStyle w:val="Compact"/>
              <w:spacing w:before="20" w:after="20"/>
            </w:pPr>
            <w:r>
              <w:rPr>
                <w:sz w:val="17"/>
              </w:rPr>
              <w:t>—</w:t>
            </w:r>
          </w:p>
        </w:tc>
      </w:tr>
      <w:tr>
        <w:tc>
          <w:tcPr>
            <w:tcW w:w="3339" w:type="dxa"/>
          </w:tcPr>
          <w:p>
            <w:pPr>
              <w:pStyle w:val="Compact"/>
              <w:spacing w:before="20" w:after="20"/>
            </w:pPr>
            <w:r>
              <w:rPr>
                <w:sz w:val="17"/>
              </w:rPr>
              <w:t>2. Revisión técnica y de seguridad</w:t>
            </w:r>
          </w:p>
        </w:tc>
        <w:tc>
          <w:tcPr>
            <w:tcW w:w="4409" w:type="dxa"/>
          </w:tcPr>
          <w:p>
            <w:pPr>
              <w:pStyle w:val="Compact"/>
              <w:spacing w:before="20" w:after="20"/>
            </w:pPr>
            <w:r>
              <w:rPr>
                <w:sz w:val="17"/>
              </w:rPr>
              <w:t>[Tecnologías de la Información]</w:t>
            </w:r>
          </w:p>
        </w:tc>
        <w:tc>
          <w:tcPr>
            <w:tcW w:w="1883" w:type="dxa"/>
          </w:tcPr>
          <w:p>
            <w:pPr>
              <w:pStyle w:val="Compact"/>
              <w:spacing w:before="20" w:after="20"/>
            </w:pPr>
            <w:r>
              <w:rPr>
                <w:sz w:val="17"/>
              </w:rPr>
              <w:t>[10] días hábiles</w:t>
            </w:r>
          </w:p>
        </w:tc>
      </w:tr>
      <w:tr>
        <w:tc>
          <w:tcPr>
            <w:tcW w:w="3339" w:type="dxa"/>
          </w:tcPr>
          <w:p>
            <w:pPr>
              <w:pStyle w:val="Compact"/>
              <w:spacing w:before="20" w:after="20"/>
            </w:pPr>
            <w:r>
              <w:rPr>
                <w:sz w:val="17"/>
              </w:rPr>
              <w:t>3. Revisión del proveedor con la lista del Anexo 5 y de los datos personales</w:t>
            </w:r>
          </w:p>
        </w:tc>
        <w:tc>
          <w:tcPr>
            <w:tcW w:w="4409" w:type="dxa"/>
          </w:tcPr>
          <w:p>
            <w:pPr>
              <w:pStyle w:val="Compact"/>
              <w:spacing w:before="20" w:after="20"/>
            </w:pPr>
            <w:r>
              <w:rPr>
                <w:sz w:val="17"/>
              </w:rPr>
              <w:t>[Jurídico / Responsable de protección de datos]</w:t>
            </w:r>
          </w:p>
        </w:tc>
        <w:tc>
          <w:tcPr>
            <w:tcW w:w="1883" w:type="dxa"/>
          </w:tcPr>
          <w:p>
            <w:pPr>
              <w:pStyle w:val="Compact"/>
              <w:spacing w:before="20" w:after="20"/>
            </w:pPr>
            <w:r>
              <w:rPr>
                <w:sz w:val="17"/>
              </w:rPr>
              <w:t>[10] días hábiles, en paralelo con el paso 2</w:t>
            </w:r>
          </w:p>
        </w:tc>
      </w:tr>
      <w:tr>
        <w:tc>
          <w:tcPr>
            <w:tcW w:w="3339" w:type="dxa"/>
          </w:tcPr>
          <w:p>
            <w:pPr>
              <w:pStyle w:val="Compact"/>
              <w:spacing w:before="20" w:after="20"/>
            </w:pPr>
            <w:r>
              <w:rPr>
                <w:sz w:val="17"/>
              </w:rPr>
              <w:t>4. Valoración del riesgo y, si el uso afecta a personas, evaluación de impacto</w:t>
            </w:r>
          </w:p>
        </w:tc>
        <w:tc>
          <w:tcPr>
            <w:tcW w:w="4409" w:type="dxa"/>
          </w:tcPr>
          <w:p>
            <w:pPr>
              <w:pStyle w:val="Compact"/>
              <w:spacing w:before="20" w:after="20"/>
            </w:pPr>
            <w:r>
              <w:rPr>
                <w:sz w:val="17"/>
              </w:rPr>
              <w:t>[Responsable de gobernanza de IA]</w:t>
            </w:r>
          </w:p>
        </w:tc>
        <w:tc>
          <w:tcPr>
            <w:tcW w:w="1883" w:type="dxa"/>
          </w:tcPr>
          <w:p>
            <w:pPr>
              <w:pStyle w:val="Compact"/>
              <w:spacing w:before="20" w:after="20"/>
            </w:pPr>
            <w:r>
              <w:rPr>
                <w:sz w:val="17"/>
              </w:rPr>
              <w:t>[5] días hábiles</w:t>
            </w:r>
          </w:p>
        </w:tc>
      </w:tr>
      <w:tr>
        <w:tc>
          <w:tcPr>
            <w:tcW w:w="3339" w:type="dxa"/>
          </w:tcPr>
          <w:p>
            <w:pPr>
              <w:pStyle w:val="Compact"/>
              <w:spacing w:before="20" w:after="20"/>
            </w:pPr>
            <w:r>
              <w:rPr>
                <w:sz w:val="17"/>
              </w:rPr>
              <w:t>5. Aprobación</w:t>
            </w:r>
          </w:p>
        </w:tc>
        <w:tc>
          <w:tcPr>
            <w:tcW w:w="4409" w:type="dxa"/>
          </w:tcPr>
          <w:p>
            <w:pPr>
              <w:pStyle w:val="Compact"/>
              <w:spacing w:before="20" w:after="20"/>
            </w:pPr>
            <w:r>
              <w:rPr>
                <w:sz w:val="17"/>
              </w:rPr>
              <w:t>Riesgo bajo o medio: [Responsable de gobernanza de IA]. Riesgo alto: [Dirección General / Comité de IA]</w:t>
            </w:r>
          </w:p>
        </w:tc>
        <w:tc>
          <w:tcPr>
            <w:tcW w:w="1883" w:type="dxa"/>
          </w:tcPr>
          <w:p>
            <w:pPr>
              <w:pStyle w:val="Compact"/>
              <w:spacing w:before="20" w:after="20"/>
            </w:pPr>
            <w:r>
              <w:rPr>
                <w:sz w:val="17"/>
              </w:rPr>
              <w:t>[5] días hábiles</w:t>
            </w:r>
          </w:p>
        </w:tc>
      </w:tr>
      <w:tr>
        <w:tc>
          <w:tcPr>
            <w:tcW w:w="3339" w:type="dxa"/>
          </w:tcPr>
          <w:p>
            <w:pPr>
              <w:pStyle w:val="Compact"/>
              <w:spacing w:before="20" w:after="20"/>
            </w:pPr>
            <w:r>
              <w:rPr>
                <w:sz w:val="17"/>
              </w:rPr>
              <w:t>6. Registro en el Anexo 1 y comunicación al área</w:t>
            </w:r>
          </w:p>
        </w:tc>
        <w:tc>
          <w:tcPr>
            <w:tcW w:w="4409" w:type="dxa"/>
          </w:tcPr>
          <w:p>
            <w:pPr>
              <w:pStyle w:val="Compact"/>
              <w:spacing w:before="20" w:after="20"/>
            </w:pPr>
            <w:r>
              <w:rPr>
                <w:sz w:val="17"/>
              </w:rPr>
              <w:t>[Responsable de gobernanza de IA]</w:t>
            </w:r>
          </w:p>
        </w:tc>
        <w:tc>
          <w:tcPr>
            <w:tcW w:w="1883" w:type="dxa"/>
          </w:tcPr>
          <w:p>
            <w:pPr>
              <w:pStyle w:val="Compact"/>
              <w:spacing w:before="20" w:after="20"/>
            </w:pPr>
            <w:r>
              <w:rPr>
                <w:sz w:val="17"/>
              </w:rPr>
              <w:t>[2] días hábiles</w:t>
            </w:r>
          </w:p>
        </w:tc>
      </w:tr>
    </w:tbl>
    <w:p>
      <w:pPr>
        <w:pStyle w:val="BodyText"/>
      </w:pPr>
    </w:p>
    <w:p>
      <w:pPr>
        <w:pStyle w:val="BodyText"/>
      </w:pPr>
      <w:r>
        <w:rPr/>
        <w:t xml:space="preserve">5.4 </w:t>
      </w:r>
      <w:r>
        <w:rPr>
          <w:b/>
        </w:rPr>
        <w:t>Criterios para autorizar.</w:t>
      </w:r>
      <w:r>
        <w:rPr/>
        <w:t xml:space="preserve"> Se autoriza un sistema de IA cuando:</w:t>
      </w:r>
    </w:p>
    <w:p>
      <w:pPr>
        <w:pStyle w:val="Compact"/>
        <w:numPr>
          <w:ilvl w:val="0"/>
          <w:numId w:val="1014"/>
        </w:numPr>
      </w:pPr>
      <w:r>
        <w:rPr/>
        <w:t>Tiene una finalidad definida y legítima para la organización.</w:t>
      </w:r>
    </w:p>
    <w:p>
      <w:pPr>
        <w:pStyle w:val="Compact"/>
        <w:numPr>
          <w:ilvl w:val="0"/>
          <w:numId w:val="1014"/>
        </w:numPr>
      </w:pPr>
      <w:r>
        <w:rPr/>
        <w:t>Usa solo la información necesaria para esa finalidad.</w:t>
      </w:r>
    </w:p>
    <w:p>
      <w:pPr>
        <w:pStyle w:val="Compact"/>
        <w:numPr>
          <w:ilvl w:val="0"/>
          <w:numId w:val="1014"/>
        </w:numPr>
      </w:pPr>
      <w:r>
        <w:rPr/>
        <w:t>Las condiciones del proveedor son aceptables conforme al Anexo 5: actúa como persona encargada, por cuenta de la organización y con contrato; no usa la información de la organización para entrenar sus modelos ni para fines propios; define la conservación, la ubicación, las transferencias internacionales y la eliminación de la información; notifica incidentes en un plazo definido.</w:t>
      </w:r>
    </w:p>
    <w:p>
      <w:pPr>
        <w:pStyle w:val="Compact"/>
        <w:numPr>
          <w:ilvl w:val="0"/>
          <w:numId w:val="1014"/>
        </w:numPr>
      </w:pPr>
      <w:r>
        <w:rPr/>
        <w:t>Si el sistema tratará datos personales, el uso está informado en el aviso de privacidad y cuenta con fundamento: consentimiento de las personas titulares o una excepción legal.</w:t>
      </w:r>
    </w:p>
    <w:p>
      <w:pPr>
        <w:pStyle w:val="Compact"/>
        <w:numPr>
          <w:ilvl w:val="0"/>
          <w:numId w:val="1014"/>
        </w:numPr>
      </w:pPr>
      <w:r>
        <w:rPr/>
        <w:t>Se definieron controles para sus riesgos altos.</w:t>
      </w:r>
    </w:p>
    <w:p>
      <w:pPr>
        <w:pStyle w:val="Compact"/>
        <w:numPr>
          <w:ilvl w:val="0"/>
          <w:numId w:val="1014"/>
        </w:numPr>
      </w:pPr>
      <w:r>
        <w:rPr/>
        <w:t>Si afecta a personas, cuenta con evaluación de impacto e intervención humana.</w:t>
      </w:r>
    </w:p>
    <w:p>
      <w:pPr>
        <w:pStyle w:val="BodyText"/>
      </w:pPr>
      <w:r>
        <w:rPr/>
        <w:t xml:space="preserve">5.5 </w:t>
      </w:r>
      <w:r>
        <w:rPr>
          <w:b/>
        </w:rPr>
        <w:t>Revisión.</w:t>
      </w:r>
      <w:r>
        <w:rPr/>
        <w:t xml:space="preserve"> Los sistemas autorizados se revisan [cada año] o cuando cambian el proveedor, sus condiciones o el uso.</w:t>
      </w:r>
    </w:p>
    <w:p>
      <w:pPr>
        <w:pStyle w:val="Heading3"/>
      </w:pPr>
      <w:r>
        <w:rPr/>
        <w:t>6. Información que puede ingresarse</w:t>
      </w:r>
    </w:p>
    <w:p>
      <w:pPr>
        <w:pStyle w:val="FirstParagraph"/>
      </w:pPr>
      <w:r>
        <w:rPr/>
        <w:t>6.1 Antes de ingresar información a un sistema de IA, la persona usuaria la clasifica conforme al esquema de clasificación de la organización (Anexo 2) y la depura.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492"/>
        <w:gridCol w:w="8139"/>
      </w:tblGrid>
      <w:tr>
        <w:trPr>
          <w:tblHeader w:val="true"/>
          <w:cantSplit/>
        </w:trPr>
        <w:tc>
          <w:tcPr>
            <w:tcW w:w="1492" w:type="dxa"/>
            <w:shd w:val="clear" w:color="auto" w:fill="ECECEC"/>
          </w:tcPr>
          <w:p>
            <w:pPr>
              <w:pStyle w:val="Compact"/>
              <w:spacing w:before="20" w:after="20"/>
            </w:pPr>
            <w:r>
              <w:rPr>
                <w:b/>
                <w:sz w:val="17"/>
              </w:rPr>
              <w:t>Nivel de clasificación</w:t>
            </w:r>
          </w:p>
        </w:tc>
        <w:tc>
          <w:tcPr>
            <w:tcW w:w="8139" w:type="dxa"/>
            <w:shd w:val="clear" w:color="auto" w:fill="ECECEC"/>
          </w:tcPr>
          <w:p>
            <w:pPr>
              <w:pStyle w:val="Compact"/>
              <w:spacing w:before="20" w:after="20"/>
            </w:pPr>
            <w:r>
              <w:rPr>
                <w:b/>
                <w:sz w:val="17"/>
              </w:rPr>
              <w:t>Regla para sistemas de IA</w:t>
            </w:r>
          </w:p>
        </w:tc>
      </w:tr>
      <w:tr>
        <w:tc>
          <w:tcPr>
            <w:tcW w:w="1492" w:type="dxa"/>
          </w:tcPr>
          <w:p>
            <w:pPr>
              <w:pStyle w:val="Compact"/>
              <w:spacing w:before="20" w:after="20"/>
            </w:pPr>
            <w:r>
              <w:rPr>
                <w:sz w:val="17"/>
              </w:rPr>
              <w:t>Pública</w:t>
            </w:r>
          </w:p>
        </w:tc>
        <w:tc>
          <w:tcPr>
            <w:tcW w:w="8139" w:type="dxa"/>
          </w:tcPr>
          <w:p>
            <w:pPr>
              <w:pStyle w:val="Compact"/>
              <w:spacing w:before="20" w:after="20"/>
            </w:pPr>
            <w:r>
              <w:rPr>
                <w:sz w:val="17"/>
              </w:rPr>
              <w:t>Puede ingresarse en sistemas autorizados</w:t>
            </w:r>
          </w:p>
        </w:tc>
      </w:tr>
      <w:tr>
        <w:tc>
          <w:tcPr>
            <w:tcW w:w="1492" w:type="dxa"/>
          </w:tcPr>
          <w:p>
            <w:pPr>
              <w:pStyle w:val="Compact"/>
              <w:spacing w:before="20" w:after="20"/>
            </w:pPr>
            <w:r>
              <w:rPr>
                <w:sz w:val="17"/>
              </w:rPr>
              <w:t>Interna</w:t>
            </w:r>
          </w:p>
        </w:tc>
        <w:tc>
          <w:tcPr>
            <w:tcW w:w="8139" w:type="dxa"/>
          </w:tcPr>
          <w:p>
            <w:pPr>
              <w:pStyle w:val="Compact"/>
              <w:spacing w:before="20" w:after="20"/>
            </w:pPr>
            <w:r>
              <w:rPr>
                <w:sz w:val="17"/>
              </w:rPr>
              <w:t>Solo en los sistemas autorizados para información interna (Anexo 1)</w:t>
            </w:r>
          </w:p>
        </w:tc>
      </w:tr>
      <w:tr>
        <w:tc>
          <w:tcPr>
            <w:tcW w:w="1492" w:type="dxa"/>
          </w:tcPr>
          <w:p>
            <w:pPr>
              <w:pStyle w:val="Compact"/>
              <w:spacing w:before="20" w:after="20"/>
            </w:pPr>
            <w:r>
              <w:rPr>
                <w:sz w:val="17"/>
              </w:rPr>
              <w:t>Confidencial</w:t>
            </w:r>
          </w:p>
        </w:tc>
        <w:tc>
          <w:tcPr>
            <w:tcW w:w="8139" w:type="dxa"/>
          </w:tcPr>
          <w:p>
            <w:pPr>
              <w:pStyle w:val="Compact"/>
              <w:spacing w:before="20" w:after="20"/>
            </w:pPr>
            <w:r>
              <w:rPr>
                <w:sz w:val="17"/>
              </w:rPr>
              <w:t>No se ingresa, salvo autorización registrada de [titular del área propietaria de la información]</w:t>
            </w:r>
          </w:p>
        </w:tc>
      </w:tr>
      <w:tr>
        <w:tc>
          <w:tcPr>
            <w:tcW w:w="1492" w:type="dxa"/>
          </w:tcPr>
          <w:p>
            <w:pPr>
              <w:pStyle w:val="Compact"/>
              <w:spacing w:before="20" w:after="20"/>
            </w:pPr>
            <w:r>
              <w:rPr>
                <w:sz w:val="17"/>
              </w:rPr>
              <w:t>Dato personal</w:t>
            </w:r>
          </w:p>
        </w:tc>
        <w:tc>
          <w:tcPr>
            <w:tcW w:w="8139" w:type="dxa"/>
          </w:tcPr>
          <w:p>
            <w:pPr>
              <w:pStyle w:val="Compact"/>
              <w:spacing w:before="20" w:after="20"/>
            </w:pPr>
            <w:r>
              <w:rPr>
                <w:sz w:val="17"/>
              </w:rPr>
              <w:t>Se depura (se elimina, se sustituye por datos genéricos o se presenta en forma agregada). Solo si es indispensable para la tarea, en sistemas autorizados para ese nivel, con autorización registrada de [Responsable de protección de datos], siempre que el uso esté informado en el aviso de privacidad y el proveedor actúe como persona encargada</w:t>
            </w:r>
          </w:p>
        </w:tc>
      </w:tr>
      <w:tr>
        <w:tc>
          <w:tcPr>
            <w:tcW w:w="1492" w:type="dxa"/>
          </w:tcPr>
          <w:p>
            <w:pPr>
              <w:pStyle w:val="Compact"/>
              <w:spacing w:before="20" w:after="20"/>
            </w:pPr>
            <w:r>
              <w:rPr>
                <w:sz w:val="17"/>
              </w:rPr>
              <w:t>Dato personal sensible</w:t>
            </w:r>
          </w:p>
        </w:tc>
        <w:tc>
          <w:tcPr>
            <w:tcW w:w="8139" w:type="dxa"/>
          </w:tcPr>
          <w:p>
            <w:pPr>
              <w:pStyle w:val="Compact"/>
              <w:spacing w:before="20" w:after="20"/>
            </w:pPr>
            <w:r>
              <w:rPr>
                <w:sz w:val="17"/>
              </w:rPr>
              <w:t>No se ingresa. Solo por excepción, con autorización registrada de [Responsable de protección de datos], quien verifica que exista el consentimiento expreso y por escrito de la persona titular o una excepción legal, y que el sistema esté autorizado y contratado con el proveedor como persona encargada</w:t>
            </w:r>
          </w:p>
        </w:tc>
      </w:tr>
    </w:tbl>
    <w:p>
      <w:pPr>
        <w:pStyle w:val="BodyText"/>
      </w:pPr>
    </w:p>
    <w:p>
      <w:pPr>
        <w:pStyle w:val="BodyText"/>
      </w:pPr>
      <w:r>
        <w:rPr/>
        <w:t xml:space="preserve">6.2 </w:t>
      </w:r>
      <w:r>
        <w:rPr>
          <w:b/>
        </w:rPr>
        <w:t>Nunca se ingresan</w:t>
      </w:r>
      <w:r>
        <w:rPr/>
        <w:t xml:space="preserve"> contraseñas, credenciales de acceso, llaves de cifrado ni datos bancarios o de tarjetas.</w:t>
      </w:r>
    </w:p>
    <w:p>
      <w:pPr>
        <w:pStyle w:val="BodyText"/>
      </w:pPr>
      <w:r>
        <w:rPr/>
        <w:t>6.3 Si la tarea requiere información que no puede depurarse y no se obtiene la autorización, la tarea se realiza sin el sistema de IA o se reprograma.</w:t>
      </w:r>
    </w:p>
    <w:p>
      <w:pPr>
        <w:pStyle w:val="BodyText"/>
      </w:pPr>
      <w:r>
        <w:rPr/>
        <w:t xml:space="preserve">6.4 </w:t>
      </w:r>
      <w:r>
        <w:rPr>
          <w:b/>
        </w:rPr>
        <w:t>Aviso de privacidad y fundamento.</w:t>
      </w:r>
      <w:r>
        <w:rPr/>
        <w:t xml:space="preserve"> Los usos de IA que traten datos personales se informan en el aviso de privacidad que corresponda (personal, clientes, candidatos u otros) y cuentan con fundamento: el consentimiento de las personas titulares o una excepción prevista en la ley. Si el proveedor del sistema usa los datos para fines propios, se trata de una transferencia, que debe informarse en el aviso de privacidad con la cláusula correspondiente.</w:t>
      </w:r>
    </w:p>
    <w:p>
      <w:pPr>
        <w:pStyle w:val="Heading3"/>
      </w:pPr>
      <w:r>
        <w:rPr/>
        <w:t>7. Verificación de resultados y declaración del uso de IA</w:t>
      </w:r>
    </w:p>
    <w:p>
      <w:pPr>
        <w:pStyle w:val="FirstParagraph"/>
      </w:pPr>
      <w:r>
        <w:rPr/>
        <w:t>7.1 Antes de usar o entregar un producto elaborado con IA, la persona usuaria:</w:t>
      </w:r>
    </w:p>
    <w:p>
      <w:pPr>
        <w:pStyle w:val="Compact"/>
        <w:numPr>
          <w:ilvl w:val="0"/>
          <w:numId w:val="1015"/>
        </w:numPr>
      </w:pPr>
      <w:r>
        <w:rPr/>
        <w:t>Contrasta cada dato, cifra, fecha, nombre propio, cita y referencia con al menos una fuente verificable distinta del sistema de IA.</w:t>
      </w:r>
    </w:p>
    <w:p>
      <w:pPr>
        <w:pStyle w:val="Compact"/>
        <w:numPr>
          <w:ilvl w:val="0"/>
          <w:numId w:val="1015"/>
        </w:numPr>
      </w:pPr>
      <w:r>
        <w:rPr/>
        <w:t>Corrige o elimina el contenido que no pudo verificarse.</w:t>
      </w:r>
    </w:p>
    <w:p>
      <w:pPr>
        <w:pStyle w:val="Compact"/>
        <w:numPr>
          <w:ilvl w:val="0"/>
          <w:numId w:val="1015"/>
        </w:numPr>
      </w:pPr>
      <w:r>
        <w:rPr/>
        <w:t>Revisa que no contenga contenido sesgado o discriminatorio.</w:t>
      </w:r>
    </w:p>
    <w:p>
      <w:pPr>
        <w:pStyle w:val="Compact"/>
        <w:numPr>
          <w:ilvl w:val="0"/>
          <w:numId w:val="1015"/>
        </w:numPr>
      </w:pPr>
      <w:r>
        <w:rPr/>
        <w:t>Revisa que no contenga datos personales ni información confidencial no autorizados, incluidos los que haya agregado el sistema.</w:t>
      </w:r>
    </w:p>
    <w:p>
      <w:pPr>
        <w:pStyle w:val="BodyText"/>
      </w:pPr>
      <w:r>
        <w:rPr/>
        <w:t xml:space="preserve">7.2 </w:t>
      </w:r>
      <w:r>
        <w:rPr>
          <w:b/>
        </w:rPr>
        <w:t>Declaración.</w:t>
      </w:r>
      <w:r>
        <w:rPr/>
        <w:t xml:space="preserve"> Los [documentos dirigidos a clientes, autoridades o la dirección; materiales publicados; trabajos académicos] elaborados con apoyo de IA incluyen la declaración: "Elaborado con apoyo de [sistema]; revisado por [nombre y puesto]".</w:t>
      </w:r>
    </w:p>
    <w:p>
      <w:pPr>
        <w:pStyle w:val="BodyText"/>
      </w:pPr>
      <w:r>
        <w:rPr/>
        <w:t>7.3 La persona que entrega el producto es responsable de su contenido, aunque se haya elaborado con apoyo de IA.</w:t>
      </w:r>
    </w:p>
    <w:p>
      <w:pPr>
        <w:pStyle w:val="Heading3"/>
      </w:pPr>
      <w:r>
        <w:rPr/>
        <w:t>8. Imagen, voz y obras de terceros</w:t>
      </w:r>
    </w:p>
    <w:p>
      <w:pPr>
        <w:pStyle w:val="FirstParagraph"/>
      </w:pPr>
      <w:r>
        <w:rPr/>
        <w:t>8.1 No se usa la imagen, la voz ni los rasgos físicos de ninguna persona, incluido el personal de la organización, para generar contenido con IA sin su consentimiento por escrito. La imagen y la voz son datos personales; la de artistas intérpretes o ejecutantes está protegida además por la Ley Federal del Derecho de Autor, incluso cuando se recrea con IA (artículo 87, reforma de mayo de 2026).</w:t>
      </w:r>
    </w:p>
    <w:p>
      <w:pPr>
        <w:pStyle w:val="BodyText"/>
      </w:pPr>
      <w:r>
        <w:rPr/>
        <w:t xml:space="preserve">8.2 El contenido sintético de imagen, audio o video lleva la leyenda </w:t>
      </w:r>
      <w:r>
        <w:rPr>
          <w:b/>
        </w:rPr>
        <w:t>"Contenido generado con IA"</w:t>
      </w:r>
      <w:r>
        <w:rPr/>
        <w:t xml:space="preserve"> de forma visible o audible. Es una regla de esta política; revisar si una disposición posterior establece una leyenda obligatoria.</w:t>
      </w:r>
    </w:p>
    <w:p>
      <w:pPr>
        <w:pStyle w:val="BodyText"/>
      </w:pPr>
      <w:r>
        <w:rPr/>
        <w:t>8.3 No se reproducen con IA obras protegidas, personajes, logotipos ni marcas de terceros sin licencia o autorización, salvo los usos que permite la ley, como la cita con mención de la fuente (Ley Federal del Derecho de Autor, artículo 148), confirmados con [Jurídico].</w:t>
      </w:r>
    </w:p>
    <w:p>
      <w:pPr>
        <w:pStyle w:val="BodyText"/>
      </w:pPr>
      <w:r>
        <w:rPr/>
        <w:t>8.4 Queda prohibido generar contenido que suplante o pueda confundirse con una persona real, salvo con su consentimiento por escrito y con la leyenda del punto 8.2.</w:t>
      </w:r>
    </w:p>
    <w:p>
      <w:pPr>
        <w:pStyle w:val="Heading3"/>
      </w:pPr>
      <w:r>
        <w:rPr/>
        <w:t>9. Intervención humana en decisiones sobre personas</w:t>
      </w:r>
    </w:p>
    <w:p>
      <w:pPr>
        <w:pStyle w:val="FirstParagraph"/>
      </w:pPr>
      <w:r>
        <w:rPr/>
        <w:t>9.1 Ningún sistema de IA decide sin intervención humana sobre:</w:t>
      </w:r>
    </w:p>
    <w:p>
      <w:pPr>
        <w:pStyle w:val="Compact"/>
        <w:numPr>
          <w:ilvl w:val="0"/>
          <w:numId w:val="1012"/>
        </w:numPr>
      </w:pPr>
      <w:r>
        <w:rPr/>
        <w:t>La contratación, la remuneración, la evaluación del desempeño, las sanciones o la terminación de la relación laboral de las personas trabajadoras, y la selección de candidatos.</w:t>
      </w:r>
    </w:p>
    <w:p>
      <w:pPr>
        <w:pStyle w:val="Compact"/>
        <w:numPr>
          <w:ilvl w:val="0"/>
          <w:numId w:val="1012"/>
        </w:numPr>
      </w:pPr>
      <w:r>
        <w:rPr/>
        <w:t>[El otorgamiento, la negativa o las condiciones de productos o servicios a clientes; la atención de sus quejas.]</w:t>
      </w:r>
    </w:p>
    <w:p>
      <w:pPr>
        <w:pStyle w:val="Compact"/>
        <w:numPr>
          <w:ilvl w:val="0"/>
          <w:numId w:val="1012"/>
        </w:numPr>
      </w:pPr>
      <w:r>
        <w:rPr/>
        <w:t>[Otras decisiones que afecten derechos de personas, según la actividad de la organización.]</w:t>
      </w:r>
    </w:p>
    <w:p>
      <w:pPr>
        <w:pStyle w:val="BodyText"/>
      </w:pPr>
      <w:r>
        <w:rPr/>
        <w:t>9.2 Antes de usar un sistema de IA en estas decisiones:</w:t>
      </w:r>
    </w:p>
    <w:p>
      <w:pPr>
        <w:pStyle w:val="Compact"/>
        <w:numPr>
          <w:ilvl w:val="0"/>
          <w:numId w:val="1016"/>
        </w:numPr>
      </w:pPr>
      <w:r>
        <w:rPr/>
        <w:t>Se elabora una evaluación de impacto.</w:t>
      </w:r>
    </w:p>
    <w:p>
      <w:pPr>
        <w:pStyle w:val="Compact"/>
        <w:numPr>
          <w:ilvl w:val="0"/>
          <w:numId w:val="1016"/>
        </w:numPr>
      </w:pPr>
      <w:r>
        <w:rPr/>
        <w:t>Se informa a las personas afectadas qué sistema se usa, para qué y con qué consecuencias.</w:t>
      </w:r>
    </w:p>
    <w:p>
      <w:pPr>
        <w:pStyle w:val="Compact"/>
        <w:numPr>
          <w:ilvl w:val="0"/>
          <w:numId w:val="1016"/>
        </w:numPr>
      </w:pPr>
      <w:r>
        <w:rPr/>
        <w:t>Se excluyen los datos personales sensibles y las variables que puedan discriminar, como la edad, el sexo, el estado civil o el número de hijos. Solo pueden usarse cuando una disposición legal lo exija o para una acción afirmativa documentada, con revisión de [Jurídico]. La Ley Federal del Trabajo prohíbe negarse a aceptar trabajadores por esos motivos (artículo 133, fracción I).</w:t>
      </w:r>
    </w:p>
    <w:p>
      <w:pPr>
        <w:pStyle w:val="Compact"/>
        <w:numPr>
          <w:ilvl w:val="0"/>
          <w:numId w:val="1016"/>
        </w:numPr>
      </w:pPr>
      <w:r>
        <w:rPr/>
        <w:t>Se establece un medio para que la persona pida una aclaración o una revisión, sin perjuicio de su derecho de oposición a decisiones automatizadas (Ley Federal de Protección de Datos Personales en Posesión de los Particulares, artículo 26, fracción II).</w:t>
      </w:r>
    </w:p>
    <w:p>
      <w:pPr>
        <w:pStyle w:val="BodyText"/>
      </w:pPr>
      <w:r>
        <w:rPr/>
        <w:t>9.3 La persona que realiza la intervención humana tiene la autoridad para modificar o rechazar el resultado del sistema y deja registro de su revisión.</w:t>
      </w:r>
    </w:p>
    <w:p>
      <w:pPr>
        <w:pStyle w:val="Heading3"/>
      </w:pPr>
      <w:r>
        <w:rPr/>
        <w:t>10. Seguridad y suplantación de identidad</w:t>
      </w:r>
    </w:p>
    <w:p>
      <w:pPr>
        <w:pStyle w:val="FirstParagraph"/>
      </w:pPr>
      <w:r>
        <w:rPr/>
        <w:t>10.1 Toda instrucción recibida por un canal no habitual que pida pagos, transferencias, información confidencial o datos personales se confirma por el canal alterno: [llamada a la extensión del directorio institucional / otro canal]. No se responde al mismo número o correo.</w:t>
      </w:r>
    </w:p>
    <w:p>
      <w:pPr>
        <w:pStyle w:val="BodyText"/>
      </w:pPr>
      <w:r>
        <w:rPr/>
        <w:t>10.2 Se desconfía de las solicitudes urgentes que piden no confirmar, aunque la voz, la imagen o la forma de escribir parezcan las de una persona conocida.</w:t>
      </w:r>
    </w:p>
    <w:p>
      <w:pPr>
        <w:pStyle w:val="BodyText"/>
      </w:pPr>
      <w:r>
        <w:rPr/>
        <w:t>10.3 [Tecnologías de la Información] bloquea o controla el acceso a sistemas de IA no autorizados y conserva los registros técnicos de acceso desde los equipos y cuentas de la organización, sin el contenido de las comunicaciones, durante [plazo], conforme al aviso de privacidad para el personal. En el teletrabajo, la supervisión es proporcional y no usa cámaras ni micrófonos salvo de manera extraordinaria (Ley Federal del Trabajo, artículo 330-I).</w:t>
      </w:r>
    </w:p>
    <w:p>
      <w:pPr>
        <w:pStyle w:val="Heading3"/>
      </w:pPr>
      <w:r>
        <w:rPr/>
        <w:t>11. Reporte y atención de incidentes</w:t>
      </w:r>
    </w:p>
    <w:p>
      <w:pPr>
        <w:pStyle w:val="FirstParagraph"/>
      </w:pPr>
      <w:r>
        <w:rPr/>
        <w:t xml:space="preserve">11.1 </w:t>
      </w:r>
      <w:r>
        <w:rPr>
          <w:b/>
        </w:rPr>
        <w:t>Qué se reporta:</w:t>
      </w:r>
    </w:p>
    <w:p>
      <w:pPr>
        <w:pStyle w:val="Compact"/>
        <w:numPr>
          <w:ilvl w:val="0"/>
          <w:numId w:val="1012"/>
        </w:numPr>
      </w:pPr>
      <w:r>
        <w:rPr/>
        <w:t>El ingreso de información a un sistema de IA en contra de esta política, incluido el propio.</w:t>
      </w:r>
    </w:p>
    <w:p>
      <w:pPr>
        <w:pStyle w:val="Compact"/>
        <w:numPr>
          <w:ilvl w:val="0"/>
          <w:numId w:val="1012"/>
        </w:numPr>
      </w:pPr>
      <w:r>
        <w:rPr/>
        <w:t>Los intentos de suplantación de identidad con voz, imagen, video o texto.</w:t>
      </w:r>
    </w:p>
    <w:p>
      <w:pPr>
        <w:pStyle w:val="Compact"/>
        <w:numPr>
          <w:ilvl w:val="0"/>
          <w:numId w:val="1012"/>
        </w:numPr>
      </w:pPr>
      <w:r>
        <w:rPr/>
        <w:t>Los resultados de IA que pueden causar un daño.</w:t>
      </w:r>
    </w:p>
    <w:p>
      <w:pPr>
        <w:pStyle w:val="Compact"/>
        <w:numPr>
          <w:ilvl w:val="0"/>
          <w:numId w:val="1012"/>
        </w:numPr>
      </w:pPr>
      <w:r>
        <w:rPr/>
        <w:t>La exposición de información por un sistema de IA o por un proveedor.</w:t>
      </w:r>
    </w:p>
    <w:p>
      <w:pPr>
        <w:pStyle w:val="BodyText"/>
      </w:pPr>
      <w:r>
        <w:rPr/>
        <w:t xml:space="preserve">11.2 </w:t>
      </w:r>
      <w:r>
        <w:rPr>
          <w:b/>
        </w:rPr>
        <w:t>A quién y en qué plazo:</w:t>
      </w:r>
      <w:r>
        <w:rPr/>
        <w:t xml:space="preserve"> a [Tecnologías de la Información, ext. </w:t>
      </w:r>
      <w:r>
        <w:rPr>
          <w:b/>
          <w:i/>
        </w:rPr>
        <w:t xml:space="preserve">] y a [Responsable de protección de datos, ext. </w:t>
      </w:r>
      <w:r>
        <w:rPr/>
        <w:t>], en un plazo máximo de [30 minutos / 1 hora] desde que se identifica, por teléfono y con el formato del Anexo 4.</w:t>
      </w:r>
    </w:p>
    <w:p>
      <w:pPr>
        <w:pStyle w:val="BodyText"/>
      </w:pPr>
      <w:r>
        <w:rPr/>
        <w:t xml:space="preserve">11.3 </w:t>
      </w:r>
      <w:r>
        <w:rPr>
          <w:b/>
        </w:rPr>
        <w:t>Qué no se hace:</w:t>
      </w:r>
      <w:r>
        <w:rPr/>
        <w:t xml:space="preserve"> no se difunde el contenido sospechoso ni la información involucrada; no se borra evidencia sin indicación del responsable.</w:t>
      </w:r>
    </w:p>
    <w:p>
      <w:pPr>
        <w:pStyle w:val="BodyText"/>
      </w:pPr>
      <w:r>
        <w:rPr/>
        <w:t xml:space="preserve">11.4 </w:t>
      </w:r>
      <w:r>
        <w:rPr>
          <w:b/>
        </w:rPr>
        <w:t>Atención.</w:t>
      </w:r>
      <w:r>
        <w:rPr/>
        <w:t xml:space="preserve"> [El responsable de gobernanza de IA] coordina la contención, el análisis de la causa, las acciones correctivas y el cierre. Con [Jurídico], determina si el incidente constituye una vulneración de seguridad de datos personales que deba informarse a las personas titulares conforme a la normatividad aplicable y, si la organización trata los datos por cuenta de otra, el aviso al responsable de los datos.</w:t>
      </w:r>
    </w:p>
    <w:p>
      <w:pPr>
        <w:pStyle w:val="BodyText"/>
      </w:pPr>
      <w:r>
        <w:rPr/>
        <w:t xml:space="preserve">11.5 </w:t>
      </w:r>
      <w:r>
        <w:rPr>
          <w:b/>
        </w:rPr>
        <w:t>Reporte de buena fe.</w:t>
      </w:r>
      <w:r>
        <w:rPr/>
        <w:t xml:space="preserve"> No se sanciona a quien reporte de forma oportuna un error propio. La omisión o el ocultamiento de un incidente es motivo de las medidas disciplinarias que prevea el reglamento interior de trabajo.</w:t>
      </w:r>
    </w:p>
    <w:p>
      <w:pPr>
        <w:pStyle w:val="Heading3"/>
      </w:pPr>
      <w:r>
        <w:rPr/>
        <w:t>12. Capacitación</w:t>
      </w:r>
    </w:p>
    <w:p>
      <w:pPr>
        <w:pStyle w:val="FirstParagraph"/>
      </w:pPr>
      <w:r>
        <w:rPr/>
        <w:t>12.1 Toda persona usuaria recibe capacitación sobre esta política antes de que se le asigne una cuenta institucional, con estos contenidos: clasificación y depuración de la información; verificación de resultados y declaración del uso de IA; imagen, voz y obras de terceros; reconocimiento y reporte de incidentes y suplantaciones.</w:t>
      </w:r>
    </w:p>
    <w:p>
      <w:pPr>
        <w:pStyle w:val="BodyText"/>
      </w:pPr>
      <w:r>
        <w:rPr/>
        <w:t>12.2 Las personas responsables de la gestión de IA reciben capacitación en inventario, evaluación de riesgos, política, controles e incidentes.</w:t>
      </w:r>
    </w:p>
    <w:p>
      <w:pPr>
        <w:pStyle w:val="BodyText"/>
      </w:pPr>
      <w:r>
        <w:rPr/>
        <w:t>12.3 [Recursos Humanos] registra la capacitación conforme a la Ley Federal del Trabajo: recaba las constancias DC-3 que expida el agente capacitador externo o las expide cuando el instructor es interno, las hace autenticar por la Comisión Mixta o por el patrón, y presenta las listas de constancias a la Secretaría del Trabajo y Previsión Social.</w:t>
      </w:r>
    </w:p>
    <w:p>
      <w:pPr>
        <w:pStyle w:val="Heading3"/>
      </w:pPr>
      <w:r>
        <w:rPr/>
        <w:t>13. Responsables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710"/>
        <w:gridCol w:w="6921"/>
      </w:tblGrid>
      <w:tr>
        <w:trPr>
          <w:tblHeader w:val="true"/>
          <w:cantSplit/>
        </w:trPr>
        <w:tc>
          <w:tcPr>
            <w:tcW w:w="2710" w:type="dxa"/>
            <w:shd w:val="clear" w:color="auto" w:fill="ECECEC"/>
          </w:tcPr>
          <w:p>
            <w:pPr>
              <w:pStyle w:val="Compact"/>
              <w:spacing w:before="20" w:after="20"/>
            </w:pPr>
            <w:r>
              <w:rPr>
                <w:b/>
                <w:sz w:val="17"/>
              </w:rPr>
              <w:t>Responsable</w:t>
            </w:r>
          </w:p>
        </w:tc>
        <w:tc>
          <w:tcPr>
            <w:tcW w:w="6921" w:type="dxa"/>
            <w:shd w:val="clear" w:color="auto" w:fill="ECECEC"/>
          </w:tcPr>
          <w:p>
            <w:pPr>
              <w:pStyle w:val="Compact"/>
              <w:spacing w:before="20" w:after="20"/>
            </w:pPr>
            <w:r>
              <w:rPr>
                <w:b/>
                <w:sz w:val="17"/>
              </w:rPr>
              <w:t>Funciones</w:t>
            </w:r>
          </w:p>
        </w:tc>
      </w:tr>
      <w:tr>
        <w:tc>
          <w:tcPr>
            <w:tcW w:w="2710" w:type="dxa"/>
          </w:tcPr>
          <w:p>
            <w:pPr>
              <w:pStyle w:val="Compact"/>
              <w:spacing w:before="20" w:after="20"/>
            </w:pPr>
            <w:r>
              <w:rPr>
                <w:sz w:val="17"/>
              </w:rPr>
              <w:t>[Dirección General]</w:t>
            </w:r>
          </w:p>
        </w:tc>
        <w:tc>
          <w:tcPr>
            <w:tcW w:w="6921" w:type="dxa"/>
          </w:tcPr>
          <w:p>
            <w:pPr>
              <w:pStyle w:val="Compact"/>
              <w:spacing w:before="20" w:after="20"/>
            </w:pPr>
            <w:r>
              <w:rPr>
                <w:sz w:val="17"/>
              </w:rPr>
              <w:t>Aprueba la política y los usos de riesgo alto; recibe el informe periódico</w:t>
            </w:r>
          </w:p>
        </w:tc>
      </w:tr>
      <w:tr>
        <w:tc>
          <w:tcPr>
            <w:tcW w:w="2710" w:type="dxa"/>
          </w:tcPr>
          <w:p>
            <w:pPr>
              <w:pStyle w:val="Compact"/>
              <w:spacing w:before="20" w:after="20"/>
            </w:pPr>
            <w:r>
              <w:rPr>
                <w:sz w:val="17"/>
              </w:rPr>
              <w:t>[Responsable de gobernanza de IA]</w:t>
            </w:r>
          </w:p>
        </w:tc>
        <w:tc>
          <w:tcPr>
            <w:tcW w:w="6921" w:type="dxa"/>
          </w:tcPr>
          <w:p>
            <w:pPr>
              <w:pStyle w:val="Compact"/>
              <w:spacing w:before="20" w:after="20"/>
            </w:pPr>
            <w:r>
              <w:rPr>
                <w:sz w:val="17"/>
              </w:rPr>
              <w:t>Aplica y da seguimiento a la política; mantiene el inventario y el registro de sistemas autorizados; coordina la evaluación de riesgos, la verificación de controles y la atención de incidentes; informa a la dirección</w:t>
            </w:r>
          </w:p>
        </w:tc>
      </w:tr>
      <w:tr>
        <w:tc>
          <w:tcPr>
            <w:tcW w:w="2710" w:type="dxa"/>
          </w:tcPr>
          <w:p>
            <w:pPr>
              <w:pStyle w:val="Compact"/>
              <w:spacing w:before="20" w:after="20"/>
            </w:pPr>
            <w:r>
              <w:rPr>
                <w:sz w:val="17"/>
              </w:rPr>
              <w:t>[Tecnologías de la Información]</w:t>
            </w:r>
          </w:p>
        </w:tc>
        <w:tc>
          <w:tcPr>
            <w:tcW w:w="6921" w:type="dxa"/>
          </w:tcPr>
          <w:p>
            <w:pPr>
              <w:pStyle w:val="Compact"/>
              <w:spacing w:before="20" w:after="20"/>
            </w:pPr>
            <w:r>
              <w:rPr>
                <w:sz w:val="17"/>
              </w:rPr>
              <w:t>Evalúa la seguridad de los sistemas; aplica los controles técnicos; administra las cuentas institucionales</w:t>
            </w:r>
          </w:p>
        </w:tc>
      </w:tr>
      <w:tr>
        <w:tc>
          <w:tcPr>
            <w:tcW w:w="2710" w:type="dxa"/>
          </w:tcPr>
          <w:p>
            <w:pPr>
              <w:pStyle w:val="Compact"/>
              <w:spacing w:before="20" w:after="20"/>
            </w:pPr>
            <w:r>
              <w:rPr>
                <w:sz w:val="17"/>
              </w:rPr>
              <w:t>[Jurídico / Responsable de protección de datos]</w:t>
            </w:r>
          </w:p>
        </w:tc>
        <w:tc>
          <w:tcPr>
            <w:tcW w:w="6921" w:type="dxa"/>
          </w:tcPr>
          <w:p>
            <w:pPr>
              <w:pStyle w:val="Compact"/>
              <w:spacing w:before="20" w:after="20"/>
            </w:pPr>
            <w:r>
              <w:rPr>
                <w:sz w:val="17"/>
              </w:rPr>
              <w:t>Revisa proveedores y contratos; autoriza el uso de datos personales; determina la información a las personas titulares en caso de vulneración</w:t>
            </w:r>
          </w:p>
        </w:tc>
      </w:tr>
      <w:tr>
        <w:tc>
          <w:tcPr>
            <w:tcW w:w="2710" w:type="dxa"/>
          </w:tcPr>
          <w:p>
            <w:pPr>
              <w:pStyle w:val="Compact"/>
              <w:spacing w:before="20" w:after="20"/>
            </w:pPr>
            <w:r>
              <w:rPr>
                <w:sz w:val="17"/>
              </w:rPr>
              <w:t>[Recursos Humanos]</w:t>
            </w:r>
          </w:p>
        </w:tc>
        <w:tc>
          <w:tcPr>
            <w:tcW w:w="6921" w:type="dxa"/>
          </w:tcPr>
          <w:p>
            <w:pPr>
              <w:pStyle w:val="Compact"/>
              <w:spacing w:before="20" w:after="20"/>
            </w:pPr>
            <w:r>
              <w:rPr>
                <w:sz w:val="17"/>
              </w:rPr>
              <w:t>Capacita y registra; aplica las consecuencias del incumplimiento; aplica las reglas del punto 9 en los procesos de personal</w:t>
            </w:r>
          </w:p>
        </w:tc>
      </w:tr>
      <w:tr>
        <w:tc>
          <w:tcPr>
            <w:tcW w:w="2710" w:type="dxa"/>
          </w:tcPr>
          <w:p>
            <w:pPr>
              <w:pStyle w:val="Compact"/>
              <w:spacing w:before="20" w:after="20"/>
            </w:pPr>
            <w:r>
              <w:rPr>
                <w:sz w:val="17"/>
              </w:rPr>
              <w:t>Titulares de área</w:t>
            </w:r>
          </w:p>
        </w:tc>
        <w:tc>
          <w:tcPr>
            <w:tcW w:w="6921" w:type="dxa"/>
          </w:tcPr>
          <w:p>
            <w:pPr>
              <w:pStyle w:val="Compact"/>
              <w:spacing w:before="20" w:after="20"/>
            </w:pPr>
            <w:r>
              <w:rPr>
                <w:sz w:val="17"/>
              </w:rPr>
              <w:t>Vigilan el cumplimiento en su área y solicitan la autorización de nuevos sistemas</w:t>
            </w:r>
          </w:p>
        </w:tc>
      </w:tr>
      <w:tr>
        <w:tc>
          <w:tcPr>
            <w:tcW w:w="2710" w:type="dxa"/>
          </w:tcPr>
          <w:p>
            <w:pPr>
              <w:pStyle w:val="Compact"/>
              <w:spacing w:before="20" w:after="20"/>
            </w:pPr>
            <w:r>
              <w:rPr>
                <w:sz w:val="17"/>
              </w:rPr>
              <w:t>Personal usuario</w:t>
            </w:r>
          </w:p>
        </w:tc>
        <w:tc>
          <w:tcPr>
            <w:tcW w:w="6921" w:type="dxa"/>
          </w:tcPr>
          <w:p>
            <w:pPr>
              <w:pStyle w:val="Compact"/>
              <w:spacing w:before="20" w:after="20"/>
            </w:pPr>
            <w:r>
              <w:rPr>
                <w:sz w:val="17"/>
              </w:rPr>
              <w:t>Cumple la política y reporta los incidentes</w:t>
            </w:r>
          </w:p>
        </w:tc>
      </w:tr>
    </w:tbl>
    <w:p>
      <w:pPr>
        <w:pStyle w:val="BodyText"/>
      </w:pPr>
    </w:p>
    <w:p>
      <w:pPr>
        <w:pStyle w:val="Heading3"/>
      </w:pPr>
      <w:r>
        <w:rPr/>
        <w:t>14. Supervisión</w:t>
      </w:r>
    </w:p>
    <w:p>
      <w:pPr>
        <w:pStyle w:val="FirstParagraph"/>
      </w:pPr>
      <w:r>
        <w:rPr/>
        <w:t>14.1 [El responsable de gobernanza de IA] verifica el funcionamiento de los controles conforme a un programa de verificación [trimestral / semestral].</w:t>
      </w:r>
    </w:p>
    <w:p>
      <w:pPr>
        <w:pStyle w:val="BodyText"/>
      </w:pPr>
      <w:r>
        <w:rPr/>
        <w:t>14.2 Informa a la dirección [cada semestre] sobre el inventario, los riesgos altos y sus controles, los resultados de la verificación y los incidentes.</w:t>
      </w:r>
    </w:p>
    <w:p>
      <w:pPr>
        <w:pStyle w:val="Heading3"/>
      </w:pPr>
      <w:r>
        <w:rPr/>
        <w:t>15. Consecuencias del incumplimiento</w:t>
      </w:r>
    </w:p>
    <w:p>
      <w:pPr>
        <w:pStyle w:val="FirstParagraph"/>
      </w:pPr>
      <w:r>
        <w:rPr/>
        <w:t>15.1 El incumplimiento de esta política por el personal se atiende conforme al [reglamento interior de trabajo, el contrato colectivo o individual de trabajo] y a la legislación laboral, según su gravedad y reincidencia. La persona es oída antes de aplicar una sanción, y la suspensión disciplinaria no excede de ocho días (Ley Federal del Trabajo, artículo 423, fracción X).</w:t>
      </w:r>
    </w:p>
    <w:p>
      <w:pPr>
        <w:pStyle w:val="BodyText"/>
      </w:pPr>
      <w:r>
        <w:rPr/>
        <w:t>15.2 El incumplimiento por proveedores o contratistas se atiende conforme a sus contratos.</w:t>
      </w:r>
    </w:p>
    <w:p>
      <w:pPr>
        <w:pStyle w:val="BodyText"/>
      </w:pPr>
      <w:r>
        <w:rPr/>
        <w:t>15.3 Lo anterior es independiente de las responsabilidades que establezcan otras leyes.</w:t>
      </w:r>
    </w:p>
    <w:p>
      <w:pPr>
        <w:pStyle w:val="Heading3"/>
      </w:pPr>
      <w:r>
        <w:rPr/>
        <w:t>16. Vigencia y revisión</w:t>
      </w:r>
    </w:p>
    <w:p>
      <w:pPr>
        <w:pStyle w:val="FirstParagraph"/>
      </w:pPr>
      <w:r>
        <w:rPr/>
        <w:t>16.1 Esta política entra en vigor el [fecha] y se revisa [cada año], o antes si cambia la legislación aplicable, si se incorpora un sistema de IA de riesgo alto o si ocurre un incidente grave.</w:t>
      </w:r>
    </w:p>
    <w:p>
      <w:pPr>
        <w:pStyle w:val="BodyText"/>
      </w:pPr>
      <w:r>
        <w:rPr/>
        <w:t>16.2 Las dudas sobre su aplicación se dirigen a [responsable de gobernanza de IA, correo o extensión].</w:t>
      </w:r>
    </w:p>
    <w:p>
      <w:pPr>
        <w:pStyle w:val="BodyText"/>
        <w:pBdr>
          <w:bottom w:val="single" w:sz="4" w:space="1" w:color="BFC0C0"/>
        </w:pBdr>
      </w:pPr>
    </w:p>
    <w:p>
      <w:pPr>
        <w:pStyle w:val="Heading2"/>
      </w:pPr>
      <w:r>
        <w:rPr/>
        <w:t>Anexo 1. Registro de sistemas de IA autorizados</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091"/>
        <w:gridCol w:w="1682"/>
        <w:gridCol w:w="815"/>
        <w:gridCol w:w="1000"/>
        <w:gridCol w:w="1455"/>
        <w:gridCol w:w="815"/>
        <w:gridCol w:w="954"/>
        <w:gridCol w:w="815"/>
      </w:tblGrid>
      <w:tr>
        <w:trPr>
          <w:tblHeader w:val="true"/>
          <w:cantSplit/>
        </w:trPr>
        <w:tc>
          <w:tcPr>
            <w:tcW w:w="2091" w:type="dxa"/>
            <w:shd w:val="clear" w:color="auto" w:fill="ECECEC"/>
          </w:tcPr>
          <w:p>
            <w:pPr>
              <w:pStyle w:val="Compact"/>
              <w:spacing w:before="20" w:after="20"/>
            </w:pPr>
            <w:r>
              <w:rPr>
                <w:b/>
                <w:sz w:val="17"/>
              </w:rPr>
              <w:t>Sistema y proveedor</w:t>
            </w:r>
          </w:p>
        </w:tc>
        <w:tc>
          <w:tcPr>
            <w:tcW w:w="1682" w:type="dxa"/>
            <w:shd w:val="clear" w:color="auto" w:fill="ECECEC"/>
          </w:tcPr>
          <w:p>
            <w:pPr>
              <w:pStyle w:val="Compact"/>
              <w:spacing w:before="20" w:after="20"/>
            </w:pPr>
            <w:r>
              <w:rPr>
                <w:b/>
                <w:sz w:val="17"/>
              </w:rPr>
              <w:t>Usos autorizados</w:t>
            </w:r>
          </w:p>
        </w:tc>
        <w:tc>
          <w:tcPr>
            <w:tcW w:w="815" w:type="dxa"/>
            <w:shd w:val="clear" w:color="auto" w:fill="ECECEC"/>
          </w:tcPr>
          <w:p>
            <w:pPr>
              <w:pStyle w:val="Compact"/>
              <w:spacing w:before="20" w:after="20"/>
            </w:pPr>
            <w:r>
              <w:rPr>
                <w:b/>
                <w:sz w:val="17"/>
              </w:rPr>
              <w:t>Áreas</w:t>
            </w:r>
          </w:p>
        </w:tc>
        <w:tc>
          <w:tcPr>
            <w:tcW w:w="1000" w:type="dxa"/>
            <w:shd w:val="clear" w:color="auto" w:fill="ECECEC"/>
          </w:tcPr>
          <w:p>
            <w:pPr>
              <w:pStyle w:val="Compact"/>
              <w:spacing w:before="20" w:after="20"/>
            </w:pPr>
            <w:r>
              <w:rPr>
                <w:b/>
                <w:sz w:val="17"/>
              </w:rPr>
              <w:t>Acceso</w:t>
            </w:r>
          </w:p>
        </w:tc>
        <w:tc>
          <w:tcPr>
            <w:tcW w:w="1455" w:type="dxa"/>
            <w:shd w:val="clear" w:color="auto" w:fill="ECECEC"/>
          </w:tcPr>
          <w:p>
            <w:pPr>
              <w:pStyle w:val="Compact"/>
              <w:spacing w:before="20" w:after="20"/>
            </w:pPr>
            <w:r>
              <w:rPr>
                <w:b/>
                <w:sz w:val="17"/>
              </w:rPr>
              <w:t>Información que puede ingresarse</w:t>
            </w:r>
          </w:p>
        </w:tc>
        <w:tc>
          <w:tcPr>
            <w:tcW w:w="815" w:type="dxa"/>
            <w:shd w:val="clear" w:color="auto" w:fill="ECECEC"/>
          </w:tcPr>
          <w:p>
            <w:pPr>
              <w:pStyle w:val="Compact"/>
              <w:spacing w:before="20" w:after="20"/>
            </w:pPr>
            <w:r>
              <w:rPr>
                <w:b/>
                <w:sz w:val="17"/>
              </w:rPr>
              <w:t>Responsable</w:t>
            </w:r>
          </w:p>
        </w:tc>
        <w:tc>
          <w:tcPr>
            <w:tcW w:w="954" w:type="dxa"/>
            <w:shd w:val="clear" w:color="auto" w:fill="ECECEC"/>
          </w:tcPr>
          <w:p>
            <w:pPr>
              <w:pStyle w:val="Compact"/>
              <w:spacing w:before="20" w:after="20"/>
            </w:pPr>
            <w:r>
              <w:rPr>
                <w:b/>
                <w:sz w:val="17"/>
              </w:rPr>
              <w:t>Fecha de autorización</w:t>
            </w:r>
          </w:p>
        </w:tc>
        <w:tc>
          <w:tcPr>
            <w:tcW w:w="815" w:type="dxa"/>
            <w:shd w:val="clear" w:color="auto" w:fill="ECECEC"/>
          </w:tcPr>
          <w:p>
            <w:pPr>
              <w:pStyle w:val="Compact"/>
              <w:spacing w:before="20" w:after="20"/>
            </w:pPr>
            <w:r>
              <w:rPr>
                <w:b/>
                <w:sz w:val="17"/>
              </w:rPr>
              <w:t>Próxima revisión</w:t>
            </w:r>
          </w:p>
        </w:tc>
      </w:tr>
      <w:tr>
        <w:tc>
          <w:tcPr>
            <w:tcW w:w="2091" w:type="dxa"/>
          </w:tcPr>
          <w:p>
            <w:pPr>
              <w:pStyle w:val="Compact"/>
              <w:spacing w:before="20" w:after="20"/>
            </w:pPr>
            <w:r>
              <w:rPr>
                <w:sz w:val="17"/>
              </w:rPr>
              <w:t>[Ejemplo: asistente de redacción, Proveedor X]</w:t>
            </w:r>
          </w:p>
        </w:tc>
        <w:tc>
          <w:tcPr>
            <w:tcW w:w="1682" w:type="dxa"/>
          </w:tcPr>
          <w:p>
            <w:pPr>
              <w:pStyle w:val="Compact"/>
              <w:spacing w:before="20" w:after="20"/>
            </w:pPr>
            <w:r>
              <w:rPr>
                <w:sz w:val="17"/>
              </w:rPr>
              <w:t>[Redactar, resumir y corregir textos]</w:t>
            </w:r>
          </w:p>
        </w:tc>
        <w:tc>
          <w:tcPr>
            <w:tcW w:w="815" w:type="dxa"/>
          </w:tcPr>
          <w:p>
            <w:pPr>
              <w:pStyle w:val="Compact"/>
              <w:spacing w:before="20" w:after="20"/>
            </w:pPr>
            <w:r>
              <w:rPr>
                <w:sz w:val="17"/>
              </w:rPr>
              <w:t>[Todas]</w:t>
            </w:r>
          </w:p>
        </w:tc>
        <w:tc>
          <w:tcPr>
            <w:tcW w:w="1000" w:type="dxa"/>
          </w:tcPr>
          <w:p>
            <w:pPr>
              <w:pStyle w:val="Compact"/>
              <w:spacing w:before="20" w:after="20"/>
            </w:pPr>
            <w:r>
              <w:rPr>
                <w:sz w:val="17"/>
              </w:rPr>
              <w:t>[Cuenta institucional]</w:t>
            </w:r>
          </w:p>
        </w:tc>
        <w:tc>
          <w:tcPr>
            <w:tcW w:w="1455" w:type="dxa"/>
          </w:tcPr>
          <w:p>
            <w:pPr>
              <w:pStyle w:val="Compact"/>
              <w:spacing w:before="20" w:after="20"/>
            </w:pPr>
            <w:r>
              <w:rPr>
                <w:sz w:val="17"/>
              </w:rPr>
              <w:t>[Pública e interna]</w:t>
            </w:r>
          </w:p>
        </w:tc>
        <w:tc>
          <w:tcPr>
            <w:tcW w:w="815" w:type="dxa"/>
          </w:tcPr>
          <w:p>
            <w:pPr>
              <w:pStyle w:val="Compact"/>
              <w:spacing w:before="20" w:after="20"/>
            </w:pPr>
            <w:r>
              <w:rPr>
                <w:sz w:val="17"/>
              </w:rPr>
              <w:t>[ ]</w:t>
            </w:r>
          </w:p>
        </w:tc>
        <w:tc>
          <w:tcPr>
            <w:tcW w:w="954" w:type="dxa"/>
          </w:tcPr>
          <w:p>
            <w:pPr>
              <w:pStyle w:val="Compact"/>
              <w:spacing w:before="20" w:after="20"/>
            </w:pPr>
            <w:r>
              <w:rPr>
                <w:sz w:val="17"/>
              </w:rPr>
              <w:t>[ ]</w:t>
            </w:r>
          </w:p>
        </w:tc>
        <w:tc>
          <w:tcPr>
            <w:tcW w:w="815" w:type="dxa"/>
          </w:tcPr>
          <w:p>
            <w:pPr>
              <w:pStyle w:val="Compact"/>
              <w:spacing w:before="20" w:after="20"/>
            </w:pPr>
            <w:r>
              <w:rPr>
                <w:sz w:val="17"/>
              </w:rPr>
              <w:t>[ ]</w:t>
            </w:r>
          </w:p>
        </w:tc>
      </w:tr>
      <w:tr>
        <w:tc>
          <w:tcPr>
            <w:tcW w:w="2091" w:type="dxa"/>
          </w:tcPr>
          <w:p>
            <w:pPr>
              <w:pStyle w:val="Compact"/>
              <w:spacing w:before="20" w:after="20"/>
            </w:pPr>
          </w:p>
        </w:tc>
        <w:tc>
          <w:tcPr>
            <w:tcW w:w="1682" w:type="dxa"/>
          </w:tcPr>
          <w:p>
            <w:pPr>
              <w:pStyle w:val="Compact"/>
              <w:spacing w:before="20" w:after="20"/>
            </w:pPr>
          </w:p>
        </w:tc>
        <w:tc>
          <w:tcPr>
            <w:tcW w:w="815" w:type="dxa"/>
          </w:tcPr>
          <w:p>
            <w:pPr>
              <w:pStyle w:val="Compact"/>
              <w:spacing w:before="20" w:after="20"/>
            </w:pPr>
          </w:p>
        </w:tc>
        <w:tc>
          <w:tcPr>
            <w:tcW w:w="1000" w:type="dxa"/>
          </w:tcPr>
          <w:p>
            <w:pPr>
              <w:pStyle w:val="Compact"/>
              <w:spacing w:before="20" w:after="20"/>
            </w:pPr>
          </w:p>
        </w:tc>
        <w:tc>
          <w:tcPr>
            <w:tcW w:w="1455" w:type="dxa"/>
          </w:tcPr>
          <w:p>
            <w:pPr>
              <w:pStyle w:val="Compact"/>
              <w:spacing w:before="20" w:after="20"/>
            </w:pPr>
          </w:p>
        </w:tc>
        <w:tc>
          <w:tcPr>
            <w:tcW w:w="815" w:type="dxa"/>
          </w:tcPr>
          <w:p>
            <w:pPr>
              <w:pStyle w:val="Compact"/>
              <w:spacing w:before="20" w:after="20"/>
            </w:pPr>
          </w:p>
        </w:tc>
        <w:tc>
          <w:tcPr>
            <w:tcW w:w="954" w:type="dxa"/>
          </w:tcPr>
          <w:p>
            <w:pPr>
              <w:pStyle w:val="Compact"/>
              <w:spacing w:before="20" w:after="20"/>
            </w:pPr>
          </w:p>
        </w:tc>
        <w:tc>
          <w:tcPr>
            <w:tcW w:w="815" w:type="dxa"/>
          </w:tcPr>
          <w:p>
            <w:pPr>
              <w:pStyle w:val="Compact"/>
              <w:spacing w:before="20" w:after="20"/>
            </w:pPr>
          </w:p>
        </w:tc>
      </w:tr>
    </w:tbl>
    <w:p>
      <w:pPr>
        <w:pStyle w:val="BodyText"/>
      </w:pPr>
    </w:p>
    <w:p>
      <w:pPr>
        <w:pStyle w:val="Heading2"/>
      </w:pPr>
      <w:r>
        <w:rPr/>
        <w:t>Anexo 2. Esquema de clasificación de la información</w:t>
      </w:r>
    </w:p>
    <w:p>
      <w:pPr>
        <w:pStyle w:val="FirstParagraph"/>
      </w:pPr>
      <w:r>
        <w:rPr>
          <w:i/>
        </w:rPr>
        <w:t>Usar el esquema de la organización. Si no existe, puede partirse de este ejemplo.</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976"/>
        <w:gridCol w:w="3906"/>
        <w:gridCol w:w="4749"/>
      </w:tblGrid>
      <w:tr>
        <w:trPr>
          <w:tblHeader w:val="true"/>
          <w:cantSplit/>
        </w:trPr>
        <w:tc>
          <w:tcPr>
            <w:tcW w:w="976" w:type="dxa"/>
            <w:shd w:val="clear" w:color="auto" w:fill="ECECEC"/>
          </w:tcPr>
          <w:p>
            <w:pPr>
              <w:pStyle w:val="Compact"/>
              <w:spacing w:before="20" w:after="20"/>
            </w:pPr>
            <w:r>
              <w:rPr>
                <w:b/>
                <w:sz w:val="17"/>
              </w:rPr>
              <w:t>Nivel</w:t>
            </w:r>
          </w:p>
        </w:tc>
        <w:tc>
          <w:tcPr>
            <w:tcW w:w="3906" w:type="dxa"/>
            <w:shd w:val="clear" w:color="auto" w:fill="ECECEC"/>
          </w:tcPr>
          <w:p>
            <w:pPr>
              <w:pStyle w:val="Compact"/>
              <w:spacing w:before="20" w:after="20"/>
            </w:pPr>
            <w:r>
              <w:rPr>
                <w:b/>
                <w:sz w:val="17"/>
              </w:rPr>
              <w:t>Qué incluye</w:t>
            </w:r>
          </w:p>
        </w:tc>
        <w:tc>
          <w:tcPr>
            <w:tcW w:w="4749" w:type="dxa"/>
            <w:shd w:val="clear" w:color="auto" w:fill="ECECEC"/>
          </w:tcPr>
          <w:p>
            <w:pPr>
              <w:pStyle w:val="Compact"/>
              <w:spacing w:before="20" w:after="20"/>
            </w:pPr>
            <w:r>
              <w:rPr>
                <w:b/>
                <w:sz w:val="17"/>
              </w:rPr>
              <w:t>Ejemplos</w:t>
            </w:r>
          </w:p>
        </w:tc>
      </w:tr>
      <w:tr>
        <w:tc>
          <w:tcPr>
            <w:tcW w:w="976" w:type="dxa"/>
          </w:tcPr>
          <w:p>
            <w:pPr>
              <w:pStyle w:val="Compact"/>
              <w:spacing w:before="20" w:after="20"/>
            </w:pPr>
            <w:r>
              <w:rPr>
                <w:sz w:val="17"/>
              </w:rPr>
              <w:t>Pública</w:t>
            </w:r>
          </w:p>
        </w:tc>
        <w:tc>
          <w:tcPr>
            <w:tcW w:w="3906" w:type="dxa"/>
          </w:tcPr>
          <w:p>
            <w:pPr>
              <w:pStyle w:val="Compact"/>
              <w:spacing w:before="20" w:after="20"/>
            </w:pPr>
            <w:r>
              <w:rPr>
                <w:sz w:val="17"/>
              </w:rPr>
              <w:t>Información que la organización publicó o autorizó publicar</w:t>
            </w:r>
          </w:p>
        </w:tc>
        <w:tc>
          <w:tcPr>
            <w:tcW w:w="4749" w:type="dxa"/>
          </w:tcPr>
          <w:p>
            <w:pPr>
              <w:pStyle w:val="Compact"/>
              <w:spacing w:before="20" w:after="20"/>
            </w:pPr>
            <w:r>
              <w:rPr>
                <w:sz w:val="17"/>
              </w:rPr>
              <w:t>Página web, catálogos, comunicados</w:t>
            </w:r>
          </w:p>
        </w:tc>
      </w:tr>
      <w:tr>
        <w:tc>
          <w:tcPr>
            <w:tcW w:w="976" w:type="dxa"/>
          </w:tcPr>
          <w:p>
            <w:pPr>
              <w:pStyle w:val="Compact"/>
              <w:spacing w:before="20" w:after="20"/>
            </w:pPr>
            <w:r>
              <w:rPr>
                <w:sz w:val="17"/>
              </w:rPr>
              <w:t>Interna</w:t>
            </w:r>
          </w:p>
        </w:tc>
        <w:tc>
          <w:tcPr>
            <w:tcW w:w="3906" w:type="dxa"/>
          </w:tcPr>
          <w:p>
            <w:pPr>
              <w:pStyle w:val="Compact"/>
              <w:spacing w:before="20" w:after="20"/>
            </w:pPr>
            <w:r>
              <w:rPr>
                <w:sz w:val="17"/>
              </w:rPr>
              <w:t>Información de operación sin datos personales ni confidenciales</w:t>
            </w:r>
          </w:p>
        </w:tc>
        <w:tc>
          <w:tcPr>
            <w:tcW w:w="4749" w:type="dxa"/>
          </w:tcPr>
          <w:p>
            <w:pPr>
              <w:pStyle w:val="Compact"/>
              <w:spacing w:before="20" w:after="20"/>
            </w:pPr>
            <w:r>
              <w:rPr>
                <w:sz w:val="17"/>
              </w:rPr>
              <w:t>Procedimientos, estadísticas agregadas, minutas sin datos personales</w:t>
            </w:r>
          </w:p>
        </w:tc>
      </w:tr>
      <w:tr>
        <w:tc>
          <w:tcPr>
            <w:tcW w:w="976" w:type="dxa"/>
          </w:tcPr>
          <w:p>
            <w:pPr>
              <w:pStyle w:val="Compact"/>
              <w:spacing w:before="20" w:after="20"/>
            </w:pPr>
            <w:r>
              <w:rPr>
                <w:sz w:val="17"/>
              </w:rPr>
              <w:t>Confidencial</w:t>
            </w:r>
          </w:p>
        </w:tc>
        <w:tc>
          <w:tcPr>
            <w:tcW w:w="3906" w:type="dxa"/>
          </w:tcPr>
          <w:p>
            <w:pPr>
              <w:pStyle w:val="Compact"/>
              <w:spacing w:before="20" w:after="20"/>
            </w:pPr>
            <w:r>
              <w:rPr>
                <w:sz w:val="17"/>
              </w:rPr>
              <w:t>Información cuyo acceso está restringido por ley, contrato o decisión de la organización</w:t>
            </w:r>
          </w:p>
        </w:tc>
        <w:tc>
          <w:tcPr>
            <w:tcW w:w="4749" w:type="dxa"/>
          </w:tcPr>
          <w:p>
            <w:pPr>
              <w:pStyle w:val="Compact"/>
              <w:spacing w:before="20" w:after="20"/>
            </w:pPr>
            <w:r>
              <w:rPr>
                <w:sz w:val="17"/>
              </w:rPr>
              <w:t>Contratos, precios no publicados, estrategias, negociaciones, información de clientes bajo confidencialidad</w:t>
            </w:r>
          </w:p>
        </w:tc>
      </w:tr>
      <w:tr>
        <w:tc>
          <w:tcPr>
            <w:tcW w:w="976" w:type="dxa"/>
          </w:tcPr>
          <w:p>
            <w:pPr>
              <w:pStyle w:val="Compact"/>
              <w:spacing w:before="20" w:after="20"/>
            </w:pPr>
            <w:r>
              <w:rPr>
                <w:sz w:val="17"/>
              </w:rPr>
              <w:t>Dato personal</w:t>
            </w:r>
          </w:p>
        </w:tc>
        <w:tc>
          <w:tcPr>
            <w:tcW w:w="3906" w:type="dxa"/>
          </w:tcPr>
          <w:p>
            <w:pPr>
              <w:pStyle w:val="Compact"/>
              <w:spacing w:before="20" w:after="20"/>
            </w:pPr>
            <w:r>
              <w:rPr>
                <w:sz w:val="17"/>
              </w:rPr>
              <w:t>Información de personas físicas identificadas o identificables</w:t>
            </w:r>
          </w:p>
        </w:tc>
        <w:tc>
          <w:tcPr>
            <w:tcW w:w="4749" w:type="dxa"/>
          </w:tcPr>
          <w:p>
            <w:pPr>
              <w:pStyle w:val="Compact"/>
              <w:spacing w:before="20" w:after="20"/>
            </w:pPr>
            <w:r>
              <w:rPr>
                <w:sz w:val="17"/>
              </w:rPr>
              <w:t>Nombre, domicilio, teléfono, correo, RFC, CURP, fotografía, datos laborales y patrimoniales</w:t>
            </w:r>
          </w:p>
        </w:tc>
      </w:tr>
      <w:tr>
        <w:tc>
          <w:tcPr>
            <w:tcW w:w="976" w:type="dxa"/>
          </w:tcPr>
          <w:p>
            <w:pPr>
              <w:pStyle w:val="Compact"/>
              <w:spacing w:before="20" w:after="20"/>
            </w:pPr>
            <w:r>
              <w:rPr>
                <w:sz w:val="17"/>
              </w:rPr>
              <w:t>Dato personal sensible</w:t>
            </w:r>
          </w:p>
        </w:tc>
        <w:tc>
          <w:tcPr>
            <w:tcW w:w="3906" w:type="dxa"/>
          </w:tcPr>
          <w:p>
            <w:pPr>
              <w:pStyle w:val="Compact"/>
              <w:spacing w:before="20" w:after="20"/>
            </w:pPr>
            <w:r>
              <w:rPr>
                <w:sz w:val="17"/>
              </w:rPr>
              <w:t>Datos que afectan la esfera más íntima o pueden dar origen a discriminación</w:t>
            </w:r>
          </w:p>
        </w:tc>
        <w:tc>
          <w:tcPr>
            <w:tcW w:w="4749" w:type="dxa"/>
          </w:tcPr>
          <w:p>
            <w:pPr>
              <w:pStyle w:val="Compact"/>
              <w:spacing w:before="20" w:after="20"/>
            </w:pPr>
            <w:r>
              <w:rPr>
                <w:sz w:val="17"/>
              </w:rPr>
              <w:t>Estado de salud, origen étnico, creencias, opiniones políticas, preferencia sexual</w:t>
            </w:r>
          </w:p>
        </w:tc>
      </w:tr>
    </w:tbl>
    <w:p>
      <w:pPr>
        <w:pStyle w:val="BodyText"/>
      </w:pPr>
    </w:p>
    <w:p>
      <w:pPr>
        <w:pStyle w:val="Heading2"/>
      </w:pPr>
      <w:r>
        <w:rPr/>
        <w:t>Anexo 3. Solicitud de autorización de sistema de 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587"/>
        <w:gridCol w:w="1044"/>
      </w:tblGrid>
      <w:tr>
        <w:trPr>
          <w:tblHeader w:val="true"/>
          <w:cantSplit/>
        </w:trPr>
        <w:tc>
          <w:tcPr>
            <w:tcW w:w="8587" w:type="dxa"/>
            <w:shd w:val="clear" w:color="auto" w:fill="ECECEC"/>
          </w:tcPr>
          <w:p>
            <w:pPr>
              <w:pStyle w:val="Compact"/>
              <w:spacing w:before="20" w:after="20"/>
            </w:pPr>
            <w:r>
              <w:rPr>
                <w:b/>
                <w:sz w:val="17"/>
              </w:rPr>
              <w:t>Campo</w:t>
            </w:r>
          </w:p>
        </w:tc>
        <w:tc>
          <w:tcPr>
            <w:tcW w:w="1044" w:type="dxa"/>
            <w:shd w:val="clear" w:color="auto" w:fill="ECECEC"/>
          </w:tcPr>
          <w:p>
            <w:pPr>
              <w:pStyle w:val="Compact"/>
              <w:spacing w:before="20" w:after="20"/>
            </w:pPr>
            <w:r>
              <w:rPr>
                <w:b/>
                <w:sz w:val="17"/>
              </w:rPr>
              <w:t>Respuesta</w:t>
            </w:r>
          </w:p>
        </w:tc>
      </w:tr>
      <w:tr>
        <w:tc>
          <w:tcPr>
            <w:tcW w:w="8587" w:type="dxa"/>
          </w:tcPr>
          <w:p>
            <w:pPr>
              <w:pStyle w:val="Compact"/>
              <w:spacing w:before="20" w:after="20"/>
            </w:pPr>
            <w:r>
              <w:rPr>
                <w:sz w:val="17"/>
              </w:rPr>
              <w:t>Área solicitante y responsable</w:t>
            </w:r>
          </w:p>
        </w:tc>
        <w:tc>
          <w:tcPr>
            <w:tcW w:w="1044" w:type="dxa"/>
          </w:tcPr>
          <w:p>
            <w:pPr>
              <w:pStyle w:val="Compact"/>
              <w:spacing w:before="20" w:after="20"/>
            </w:pPr>
          </w:p>
        </w:tc>
      </w:tr>
      <w:tr>
        <w:tc>
          <w:tcPr>
            <w:tcW w:w="8587" w:type="dxa"/>
          </w:tcPr>
          <w:p>
            <w:pPr>
              <w:pStyle w:val="Compact"/>
              <w:spacing w:before="20" w:after="20"/>
            </w:pPr>
            <w:r>
              <w:rPr>
                <w:sz w:val="17"/>
              </w:rPr>
              <w:t>Nombre del sistema y proveedor</w:t>
            </w:r>
          </w:p>
        </w:tc>
        <w:tc>
          <w:tcPr>
            <w:tcW w:w="1044" w:type="dxa"/>
          </w:tcPr>
          <w:p>
            <w:pPr>
              <w:pStyle w:val="Compact"/>
              <w:spacing w:before="20" w:after="20"/>
            </w:pPr>
          </w:p>
        </w:tc>
      </w:tr>
      <w:tr>
        <w:tc>
          <w:tcPr>
            <w:tcW w:w="8587" w:type="dxa"/>
          </w:tcPr>
          <w:p>
            <w:pPr>
              <w:pStyle w:val="Compact"/>
              <w:spacing w:before="20" w:after="20"/>
            </w:pPr>
            <w:r>
              <w:rPr>
                <w:sz w:val="17"/>
              </w:rPr>
              <w:t>Forma de acceso (cuenta institucional, integración, extensión, aplicación)</w:t>
            </w:r>
          </w:p>
        </w:tc>
        <w:tc>
          <w:tcPr>
            <w:tcW w:w="1044" w:type="dxa"/>
          </w:tcPr>
          <w:p>
            <w:pPr>
              <w:pStyle w:val="Compact"/>
              <w:spacing w:before="20" w:after="20"/>
            </w:pPr>
          </w:p>
        </w:tc>
      </w:tr>
      <w:tr>
        <w:tc>
          <w:tcPr>
            <w:tcW w:w="8587" w:type="dxa"/>
          </w:tcPr>
          <w:p>
            <w:pPr>
              <w:pStyle w:val="Compact"/>
              <w:spacing w:before="20" w:after="20"/>
            </w:pPr>
            <w:r>
              <w:rPr>
                <w:sz w:val="17"/>
              </w:rPr>
              <w:t>Finalidad y proceso en el que se usará</w:t>
            </w:r>
          </w:p>
        </w:tc>
        <w:tc>
          <w:tcPr>
            <w:tcW w:w="1044" w:type="dxa"/>
          </w:tcPr>
          <w:p>
            <w:pPr>
              <w:pStyle w:val="Compact"/>
              <w:spacing w:before="20" w:after="20"/>
            </w:pPr>
          </w:p>
        </w:tc>
      </w:tr>
      <w:tr>
        <w:tc>
          <w:tcPr>
            <w:tcW w:w="8587" w:type="dxa"/>
          </w:tcPr>
          <w:p>
            <w:pPr>
              <w:pStyle w:val="Compact"/>
              <w:spacing w:before="20" w:after="20"/>
            </w:pPr>
            <w:r>
              <w:rPr>
                <w:sz w:val="17"/>
              </w:rPr>
              <w:t>Personas que lo usarán</w:t>
            </w:r>
          </w:p>
        </w:tc>
        <w:tc>
          <w:tcPr>
            <w:tcW w:w="1044" w:type="dxa"/>
          </w:tcPr>
          <w:p>
            <w:pPr>
              <w:pStyle w:val="Compact"/>
              <w:spacing w:before="20" w:after="20"/>
            </w:pPr>
          </w:p>
        </w:tc>
      </w:tr>
      <w:tr>
        <w:tc>
          <w:tcPr>
            <w:tcW w:w="8587" w:type="dxa"/>
          </w:tcPr>
          <w:p>
            <w:pPr>
              <w:pStyle w:val="Compact"/>
              <w:spacing w:before="20" w:after="20"/>
            </w:pPr>
            <w:r>
              <w:rPr>
                <w:sz w:val="17"/>
              </w:rPr>
              <w:t>Información que se ingresará y su nivel de clasificación</w:t>
            </w:r>
          </w:p>
        </w:tc>
        <w:tc>
          <w:tcPr>
            <w:tcW w:w="1044" w:type="dxa"/>
          </w:tcPr>
          <w:p>
            <w:pPr>
              <w:pStyle w:val="Compact"/>
              <w:spacing w:before="20" w:after="20"/>
            </w:pPr>
          </w:p>
        </w:tc>
      </w:tr>
      <w:tr>
        <w:tc>
          <w:tcPr>
            <w:tcW w:w="8587" w:type="dxa"/>
          </w:tcPr>
          <w:p>
            <w:pPr>
              <w:pStyle w:val="Compact"/>
              <w:spacing w:before="20" w:after="20"/>
            </w:pPr>
            <w:r>
              <w:rPr>
                <w:sz w:val="17"/>
              </w:rPr>
              <w:t>¿Apoya o toma decisiones sobre personas? ¿Cuáles?</w:t>
            </w:r>
          </w:p>
        </w:tc>
        <w:tc>
          <w:tcPr>
            <w:tcW w:w="1044" w:type="dxa"/>
          </w:tcPr>
          <w:p>
            <w:pPr>
              <w:pStyle w:val="Compact"/>
              <w:spacing w:before="20" w:after="20"/>
            </w:pPr>
          </w:p>
        </w:tc>
      </w:tr>
      <w:tr>
        <w:tc>
          <w:tcPr>
            <w:tcW w:w="8587" w:type="dxa"/>
          </w:tcPr>
          <w:p>
            <w:pPr>
              <w:pStyle w:val="Compact"/>
              <w:spacing w:before="20" w:after="20"/>
            </w:pPr>
            <w:r>
              <w:rPr>
                <w:sz w:val="17"/>
              </w:rPr>
              <w:t>Condiciones de servicio o contrato del proveedor (adjuntar)</w:t>
            </w:r>
          </w:p>
        </w:tc>
        <w:tc>
          <w:tcPr>
            <w:tcW w:w="1044" w:type="dxa"/>
          </w:tcPr>
          <w:p>
            <w:pPr>
              <w:pStyle w:val="Compact"/>
              <w:spacing w:before="20" w:after="20"/>
            </w:pPr>
          </w:p>
        </w:tc>
      </w:tr>
      <w:tr>
        <w:tc>
          <w:tcPr>
            <w:tcW w:w="8587" w:type="dxa"/>
          </w:tcPr>
          <w:p>
            <w:pPr>
              <w:pStyle w:val="Compact"/>
              <w:spacing w:before="20" w:after="20"/>
            </w:pPr>
            <w:r>
              <w:rPr>
                <w:sz w:val="17"/>
              </w:rPr>
              <w:t>Costo y vigencia</w:t>
            </w:r>
          </w:p>
        </w:tc>
        <w:tc>
          <w:tcPr>
            <w:tcW w:w="1044" w:type="dxa"/>
          </w:tcPr>
          <w:p>
            <w:pPr>
              <w:pStyle w:val="Compact"/>
              <w:spacing w:before="20" w:after="20"/>
            </w:pPr>
          </w:p>
        </w:tc>
      </w:tr>
      <w:tr>
        <w:tc>
          <w:tcPr>
            <w:tcW w:w="8587" w:type="dxa"/>
          </w:tcPr>
          <w:p>
            <w:pPr>
              <w:pStyle w:val="Compact"/>
              <w:spacing w:before="20" w:after="20"/>
            </w:pPr>
            <w:r>
              <w:rPr>
                <w:sz w:val="17"/>
              </w:rPr>
              <w:t>Alternativas consideradas</w:t>
            </w:r>
          </w:p>
        </w:tc>
        <w:tc>
          <w:tcPr>
            <w:tcW w:w="1044" w:type="dxa"/>
          </w:tcPr>
          <w:p>
            <w:pPr>
              <w:pStyle w:val="Compact"/>
              <w:spacing w:before="20" w:after="20"/>
            </w:pPr>
          </w:p>
        </w:tc>
      </w:tr>
      <w:tr>
        <w:tc>
          <w:tcPr>
            <w:tcW w:w="8587" w:type="dxa"/>
          </w:tcPr>
          <w:p>
            <w:pPr>
              <w:pStyle w:val="Compact"/>
              <w:spacing w:before="20" w:after="20"/>
            </w:pPr>
            <w:r>
              <w:rPr>
                <w:sz w:val="17"/>
              </w:rPr>
              <w:t>Firma del titular del área y fecha</w:t>
            </w:r>
          </w:p>
        </w:tc>
        <w:tc>
          <w:tcPr>
            <w:tcW w:w="1044" w:type="dxa"/>
          </w:tcPr>
          <w:p>
            <w:pPr>
              <w:pStyle w:val="Compact"/>
              <w:spacing w:before="20" w:after="20"/>
            </w:pPr>
          </w:p>
        </w:tc>
      </w:tr>
    </w:tbl>
    <w:p>
      <w:pPr>
        <w:pStyle w:val="BodyText"/>
      </w:pPr>
    </w:p>
    <w:p>
      <w:pPr>
        <w:pStyle w:val="Heading2"/>
      </w:pPr>
      <w:r>
        <w:rPr/>
        <w:t>Anexo 4. Reporte de incidente de 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752"/>
        <w:gridCol w:w="879"/>
      </w:tblGrid>
      <w:tr>
        <w:trPr>
          <w:tblHeader w:val="true"/>
          <w:cantSplit/>
        </w:trPr>
        <w:tc>
          <w:tcPr>
            <w:tcW w:w="8752" w:type="dxa"/>
            <w:shd w:val="clear" w:color="auto" w:fill="ECECEC"/>
          </w:tcPr>
          <w:p>
            <w:pPr>
              <w:pStyle w:val="Compact"/>
              <w:spacing w:before="20" w:after="20"/>
            </w:pPr>
            <w:r>
              <w:rPr>
                <w:b/>
                <w:sz w:val="17"/>
              </w:rPr>
              <w:t>Campo</w:t>
            </w:r>
          </w:p>
        </w:tc>
        <w:tc>
          <w:tcPr>
            <w:tcW w:w="879" w:type="dxa"/>
            <w:shd w:val="clear" w:color="auto" w:fill="ECECEC"/>
          </w:tcPr>
          <w:p>
            <w:pPr>
              <w:pStyle w:val="Compact"/>
              <w:spacing w:before="20" w:after="20"/>
            </w:pPr>
            <w:r>
              <w:rPr>
                <w:b/>
                <w:sz w:val="17"/>
              </w:rPr>
              <w:t>Contenido</w:t>
            </w:r>
          </w:p>
        </w:tc>
      </w:tr>
      <w:tr>
        <w:tc>
          <w:tcPr>
            <w:tcW w:w="8752" w:type="dxa"/>
          </w:tcPr>
          <w:p>
            <w:pPr>
              <w:pStyle w:val="Compact"/>
              <w:spacing w:before="20" w:after="20"/>
            </w:pPr>
            <w:r>
              <w:rPr>
                <w:sz w:val="17"/>
              </w:rPr>
              <w:t>Fecha y hora en que se identificó</w:t>
            </w:r>
          </w:p>
        </w:tc>
        <w:tc>
          <w:tcPr>
            <w:tcW w:w="879" w:type="dxa"/>
          </w:tcPr>
          <w:p>
            <w:pPr>
              <w:pStyle w:val="Compact"/>
              <w:spacing w:before="20" w:after="20"/>
            </w:pPr>
          </w:p>
        </w:tc>
      </w:tr>
      <w:tr>
        <w:tc>
          <w:tcPr>
            <w:tcW w:w="8752" w:type="dxa"/>
          </w:tcPr>
          <w:p>
            <w:pPr>
              <w:pStyle w:val="Compact"/>
              <w:spacing w:before="20" w:after="20"/>
            </w:pPr>
            <w:r>
              <w:rPr>
                <w:sz w:val="17"/>
              </w:rPr>
              <w:t>Tipo de incidente (ingreso indebido de información, suplantación de identidad, resultado que puede causar un daño, exposición de información por un sistema o proveedor)</w:t>
            </w:r>
          </w:p>
        </w:tc>
        <w:tc>
          <w:tcPr>
            <w:tcW w:w="879" w:type="dxa"/>
          </w:tcPr>
          <w:p>
            <w:pPr>
              <w:pStyle w:val="Compact"/>
              <w:spacing w:before="20" w:after="20"/>
            </w:pPr>
          </w:p>
        </w:tc>
      </w:tr>
      <w:tr>
        <w:tc>
          <w:tcPr>
            <w:tcW w:w="8752" w:type="dxa"/>
          </w:tcPr>
          <w:p>
            <w:pPr>
              <w:pStyle w:val="Compact"/>
              <w:spacing w:before="20" w:after="20"/>
            </w:pPr>
            <w:r>
              <w:rPr>
                <w:sz w:val="17"/>
              </w:rPr>
              <w:t>Sistema, herramienta o canal involucrado</w:t>
            </w:r>
          </w:p>
        </w:tc>
        <w:tc>
          <w:tcPr>
            <w:tcW w:w="879" w:type="dxa"/>
          </w:tcPr>
          <w:p>
            <w:pPr>
              <w:pStyle w:val="Compact"/>
              <w:spacing w:before="20" w:after="20"/>
            </w:pPr>
          </w:p>
        </w:tc>
      </w:tr>
      <w:tr>
        <w:tc>
          <w:tcPr>
            <w:tcW w:w="8752" w:type="dxa"/>
          </w:tcPr>
          <w:p>
            <w:pPr>
              <w:pStyle w:val="Compact"/>
              <w:spacing w:before="20" w:after="20"/>
            </w:pPr>
            <w:r>
              <w:rPr>
                <w:sz w:val="17"/>
              </w:rPr>
              <w:t>Información comprometida</w:t>
            </w:r>
          </w:p>
        </w:tc>
        <w:tc>
          <w:tcPr>
            <w:tcW w:w="879" w:type="dxa"/>
          </w:tcPr>
          <w:p>
            <w:pPr>
              <w:pStyle w:val="Compact"/>
              <w:spacing w:before="20" w:after="20"/>
            </w:pPr>
          </w:p>
        </w:tc>
      </w:tr>
      <w:tr>
        <w:tc>
          <w:tcPr>
            <w:tcW w:w="8752" w:type="dxa"/>
          </w:tcPr>
          <w:p>
            <w:pPr>
              <w:pStyle w:val="Compact"/>
              <w:spacing w:before="20" w:after="20"/>
            </w:pPr>
            <w:r>
              <w:rPr>
                <w:sz w:val="17"/>
              </w:rPr>
              <w:t>Acciones de contención realizadas</w:t>
            </w:r>
          </w:p>
        </w:tc>
        <w:tc>
          <w:tcPr>
            <w:tcW w:w="879" w:type="dxa"/>
          </w:tcPr>
          <w:p>
            <w:pPr>
              <w:pStyle w:val="Compact"/>
              <w:spacing w:before="20" w:after="20"/>
            </w:pPr>
          </w:p>
        </w:tc>
      </w:tr>
      <w:tr>
        <w:tc>
          <w:tcPr>
            <w:tcW w:w="8752" w:type="dxa"/>
          </w:tcPr>
          <w:p>
            <w:pPr>
              <w:pStyle w:val="Compact"/>
              <w:spacing w:before="20" w:after="20"/>
            </w:pPr>
            <w:r>
              <w:rPr>
                <w:sz w:val="17"/>
              </w:rPr>
              <w:t>Responsable notificado y hora de la notificación</w:t>
            </w:r>
          </w:p>
        </w:tc>
        <w:tc>
          <w:tcPr>
            <w:tcW w:w="879" w:type="dxa"/>
          </w:tcPr>
          <w:p>
            <w:pPr>
              <w:pStyle w:val="Compact"/>
              <w:spacing w:before="20" w:after="20"/>
            </w:pPr>
          </w:p>
        </w:tc>
      </w:tr>
      <w:tr>
        <w:tc>
          <w:tcPr>
            <w:tcW w:w="8752" w:type="dxa"/>
          </w:tcPr>
          <w:p>
            <w:pPr>
              <w:pStyle w:val="Compact"/>
              <w:spacing w:before="20" w:after="20"/>
            </w:pPr>
            <w:r>
              <w:rPr>
                <w:sz w:val="17"/>
              </w:rPr>
              <w:t>Nombre y área de quien reporta</w:t>
            </w:r>
          </w:p>
        </w:tc>
        <w:tc>
          <w:tcPr>
            <w:tcW w:w="879" w:type="dxa"/>
          </w:tcPr>
          <w:p>
            <w:pPr>
              <w:pStyle w:val="Compact"/>
              <w:spacing w:before="20" w:after="20"/>
            </w:pPr>
          </w:p>
        </w:tc>
      </w:tr>
    </w:tbl>
    <w:p>
      <w:pPr>
        <w:pStyle w:val="BodyText"/>
      </w:pPr>
    </w:p>
    <w:p>
      <w:pPr>
        <w:pStyle w:val="Heading2"/>
      </w:pPr>
      <w:r>
        <w:rPr/>
        <w:t>Anexo 5. Lista de verificación de proveedores de IA</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657"/>
        <w:gridCol w:w="7105"/>
        <w:gridCol w:w="868"/>
      </w:tblGrid>
      <w:tr>
        <w:trPr>
          <w:tblHeader w:val="true"/>
          <w:cantSplit/>
        </w:trPr>
        <w:tc>
          <w:tcPr>
            <w:tcW w:w="1657" w:type="dxa"/>
            <w:shd w:val="clear" w:color="auto" w:fill="ECECEC"/>
          </w:tcPr>
          <w:p>
            <w:pPr>
              <w:pStyle w:val="Compact"/>
              <w:spacing w:before="20" w:after="20"/>
            </w:pPr>
            <w:r>
              <w:rPr>
                <w:b/>
                <w:sz w:val="17"/>
              </w:rPr>
              <w:t>Criterio</w:t>
            </w:r>
          </w:p>
        </w:tc>
        <w:tc>
          <w:tcPr>
            <w:tcW w:w="7105" w:type="dxa"/>
            <w:shd w:val="clear" w:color="auto" w:fill="ECECEC"/>
          </w:tcPr>
          <w:p>
            <w:pPr>
              <w:pStyle w:val="Compact"/>
              <w:spacing w:before="20" w:after="20"/>
            </w:pPr>
            <w:r>
              <w:rPr>
                <w:b/>
                <w:sz w:val="17"/>
              </w:rPr>
              <w:t>Pregunta</w:t>
            </w:r>
          </w:p>
        </w:tc>
        <w:tc>
          <w:tcPr>
            <w:tcW w:w="868" w:type="dxa"/>
            <w:shd w:val="clear" w:color="auto" w:fill="ECECEC"/>
          </w:tcPr>
          <w:p>
            <w:pPr>
              <w:pStyle w:val="Compact"/>
              <w:spacing w:before="20" w:after="20"/>
            </w:pPr>
            <w:r>
              <w:rPr>
                <w:b/>
                <w:sz w:val="17"/>
              </w:rPr>
              <w:t>Resultado</w:t>
            </w:r>
          </w:p>
        </w:tc>
      </w:tr>
      <w:tr>
        <w:tc>
          <w:tcPr>
            <w:tcW w:w="1657" w:type="dxa"/>
          </w:tcPr>
          <w:p>
            <w:pPr>
              <w:pStyle w:val="Compact"/>
              <w:spacing w:before="20" w:after="20"/>
            </w:pPr>
            <w:r>
              <w:rPr>
                <w:sz w:val="17"/>
              </w:rPr>
              <w:t>Uso de la información</w:t>
            </w:r>
          </w:p>
        </w:tc>
        <w:tc>
          <w:tcPr>
            <w:tcW w:w="7105" w:type="dxa"/>
          </w:tcPr>
          <w:p>
            <w:pPr>
              <w:pStyle w:val="Compact"/>
              <w:spacing w:before="20" w:after="20"/>
            </w:pPr>
            <w:r>
              <w:rPr>
                <w:sz w:val="17"/>
              </w:rPr>
              <w:t>¿Usa la información ingresada para entrenar sus modelos o para fines propios? ¿Puede excluirse por escrito?</w:t>
            </w:r>
          </w:p>
        </w:tc>
        <w:tc>
          <w:tcPr>
            <w:tcW w:w="868" w:type="dxa"/>
          </w:tcPr>
          <w:p>
            <w:pPr>
              <w:pStyle w:val="Compact"/>
              <w:spacing w:before="20" w:after="20"/>
            </w:pPr>
          </w:p>
        </w:tc>
      </w:tr>
      <w:tr>
        <w:tc>
          <w:tcPr>
            <w:tcW w:w="1657" w:type="dxa"/>
          </w:tcPr>
          <w:p>
            <w:pPr>
              <w:pStyle w:val="Compact"/>
              <w:spacing w:before="20" w:after="20"/>
            </w:pPr>
            <w:r>
              <w:rPr>
                <w:sz w:val="17"/>
              </w:rPr>
              <w:t>Calidad del proveedor</w:t>
            </w:r>
          </w:p>
        </w:tc>
        <w:tc>
          <w:tcPr>
            <w:tcW w:w="7105" w:type="dxa"/>
          </w:tcPr>
          <w:p>
            <w:pPr>
              <w:pStyle w:val="Compact"/>
              <w:spacing w:before="20" w:after="20"/>
            </w:pPr>
            <w:r>
              <w:rPr>
                <w:sz w:val="17"/>
              </w:rPr>
              <w:t>¿Actúa solo por cuenta de la organización y conforme a sus instrucciones, con contrato (persona encargada)? Si usa los datos para fines propios es un tercero: hay transferencia, que debe informarse en el aviso de privacidad</w:t>
            </w:r>
          </w:p>
        </w:tc>
        <w:tc>
          <w:tcPr>
            <w:tcW w:w="868" w:type="dxa"/>
          </w:tcPr>
          <w:p>
            <w:pPr>
              <w:pStyle w:val="Compact"/>
              <w:spacing w:before="20" w:after="20"/>
            </w:pPr>
          </w:p>
        </w:tc>
      </w:tr>
      <w:tr>
        <w:tc>
          <w:tcPr>
            <w:tcW w:w="1657" w:type="dxa"/>
          </w:tcPr>
          <w:p>
            <w:pPr>
              <w:pStyle w:val="Compact"/>
              <w:spacing w:before="20" w:after="20"/>
            </w:pPr>
            <w:r>
              <w:rPr>
                <w:sz w:val="17"/>
              </w:rPr>
              <w:t>Conservación</w:t>
            </w:r>
          </w:p>
        </w:tc>
        <w:tc>
          <w:tcPr>
            <w:tcW w:w="7105" w:type="dxa"/>
          </w:tcPr>
          <w:p>
            <w:pPr>
              <w:pStyle w:val="Compact"/>
              <w:spacing w:before="20" w:after="20"/>
            </w:pPr>
            <w:r>
              <w:rPr>
                <w:sz w:val="17"/>
              </w:rPr>
              <w:t>¿Cuánto tiempo conserva la información? ¿Es acorde con la finalidad?</w:t>
            </w:r>
          </w:p>
        </w:tc>
        <w:tc>
          <w:tcPr>
            <w:tcW w:w="868" w:type="dxa"/>
          </w:tcPr>
          <w:p>
            <w:pPr>
              <w:pStyle w:val="Compact"/>
              <w:spacing w:before="20" w:after="20"/>
            </w:pPr>
          </w:p>
        </w:tc>
      </w:tr>
      <w:tr>
        <w:tc>
          <w:tcPr>
            <w:tcW w:w="1657" w:type="dxa"/>
          </w:tcPr>
          <w:p>
            <w:pPr>
              <w:pStyle w:val="Compact"/>
              <w:spacing w:before="20" w:after="20"/>
            </w:pPr>
            <w:r>
              <w:rPr>
                <w:sz w:val="17"/>
              </w:rPr>
              <w:t>Ubicación</w:t>
            </w:r>
          </w:p>
        </w:tc>
        <w:tc>
          <w:tcPr>
            <w:tcW w:w="7105" w:type="dxa"/>
          </w:tcPr>
          <w:p>
            <w:pPr>
              <w:pStyle w:val="Compact"/>
              <w:spacing w:before="20" w:after="20"/>
            </w:pPr>
            <w:r>
              <w:rPr>
                <w:sz w:val="17"/>
              </w:rPr>
              <w:t>¿Dónde se almacena? ¿Hay transferencias a otros países? ¿Con qué fundamento?</w:t>
            </w:r>
          </w:p>
        </w:tc>
        <w:tc>
          <w:tcPr>
            <w:tcW w:w="868" w:type="dxa"/>
          </w:tcPr>
          <w:p>
            <w:pPr>
              <w:pStyle w:val="Compact"/>
              <w:spacing w:before="20" w:after="20"/>
            </w:pPr>
          </w:p>
        </w:tc>
      </w:tr>
      <w:tr>
        <w:tc>
          <w:tcPr>
            <w:tcW w:w="1657" w:type="dxa"/>
          </w:tcPr>
          <w:p>
            <w:pPr>
              <w:pStyle w:val="Compact"/>
              <w:spacing w:before="20" w:after="20"/>
            </w:pPr>
            <w:r>
              <w:rPr>
                <w:sz w:val="17"/>
              </w:rPr>
              <w:t>Eliminación</w:t>
            </w:r>
          </w:p>
        </w:tc>
        <w:tc>
          <w:tcPr>
            <w:tcW w:w="7105" w:type="dxa"/>
          </w:tcPr>
          <w:p>
            <w:pPr>
              <w:pStyle w:val="Compact"/>
              <w:spacing w:before="20" w:after="20"/>
            </w:pPr>
            <w:r>
              <w:rPr>
                <w:sz w:val="17"/>
              </w:rPr>
              <w:t>¿Elimina o devuelve la información al terminar el contrato, con constancia y en un plazo definido?</w:t>
            </w:r>
          </w:p>
        </w:tc>
        <w:tc>
          <w:tcPr>
            <w:tcW w:w="868" w:type="dxa"/>
          </w:tcPr>
          <w:p>
            <w:pPr>
              <w:pStyle w:val="Compact"/>
              <w:spacing w:before="20" w:after="20"/>
            </w:pPr>
          </w:p>
        </w:tc>
      </w:tr>
      <w:tr>
        <w:tc>
          <w:tcPr>
            <w:tcW w:w="1657" w:type="dxa"/>
          </w:tcPr>
          <w:p>
            <w:pPr>
              <w:pStyle w:val="Compact"/>
              <w:spacing w:before="20" w:after="20"/>
            </w:pPr>
            <w:r>
              <w:rPr>
                <w:sz w:val="17"/>
              </w:rPr>
              <w:t>Confidencialidad y seguridad</w:t>
            </w:r>
          </w:p>
        </w:tc>
        <w:tc>
          <w:tcPr>
            <w:tcW w:w="7105" w:type="dxa"/>
          </w:tcPr>
          <w:p>
            <w:pPr>
              <w:pStyle w:val="Compact"/>
              <w:spacing w:before="20" w:after="20"/>
            </w:pPr>
            <w:r>
              <w:rPr>
                <w:sz w:val="17"/>
              </w:rPr>
              <w:t>¿Qué medidas concretas aplica? ¿Tiene certificaciones vigentes y con qué alcance?</w:t>
            </w:r>
          </w:p>
        </w:tc>
        <w:tc>
          <w:tcPr>
            <w:tcW w:w="868" w:type="dxa"/>
          </w:tcPr>
          <w:p>
            <w:pPr>
              <w:pStyle w:val="Compact"/>
              <w:spacing w:before="20" w:after="20"/>
            </w:pPr>
          </w:p>
        </w:tc>
      </w:tr>
      <w:tr>
        <w:tc>
          <w:tcPr>
            <w:tcW w:w="1657" w:type="dxa"/>
          </w:tcPr>
          <w:p>
            <w:pPr>
              <w:pStyle w:val="Compact"/>
              <w:spacing w:before="20" w:after="20"/>
            </w:pPr>
            <w:r>
              <w:rPr>
                <w:sz w:val="17"/>
              </w:rPr>
              <w:t>Notificación de incidentes</w:t>
            </w:r>
          </w:p>
        </w:tc>
        <w:tc>
          <w:tcPr>
            <w:tcW w:w="7105" w:type="dxa"/>
          </w:tcPr>
          <w:p>
            <w:pPr>
              <w:pStyle w:val="Compact"/>
              <w:spacing w:before="20" w:after="20"/>
            </w:pPr>
            <w:r>
              <w:rPr>
                <w:sz w:val="17"/>
              </w:rPr>
              <w:t>¿En qué plazo avisa a la organización?</w:t>
            </w:r>
          </w:p>
        </w:tc>
        <w:tc>
          <w:tcPr>
            <w:tcW w:w="868" w:type="dxa"/>
          </w:tcPr>
          <w:p>
            <w:pPr>
              <w:pStyle w:val="Compact"/>
              <w:spacing w:before="20" w:after="20"/>
            </w:pPr>
          </w:p>
        </w:tc>
      </w:tr>
      <w:tr>
        <w:tc>
          <w:tcPr>
            <w:tcW w:w="1657" w:type="dxa"/>
          </w:tcPr>
          <w:p>
            <w:pPr>
              <w:pStyle w:val="Compact"/>
              <w:spacing w:before="20" w:after="20"/>
            </w:pPr>
            <w:r>
              <w:rPr>
                <w:sz w:val="17"/>
              </w:rPr>
              <w:t>Terceros</w:t>
            </w:r>
          </w:p>
        </w:tc>
        <w:tc>
          <w:tcPr>
            <w:tcW w:w="7105" w:type="dxa"/>
          </w:tcPr>
          <w:p>
            <w:pPr>
              <w:pStyle w:val="Compact"/>
              <w:spacing w:before="20" w:after="20"/>
            </w:pPr>
            <w:r>
              <w:rPr>
                <w:sz w:val="17"/>
              </w:rPr>
              <w:t>¿Comparte información, incluso agregada, con otras empresas?</w:t>
            </w:r>
          </w:p>
        </w:tc>
        <w:tc>
          <w:tcPr>
            <w:tcW w:w="868" w:type="dxa"/>
          </w:tcPr>
          <w:p>
            <w:pPr>
              <w:pStyle w:val="Compact"/>
              <w:spacing w:before="20" w:after="20"/>
            </w:pPr>
          </w:p>
        </w:tc>
      </w:tr>
      <w:tr>
        <w:tc>
          <w:tcPr>
            <w:tcW w:w="1657" w:type="dxa"/>
          </w:tcPr>
          <w:p>
            <w:pPr>
              <w:pStyle w:val="Compact"/>
              <w:spacing w:before="20" w:after="20"/>
            </w:pPr>
            <w:r>
              <w:rPr>
                <w:sz w:val="17"/>
              </w:rPr>
              <w:t>Recomendación</w:t>
            </w:r>
          </w:p>
        </w:tc>
        <w:tc>
          <w:tcPr>
            <w:tcW w:w="7105" w:type="dxa"/>
          </w:tcPr>
          <w:p>
            <w:pPr>
              <w:pStyle w:val="Compact"/>
              <w:spacing w:before="20" w:after="20"/>
            </w:pPr>
            <w:r>
              <w:rPr>
                <w:sz w:val="17"/>
              </w:rPr>
              <w:t>Autorizar, autorizar con condiciones o no autorizar, con su fundamento</w:t>
            </w:r>
          </w:p>
        </w:tc>
        <w:tc>
          <w:tcPr>
            <w:tcW w:w="868" w:type="dxa"/>
          </w:tcPr>
          <w:p>
            <w:pPr>
              <w:pStyle w:val="Compact"/>
              <w:spacing w:before="20" w:after="20"/>
            </w:pPr>
          </w:p>
        </w:tc>
      </w:tr>
    </w:tbl>
    <w:p>
      <w:pPr>
        <w:pStyle w:val="BodyText"/>
      </w:pPr>
    </w:p>
    <w:p>
      <w:pPr>
        <w:pStyle w:val="Heading2"/>
      </w:pPr>
      <w:r>
        <w:rPr/>
        <w:t>Anexo 6. Carta de conocimiento de la política</w:t>
      </w:r>
    </w:p>
    <w:p>
      <w:pPr>
        <w:pStyle w:val="FirstParagraph"/>
      </w:pPr>
      <w:r>
        <w:rPr/>
        <w:t>Yo, [nombre], [puesto], del área de [área], manifiesto que:</w:t>
      </w:r>
    </w:p>
    <w:p>
      <w:pPr>
        <w:pStyle w:val="Compact"/>
        <w:numPr>
          <w:ilvl w:val="0"/>
          <w:numId w:val="1017"/>
        </w:numPr>
      </w:pPr>
      <w:r>
        <w:rPr/>
        <w:t>Recibí y leí la Política de uso de inteligencia artificial de [nombre de la organización], versión [ ].</w:t>
      </w:r>
    </w:p>
    <w:p>
      <w:pPr>
        <w:pStyle w:val="Compact"/>
        <w:numPr>
          <w:ilvl w:val="0"/>
          <w:numId w:val="1017"/>
        </w:numPr>
      </w:pPr>
      <w:r>
        <w:rPr/>
        <w:t>Recibí la capacitación sobre su contenido el [fecha].</w:t>
      </w:r>
    </w:p>
    <w:p>
      <w:pPr>
        <w:pStyle w:val="Compact"/>
        <w:numPr>
          <w:ilvl w:val="0"/>
          <w:numId w:val="1017"/>
        </w:numPr>
      </w:pPr>
      <w:r>
        <w:rPr/>
        <w:t>Me comprometo a usar solo los sistemas de IA autorizados, con mi cuenta institucional, y a no ingresar información en contra de la política.</w:t>
      </w:r>
    </w:p>
    <w:p>
      <w:pPr>
        <w:pStyle w:val="Compact"/>
        <w:numPr>
          <w:ilvl w:val="0"/>
          <w:numId w:val="1017"/>
        </w:numPr>
      </w:pPr>
      <w:r>
        <w:rPr/>
        <w:t>Sé cómo y a quién reportar un incidente.</w:t>
      </w:r>
    </w:p>
    <w:p>
      <w:pPr>
        <w:pStyle w:val="BodyText"/>
      </w:pPr>
      <w:r>
        <w:rPr/>
        <w:t xml:space="preserve">Firma: </w:t>
      </w:r>
      <w:r>
        <w:rPr>
          <w:b/>
          <w:i/>
        </w:rPr>
        <w:t>_</w:t>
      </w:r>
      <w:r>
        <w:rPr>
          <w:b/>
          <w:i/>
        </w:rPr>
        <w:t>_</w:t>
      </w:r>
      <w:r>
        <w:rPr>
          <w:b/>
          <w:i/>
        </w:rPr>
        <w:t>_</w:t>
      </w:r>
      <w:r>
        <w:rPr>
          <w:b/>
        </w:rPr>
        <w:t xml:space="preserve">_ Fecha: </w:t>
      </w:r>
      <w:r>
        <w:rPr>
          <w:b/>
          <w:i/>
        </w:rPr>
        <w:t>_</w:t>
      </w:r>
      <w:r>
        <w:rPr>
          <w:b/>
          <w:i/>
        </w:rPr>
        <w:t>_</w:t>
      </w:r>
      <w:r>
        <w:rPr/>
        <w:t>____</w:t>
      </w:r>
    </w:p>
    <w:p>
      <w:pPr>
        <w:pStyle w:val="BodyText"/>
        <w:pBdr>
          <w:bottom w:val="single" w:sz="4" w:space="1" w:color="BFC0C0"/>
        </w:pBdr>
      </w:pPr>
    </w:p>
    <w:p>
      <w:pPr>
        <w:pStyle w:val="Heading2"/>
      </w:pPr>
      <w:r>
        <w:rPr/>
        <w:t>Correspondencia con el EC-B (Elemento 3, Producto 1)</w:t>
      </w:r>
    </w:p>
    <w:tbl>
      <w:tblPr>
        <w:tblW w:w="9632"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7387"/>
        <w:gridCol w:w="2244"/>
      </w:tblGrid>
      <w:tr>
        <w:trPr>
          <w:tblHeader w:val="true"/>
          <w:cantSplit/>
        </w:trPr>
        <w:tc>
          <w:tcPr>
            <w:tcW w:w="7387" w:type="dxa"/>
            <w:shd w:val="clear" w:color="auto" w:fill="ECECEC"/>
          </w:tcPr>
          <w:p>
            <w:pPr>
              <w:pStyle w:val="Compact"/>
              <w:spacing w:before="20" w:after="20"/>
            </w:pPr>
            <w:r>
              <w:rPr>
                <w:b/>
                <w:sz w:val="17"/>
              </w:rPr>
              <w:t>Contenido que exige el estándar</w:t>
            </w:r>
          </w:p>
        </w:tc>
        <w:tc>
          <w:tcPr>
            <w:tcW w:w="2244" w:type="dxa"/>
            <w:shd w:val="clear" w:color="auto" w:fill="ECECEC"/>
          </w:tcPr>
          <w:p>
            <w:pPr>
              <w:pStyle w:val="Compact"/>
              <w:spacing w:before="20" w:after="20"/>
            </w:pPr>
            <w:r>
              <w:rPr>
                <w:b/>
                <w:sz w:val="17"/>
              </w:rPr>
              <w:t>Apartado de la plantilla</w:t>
            </w:r>
          </w:p>
        </w:tc>
      </w:tr>
      <w:tr>
        <w:tc>
          <w:tcPr>
            <w:tcW w:w="7387" w:type="dxa"/>
          </w:tcPr>
          <w:p>
            <w:pPr>
              <w:pStyle w:val="Compact"/>
              <w:spacing w:before="20" w:after="20"/>
            </w:pPr>
            <w:r>
              <w:rPr>
                <w:sz w:val="17"/>
              </w:rPr>
              <w:t>Objetivo y alcance</w:t>
            </w:r>
          </w:p>
        </w:tc>
        <w:tc>
          <w:tcPr>
            <w:tcW w:w="2244" w:type="dxa"/>
          </w:tcPr>
          <w:p>
            <w:pPr>
              <w:pStyle w:val="Compact"/>
              <w:spacing w:before="20" w:after="20"/>
            </w:pPr>
            <w:r>
              <w:rPr>
                <w:sz w:val="17"/>
              </w:rPr>
              <w:t>1 y 2</w:t>
            </w:r>
          </w:p>
        </w:tc>
      </w:tr>
      <w:tr>
        <w:tc>
          <w:tcPr>
            <w:tcW w:w="7387" w:type="dxa"/>
          </w:tcPr>
          <w:p>
            <w:pPr>
              <w:pStyle w:val="Compact"/>
              <w:spacing w:before="20" w:after="20"/>
            </w:pPr>
            <w:r>
              <w:rPr>
                <w:sz w:val="17"/>
              </w:rPr>
              <w:t>Criterios y procedimiento para autorizar sistemas de IA</w:t>
            </w:r>
          </w:p>
        </w:tc>
        <w:tc>
          <w:tcPr>
            <w:tcW w:w="2244" w:type="dxa"/>
          </w:tcPr>
          <w:p>
            <w:pPr>
              <w:pStyle w:val="Compact"/>
              <w:spacing w:before="20" w:after="20"/>
            </w:pPr>
            <w:r>
              <w:rPr>
                <w:sz w:val="17"/>
              </w:rPr>
              <w:t>5 y Anexos 1, 3 y 5</w:t>
            </w:r>
          </w:p>
        </w:tc>
      </w:tr>
      <w:tr>
        <w:tc>
          <w:tcPr>
            <w:tcW w:w="7387" w:type="dxa"/>
          </w:tcPr>
          <w:p>
            <w:pPr>
              <w:pStyle w:val="Compact"/>
              <w:spacing w:before="20" w:after="20"/>
            </w:pPr>
            <w:r>
              <w:rPr>
                <w:sz w:val="17"/>
              </w:rPr>
              <w:t>Información que puede y no puede ingresarse conforme a su clasificación</w:t>
            </w:r>
          </w:p>
        </w:tc>
        <w:tc>
          <w:tcPr>
            <w:tcW w:w="2244" w:type="dxa"/>
          </w:tcPr>
          <w:p>
            <w:pPr>
              <w:pStyle w:val="Compact"/>
              <w:spacing w:before="20" w:after="20"/>
            </w:pPr>
            <w:r>
              <w:rPr>
                <w:sz w:val="17"/>
              </w:rPr>
              <w:t>6.1 a 6.3 y Anexo 2</w:t>
            </w:r>
          </w:p>
        </w:tc>
      </w:tr>
      <w:tr>
        <w:tc>
          <w:tcPr>
            <w:tcW w:w="7387" w:type="dxa"/>
          </w:tcPr>
          <w:p>
            <w:pPr>
              <w:pStyle w:val="Compact"/>
              <w:spacing w:before="20" w:after="20"/>
            </w:pPr>
            <w:r>
              <w:rPr>
                <w:sz w:val="17"/>
              </w:rPr>
              <w:t>Usos con datos personales informados en el aviso de privacidad y con fundamento</w:t>
            </w:r>
          </w:p>
        </w:tc>
        <w:tc>
          <w:tcPr>
            <w:tcW w:w="2244" w:type="dxa"/>
          </w:tcPr>
          <w:p>
            <w:pPr>
              <w:pStyle w:val="Compact"/>
              <w:spacing w:before="20" w:after="20"/>
            </w:pPr>
            <w:r>
              <w:rPr>
                <w:sz w:val="17"/>
              </w:rPr>
              <w:t>5.4 y 6.4</w:t>
            </w:r>
          </w:p>
        </w:tc>
      </w:tr>
      <w:tr>
        <w:tc>
          <w:tcPr>
            <w:tcW w:w="7387" w:type="dxa"/>
          </w:tcPr>
          <w:p>
            <w:pPr>
              <w:pStyle w:val="Compact"/>
              <w:spacing w:before="20" w:after="20"/>
            </w:pPr>
            <w:r>
              <w:rPr>
                <w:sz w:val="17"/>
              </w:rPr>
              <w:t>Obligación de verificar los resultados y de declarar el uso de IA</w:t>
            </w:r>
          </w:p>
        </w:tc>
        <w:tc>
          <w:tcPr>
            <w:tcW w:w="2244" w:type="dxa"/>
          </w:tcPr>
          <w:p>
            <w:pPr>
              <w:pStyle w:val="Compact"/>
              <w:spacing w:before="20" w:after="20"/>
            </w:pPr>
            <w:r>
              <w:rPr>
                <w:sz w:val="17"/>
              </w:rPr>
              <w:t>7</w:t>
            </w:r>
          </w:p>
        </w:tc>
      </w:tr>
      <w:tr>
        <w:tc>
          <w:tcPr>
            <w:tcW w:w="7387" w:type="dxa"/>
          </w:tcPr>
          <w:p>
            <w:pPr>
              <w:pStyle w:val="Compact"/>
              <w:spacing w:before="20" w:after="20"/>
            </w:pPr>
            <w:r>
              <w:rPr>
                <w:sz w:val="17"/>
              </w:rPr>
              <w:t>Reglas para el uso de la imagen, la voz y las obras de terceros</w:t>
            </w:r>
          </w:p>
        </w:tc>
        <w:tc>
          <w:tcPr>
            <w:tcW w:w="2244" w:type="dxa"/>
          </w:tcPr>
          <w:p>
            <w:pPr>
              <w:pStyle w:val="Compact"/>
              <w:spacing w:before="20" w:after="20"/>
            </w:pPr>
            <w:r>
              <w:rPr>
                <w:sz w:val="17"/>
              </w:rPr>
              <w:t>8</w:t>
            </w:r>
          </w:p>
        </w:tc>
      </w:tr>
      <w:tr>
        <w:tc>
          <w:tcPr>
            <w:tcW w:w="7387" w:type="dxa"/>
          </w:tcPr>
          <w:p>
            <w:pPr>
              <w:pStyle w:val="Compact"/>
              <w:spacing w:before="20" w:after="20"/>
            </w:pPr>
            <w:r>
              <w:rPr>
                <w:sz w:val="17"/>
              </w:rPr>
              <w:t>Intervención humana en los usos que afectan a personas</w:t>
            </w:r>
          </w:p>
        </w:tc>
        <w:tc>
          <w:tcPr>
            <w:tcW w:w="2244" w:type="dxa"/>
          </w:tcPr>
          <w:p>
            <w:pPr>
              <w:pStyle w:val="Compact"/>
              <w:spacing w:before="20" w:after="20"/>
            </w:pPr>
            <w:r>
              <w:rPr>
                <w:sz w:val="17"/>
              </w:rPr>
              <w:t>9</w:t>
            </w:r>
          </w:p>
        </w:tc>
      </w:tr>
      <w:tr>
        <w:tc>
          <w:tcPr>
            <w:tcW w:w="7387" w:type="dxa"/>
          </w:tcPr>
          <w:p>
            <w:pPr>
              <w:pStyle w:val="Compact"/>
              <w:spacing w:before="20" w:after="20"/>
            </w:pPr>
            <w:r>
              <w:rPr>
                <w:sz w:val="17"/>
              </w:rPr>
              <w:t>Procedimiento de reporte de incidentes</w:t>
            </w:r>
          </w:p>
        </w:tc>
        <w:tc>
          <w:tcPr>
            <w:tcW w:w="2244" w:type="dxa"/>
          </w:tcPr>
          <w:p>
            <w:pPr>
              <w:pStyle w:val="Compact"/>
              <w:spacing w:before="20" w:after="20"/>
            </w:pPr>
            <w:r>
              <w:rPr>
                <w:sz w:val="17"/>
              </w:rPr>
              <w:t>11 y Anexo 4</w:t>
            </w:r>
          </w:p>
        </w:tc>
      </w:tr>
      <w:tr>
        <w:tc>
          <w:tcPr>
            <w:tcW w:w="7387" w:type="dxa"/>
          </w:tcPr>
          <w:p>
            <w:pPr>
              <w:pStyle w:val="Compact"/>
              <w:spacing w:before="20" w:after="20"/>
            </w:pPr>
            <w:r>
              <w:rPr>
                <w:sz w:val="17"/>
              </w:rPr>
              <w:t>Responsables de su aplicación</w:t>
            </w:r>
          </w:p>
        </w:tc>
        <w:tc>
          <w:tcPr>
            <w:tcW w:w="2244" w:type="dxa"/>
          </w:tcPr>
          <w:p>
            <w:pPr>
              <w:pStyle w:val="Compact"/>
              <w:spacing w:before="20" w:after="20"/>
            </w:pPr>
            <w:r>
              <w:rPr>
                <w:sz w:val="17"/>
              </w:rPr>
              <w:t>13</w:t>
            </w:r>
          </w:p>
        </w:tc>
      </w:tr>
      <w:tr>
        <w:tc>
          <w:tcPr>
            <w:tcW w:w="7387" w:type="dxa"/>
          </w:tcPr>
          <w:p>
            <w:pPr>
              <w:pStyle w:val="Compact"/>
              <w:spacing w:before="20" w:after="20"/>
            </w:pPr>
            <w:r>
              <w:rPr>
                <w:sz w:val="17"/>
              </w:rPr>
              <w:t>Consecuencias del incumplimiento</w:t>
            </w:r>
          </w:p>
        </w:tc>
        <w:tc>
          <w:tcPr>
            <w:tcW w:w="2244" w:type="dxa"/>
          </w:tcPr>
          <w:p>
            <w:pPr>
              <w:pStyle w:val="Compact"/>
              <w:spacing w:before="20" w:after="20"/>
            </w:pPr>
            <w:r>
              <w:rPr>
                <w:sz w:val="17"/>
              </w:rPr>
              <w:t>15</w:t>
            </w:r>
          </w:p>
        </w:tc>
      </w:tr>
      <w:tr>
        <w:tc>
          <w:tcPr>
            <w:tcW w:w="7387" w:type="dxa"/>
          </w:tcPr>
          <w:p>
            <w:pPr>
              <w:pStyle w:val="Compact"/>
              <w:spacing w:before="20" w:after="20"/>
            </w:pPr>
            <w:r>
              <w:rPr>
                <w:sz w:val="17"/>
              </w:rPr>
              <w:t>Periodo de revisión</w:t>
            </w:r>
          </w:p>
        </w:tc>
        <w:tc>
          <w:tcPr>
            <w:tcW w:w="2244" w:type="dxa"/>
          </w:tcPr>
          <w:p>
            <w:pPr>
              <w:pStyle w:val="Compact"/>
              <w:spacing w:before="20" w:after="20"/>
            </w:pPr>
            <w:r>
              <w:rPr>
                <w:sz w:val="17"/>
              </w:rPr>
              <w:t>16</w:t>
            </w:r>
          </w:p>
        </w:tc>
      </w:tr>
    </w:tbl>
    <w:p>
      <w:pPr>
        <w:pStyle w:val="BodyText"/>
      </w:pPr>
    </w:p>
    <w:p>
      <w:pPr>
        <w:pStyle w:val="Heading2"/>
      </w:pPr>
      <w:r>
        <w:rPr/>
        <w:t>Notas para quien adapta la plantilla</w:t>
      </w:r>
    </w:p>
    <w:p>
      <w:pPr>
        <w:pStyle w:val="FirstParagraph"/>
      </w:pPr>
      <w:r>
        <w:rPr>
          <w:i/>
        </w:rPr>
        <w:t>No forman parte de la política.</w:t>
      </w:r>
    </w:p>
    <w:p>
      <w:pPr>
        <w:pStyle w:val="Compact"/>
        <w:numPr>
          <w:ilvl w:val="0"/>
          <w:numId w:val="1018"/>
        </w:numPr>
      </w:pPr>
      <w:r>
        <w:rPr>
          <w:b/>
        </w:rPr>
        <w:t>Tamaño de la organización.</w:t>
      </w:r>
      <w:r>
        <w:rPr/>
        <w:t xml:space="preserve"> En organizaciones pequeñas, una sola persona puede tener las funciones de responsable de gobernanza de IA y de protección de datos; ajusta la tabla del punto 13 y los pasos del punto 5.3.</w:t>
      </w:r>
    </w:p>
    <w:p>
      <w:pPr>
        <w:pStyle w:val="Compact"/>
        <w:numPr>
          <w:ilvl w:val="0"/>
          <w:numId w:val="1018"/>
        </w:numPr>
      </w:pPr>
      <w:r>
        <w:rPr>
          <w:b/>
        </w:rPr>
        <w:t>Plazos.</w:t>
      </w:r>
      <w:r>
        <w:rPr/>
        <w:t xml:space="preserve"> Los plazos entre corchetes son sugerencias; ajústalos a la operación real. El plazo de reporte de incidentes debe ser corto (minutos u horas, no días).</w:t>
      </w:r>
    </w:p>
    <w:p>
      <w:pPr>
        <w:pStyle w:val="Compact"/>
        <w:numPr>
          <w:ilvl w:val="0"/>
          <w:numId w:val="1018"/>
        </w:numPr>
      </w:pPr>
      <w:r>
        <w:rPr>
          <w:b/>
        </w:rPr>
        <w:t>Instituciones educativas.</w:t>
      </w:r>
      <w:r>
        <w:rPr/>
        <w:t xml:space="preserve"> Agrega reglas para el uso académico: qué usos se permiten en cada tipo de trabajo, cómo se declara el uso de IA en los trabajos escolares y cómo se evalúan.</w:t>
      </w:r>
    </w:p>
    <w:p>
      <w:pPr>
        <w:pStyle w:val="Compact"/>
        <w:numPr>
          <w:ilvl w:val="0"/>
          <w:numId w:val="1018"/>
        </w:numPr>
      </w:pPr>
      <w:r>
        <w:rPr>
          <w:b/>
        </w:rPr>
        <w:t>Sectores regulados.</w:t>
      </w:r>
      <w:r>
        <w:rPr/>
        <w:t xml:space="preserve"> Agrega las obligaciones de tu sector (por ejemplo, expediente clínico, secreto financiero, información pública gubernamental).</w:t>
      </w:r>
    </w:p>
    <w:p>
      <w:pPr>
        <w:pStyle w:val="Compact"/>
        <w:numPr>
          <w:ilvl w:val="0"/>
          <w:numId w:val="1018"/>
        </w:numPr>
      </w:pPr>
      <w:r>
        <w:rPr>
          <w:b/>
        </w:rPr>
        <w:t>Relación laboral.</w:t>
      </w:r>
      <w:r>
        <w:rPr/>
        <w:t xml:space="preserve"> Si la política impone obligaciones o sanciones al personal, confirma con Recursos Humanos y con el área jurídica su incorporación al reglamento interior de trabajo o a los contratos. Las disposiciones del reglamento contrarias a la ley no producen efecto (Ley Federal del Trabajo, artículo 424, fracción III).</w:t>
      </w:r>
    </w:p>
    <w:p>
      <w:pPr>
        <w:pStyle w:val="Compact"/>
        <w:numPr>
          <w:ilvl w:val="0"/>
          <w:numId w:val="1018"/>
        </w:numPr>
      </w:pPr>
      <w:r>
        <w:rPr>
          <w:b/>
        </w:rPr>
        <w:t>Aviso de privacidad.</w:t>
      </w:r>
      <w:r>
        <w:rPr/>
        <w:t xml:space="preserve"> Si los sistemas de IA tratan datos personales, revisa que el aviso de privacidad lo informe, incluidas las transferencias a proveedores que usen los datos para fines propios (artículos 15 y 35 de la ley).</w:t>
      </w:r>
    </w:p>
    <w:p>
      <w:pPr>
        <w:pStyle w:val="Compact"/>
        <w:numPr>
          <w:ilvl w:val="0"/>
          <w:numId w:val="1018"/>
        </w:numPr>
      </w:pPr>
      <w:r>
        <w:rPr>
          <w:b/>
        </w:rPr>
        <w:t>Departamento de datos personales.</w:t>
      </w:r>
      <w:r>
        <w:rPr/>
        <w:t xml:space="preserve"> Designa a la persona o departamento que atiende las solicitudes de las personas titulares (artículo 29 de la ley) y anota sus datos en el punto 13.</w:t>
      </w:r>
    </w:p>
    <w:p>
      <w:pPr>
        <w:pStyle w:val="Compact"/>
        <w:numPr>
          <w:ilvl w:val="0"/>
          <w:numId w:val="1018"/>
        </w:numPr>
      </w:pPr>
      <w:r>
        <w:rPr>
          <w:b/>
        </w:rPr>
        <w:t>Contratos con proveedores.</w:t>
      </w:r>
      <w:r>
        <w:rPr/>
        <w:t xml:space="preserve"> Cuando el proveedor trate datos por cuenta de la organización, formaliza la relación en un contrato con instrucciones, finalidad limitada, medidas de seguridad, confidencialidad, aviso de vulneraciones, subcontratación solo autorizada y devolución o supresión al terminar (modelo en el documento 20).</w:t>
      </w:r>
    </w:p>
    <w:sectPr>
      <w:footerReference w:type="default" r:id="rId9"/>
      <w:pgSz w:w="12240" w:h="15840"/>
      <w:pgMar w:top="1304" w:left="1304" w:right="130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6"/>
      </w:rPr>
      <w:t xml:space="preserve">Plantilla de política de uso de IA · Página </w:t>
    </w:r>
    <w:r>
      <w:rPr>
        <w:sz w:val="16"/>
      </w:rPr>
      <w:fldChar w:fldCharType="begin"/>
      <w:instrText xml:space="preserve"> PAGE </w:instrText>
      <w:fldChar w:fldCharType="separate"/>
      <w:t>1</w:t>
      <w:fldChar w:fldCharType="end"/>
    </w:r>
    <w:r>
      <w:rPr>
        <w:sz w:val="16"/>
      </w:rPr>
      <w:t xml:space="preserve"> de </w:t>
    </w:r>
    <w:r>
      <w:rPr>
        <w:sz w:val="16"/>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política de uso de inteligencia artificial</dc:title>
  <dc:creator>Proyecto Estándares de Competencia en IA</dc:creator>
  <cp:keywords/>
  <dcterms:created xsi:type="dcterms:W3CDTF">2026-10-09T15:04:46Z</dcterms:created>
  <dcterms:modified xsi:type="dcterms:W3CDTF">2026-10-09T15:04:46Z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