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Plan de la prueba piloto</w:t>
      </w:r>
    </w:p>
    <w:p>
      <w:pPr>
        <w:pStyle w:val="FirstParagraph"/>
      </w:pPr>
      <w:r>
        <w:rPr>
          <w:b/>
        </w:rPr>
        <w:t>Validación de los instrumentos de evaluación, los cursos de alineación y el diagnóstico empresarial</w:t>
      </w:r>
    </w:p>
    <w:p>
      <w:pPr>
        <w:pStyle w:val="BodyText"/>
      </w:pPr>
      <w:r>
        <w:rPr/>
        <w:t>Versión 1.0 · Borrador · Octubre de 2026</w:t>
      </w:r>
    </w:p>
    <w:p>
      <w:pPr>
        <w:pStyle w:val="BlockText"/>
      </w:pPr>
      <w:r>
        <w:rPr/>
        <w:t xml:space="preserve">La prueba piloto es parte de los documentos de soporte que se presentan al CONOCER junto con los estándares. Sus resultados permiten ajustar los borradores antes de la aprobación. Durante la piloto </w:t>
      </w:r>
      <w:r>
        <w:rPr>
          <w:b/>
        </w:rPr>
        <w:t>no se emiten certificados</w:t>
      </w:r>
      <w:r>
        <w:rPr/>
        <w:t>: los estándares aún no están publicados.</w:t>
      </w:r>
    </w:p>
    <w:p>
      <w:pPr>
        <w:pStyle w:val="BodyText"/>
        <w:pBdr>
          <w:bottom w:val="single" w:sz="4" w:space="1" w:color="BFC0C0"/>
        </w:pBdr>
      </w:pPr>
    </w:p>
    <w:p>
      <w:pPr>
        <w:pStyle w:val="Heading2"/>
      </w:pPr>
      <w:r>
        <w:rPr/>
        <w:t>1. Objetivos</w:t>
      </w:r>
    </w:p>
    <w:p>
      <w:pPr>
        <w:pStyle w:val="Compact"/>
        <w:numPr>
          <w:ilvl w:val="0"/>
          <w:numId w:val="1009"/>
        </w:numPr>
      </w:pPr>
      <w:r>
        <w:rPr>
          <w:b/>
        </w:rPr>
        <w:t>Instrumentos de evaluación (documentos 05 a 08):</w:t>
      </w:r>
      <w:r>
        <w:rPr/>
        <w:t xml:space="preserve"> comprobar que el tiempo alcanza, que los reactivos y los criterios funcionan, que dos evaluadores llegan al mismo juicio y que las condiciones críticas son aplicables.</w:t>
      </w:r>
    </w:p>
    <w:p>
      <w:pPr>
        <w:pStyle w:val="Compact"/>
        <w:numPr>
          <w:ilvl w:val="0"/>
          <w:numId w:val="1009"/>
        </w:numPr>
      </w:pPr>
      <w:r>
        <w:rPr>
          <w:b/>
        </w:rPr>
        <w:t>Estándares (documentos 02 y 03):</w:t>
      </w:r>
      <w:r>
        <w:rPr/>
        <w:t xml:space="preserve"> detectar criterios ambiguos, redundantes o imposibles de observar.</w:t>
      </w:r>
    </w:p>
    <w:p>
      <w:pPr>
        <w:pStyle w:val="Compact"/>
        <w:numPr>
          <w:ilvl w:val="0"/>
          <w:numId w:val="1009"/>
        </w:numPr>
      </w:pPr>
      <w:r>
        <w:rPr>
          <w:b/>
        </w:rPr>
        <w:t>Cursos de alineación y guías de estudio (documentos 09 a 12):</w:t>
      </w:r>
      <w:r>
        <w:rPr/>
        <w:t xml:space="preserve"> medir si caben en el tiempo y si mejoran el desempeño en la evaluación.</w:t>
      </w:r>
    </w:p>
    <w:p>
      <w:pPr>
        <w:pStyle w:val="Compact"/>
        <w:numPr>
          <w:ilvl w:val="0"/>
          <w:numId w:val="1009"/>
        </w:numPr>
      </w:pPr>
      <w:r>
        <w:rPr>
          <w:b/>
        </w:rPr>
        <w:t>Diagnóstico empresarial (documento 13):</w:t>
      </w:r>
      <w:r>
        <w:rPr/>
        <w:t xml:space="preserve"> medir el tiempo real de cada fase y calibrar el semáforo y el índice de madurez.</w:t>
      </w:r>
    </w:p>
    <w:p>
      <w:pPr>
        <w:pStyle w:val="Heading2"/>
      </w:pPr>
      <w:r>
        <w:rPr/>
        <w:t>2. Participantes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80"/>
        <w:gridCol w:w="2491"/>
        <w:gridCol w:w="3403"/>
        <w:gridCol w:w="2856"/>
      </w:tblGrid>
      <w:tr>
        <w:trPr>
          <w:tblHeader w:val="true"/>
          <w:cantSplit/>
        </w:trPr>
        <w:tc>
          <w:tcPr>
            <w:tcW w:w="880" w:type="dxa"/>
            <w:shd w:val="clear" w:color="auto" w:fill="ECECEC"/>
          </w:tcPr>
          <w:p>
            <w:pPr>
              <w:pStyle w:val="Compact"/>
              <w:spacing w:before="20" w:after="20"/>
            </w:pPr>
            <w:r>
              <w:rPr>
                <w:b/>
                <w:sz w:val="17"/>
              </w:rPr>
              <w:t>Grupo</w:t>
            </w:r>
          </w:p>
        </w:tc>
        <w:tc>
          <w:tcPr>
            <w:tcW w:w="2491" w:type="dxa"/>
            <w:shd w:val="clear" w:color="auto" w:fill="ECECEC"/>
          </w:tcPr>
          <w:p>
            <w:pPr>
              <w:pStyle w:val="Compact"/>
              <w:spacing w:before="20" w:after="20"/>
            </w:pPr>
            <w:r>
              <w:rPr>
                <w:b/>
                <w:sz w:val="17"/>
              </w:rPr>
              <w:t>Instituciones u organizaciones</w:t>
            </w:r>
          </w:p>
        </w:tc>
        <w:tc>
          <w:tcPr>
            <w:tcW w:w="3403" w:type="dxa"/>
            <w:shd w:val="clear" w:color="auto" w:fill="ECECEC"/>
          </w:tcPr>
          <w:p>
            <w:pPr>
              <w:pStyle w:val="Compact"/>
              <w:spacing w:before="20" w:after="20"/>
            </w:pPr>
            <w:r>
              <w:rPr>
                <w:b/>
                <w:sz w:val="17"/>
              </w:rPr>
              <w:t>Personas</w:t>
            </w:r>
          </w:p>
        </w:tc>
        <w:tc>
          <w:tcPr>
            <w:tcW w:w="2856" w:type="dxa"/>
            <w:shd w:val="clear" w:color="auto" w:fill="ECECEC"/>
          </w:tcPr>
          <w:p>
            <w:pPr>
              <w:pStyle w:val="Compact"/>
              <w:spacing w:before="20" w:after="20"/>
            </w:pPr>
            <w:r>
              <w:rPr>
                <w:b/>
                <w:sz w:val="17"/>
              </w:rPr>
              <w:t>Qué se prueba</w:t>
            </w:r>
          </w:p>
        </w:tc>
      </w:tr>
      <w:tr>
        <w:tc>
          <w:tcPr>
            <w:tcW w:w="880" w:type="dxa"/>
          </w:tcPr>
          <w:p>
            <w:pPr>
              <w:pStyle w:val="Compact"/>
              <w:spacing w:before="20" w:after="20"/>
            </w:pPr>
            <w:r>
              <w:rPr>
                <w:sz w:val="17"/>
              </w:rPr>
              <w:t>Universidades</w:t>
            </w:r>
          </w:p>
        </w:tc>
        <w:tc>
          <w:tcPr>
            <w:tcW w:w="2491" w:type="dxa"/>
          </w:tcPr>
          <w:p>
            <w:pPr>
              <w:pStyle w:val="Compact"/>
              <w:spacing w:before="20" w:after="20"/>
            </w:pPr>
            <w:r>
              <w:rPr>
                <w:sz w:val="17"/>
              </w:rPr>
              <w:t>2: una universidad tecnológica o politécnica y una institución particular con RVOE</w:t>
            </w:r>
          </w:p>
        </w:tc>
        <w:tc>
          <w:tcPr>
            <w:tcW w:w="3403" w:type="dxa"/>
          </w:tcPr>
          <w:p>
            <w:pPr>
              <w:pStyle w:val="Compact"/>
              <w:spacing w:before="20" w:after="20"/>
            </w:pPr>
            <w:r>
              <w:rPr>
                <w:sz w:val="17"/>
              </w:rPr>
              <w:t>30 a 40 estudiantes de últimos semestres, mayores de edad, y 5 a 10 integrantes del personal administrativo</w:t>
            </w:r>
          </w:p>
        </w:tc>
        <w:tc>
          <w:tcPr>
            <w:tcW w:w="2856" w:type="dxa"/>
          </w:tcPr>
          <w:p>
            <w:pPr>
              <w:pStyle w:val="Compact"/>
              <w:spacing w:before="20" w:after="20"/>
            </w:pPr>
            <w:r>
              <w:rPr>
                <w:sz w:val="17"/>
              </w:rPr>
              <w:t>Curso y evaluación del EC-A</w:t>
            </w:r>
          </w:p>
        </w:tc>
      </w:tr>
      <w:tr>
        <w:tc>
          <w:tcPr>
            <w:tcW w:w="880" w:type="dxa"/>
          </w:tcPr>
          <w:p>
            <w:pPr>
              <w:pStyle w:val="Compact"/>
              <w:spacing w:before="20" w:after="20"/>
            </w:pPr>
            <w:r>
              <w:rPr>
                <w:sz w:val="17"/>
              </w:rPr>
              <w:t>Empresas</w:t>
            </w:r>
          </w:p>
        </w:tc>
        <w:tc>
          <w:tcPr>
            <w:tcW w:w="2491" w:type="dxa"/>
          </w:tcPr>
          <w:p>
            <w:pPr>
              <w:pStyle w:val="Compact"/>
              <w:spacing w:before="20" w:after="20"/>
            </w:pPr>
            <w:r>
              <w:rPr>
                <w:sz w:val="17"/>
              </w:rPr>
              <w:t>2 o 3, de distinto tamaño y sector</w:t>
            </w:r>
          </w:p>
        </w:tc>
        <w:tc>
          <w:tcPr>
            <w:tcW w:w="3403" w:type="dxa"/>
          </w:tcPr>
          <w:p>
            <w:pPr>
              <w:pStyle w:val="Compact"/>
              <w:spacing w:before="20" w:after="20"/>
            </w:pPr>
            <w:r>
              <w:rPr>
                <w:sz w:val="17"/>
              </w:rPr>
              <w:t>10 a 15 personas usuarias de IA; 8 a 12 responsables de cumplimiento, protección de datos, TI o recursos humanos</w:t>
            </w:r>
          </w:p>
        </w:tc>
        <w:tc>
          <w:tcPr>
            <w:tcW w:w="2856" w:type="dxa"/>
          </w:tcPr>
          <w:p>
            <w:pPr>
              <w:pStyle w:val="Compact"/>
              <w:spacing w:before="20" w:after="20"/>
            </w:pPr>
            <w:r>
              <w:rPr>
                <w:sz w:val="17"/>
              </w:rPr>
              <w:t>Curso y evaluación del EC-A; curso y evaluación del EC-B; diagnóstico estándar en al menos una</w:t>
            </w:r>
          </w:p>
        </w:tc>
      </w:tr>
      <w:tr>
        <w:tc>
          <w:tcPr>
            <w:tcW w:w="880" w:type="dxa"/>
          </w:tcPr>
          <w:p>
            <w:pPr>
              <w:pStyle w:val="Compact"/>
              <w:spacing w:before="20" w:after="20"/>
            </w:pPr>
            <w:r>
              <w:rPr>
                <w:sz w:val="17"/>
              </w:rPr>
              <w:t>Autodiagnóstico exprés</w:t>
            </w:r>
          </w:p>
        </w:tc>
        <w:tc>
          <w:tcPr>
            <w:tcW w:w="2491" w:type="dxa"/>
          </w:tcPr>
          <w:p>
            <w:pPr>
              <w:pStyle w:val="Compact"/>
              <w:spacing w:before="20" w:after="20"/>
            </w:pPr>
            <w:r>
              <w:rPr>
                <w:sz w:val="17"/>
              </w:rPr>
              <w:t>10 organizaciones</w:t>
            </w:r>
          </w:p>
        </w:tc>
        <w:tc>
          <w:tcPr>
            <w:tcW w:w="3403" w:type="dxa"/>
          </w:tcPr>
          <w:p>
            <w:pPr>
              <w:pStyle w:val="Compact"/>
              <w:spacing w:before="20" w:after="20"/>
            </w:pPr>
            <w:r>
              <w:rPr>
                <w:sz w:val="17"/>
              </w:rPr>
              <w:t>Una persona de la dirección por organización</w:t>
            </w:r>
          </w:p>
        </w:tc>
        <w:tc>
          <w:tcPr>
            <w:tcW w:w="2856" w:type="dxa"/>
          </w:tcPr>
          <w:p>
            <w:pPr>
              <w:pStyle w:val="Compact"/>
              <w:spacing w:before="20" w:after="20"/>
            </w:pPr>
            <w:r>
              <w:rPr>
                <w:sz w:val="17"/>
              </w:rPr>
              <w:t>Cuestionario de 20 preguntas</w:t>
            </w:r>
          </w:p>
        </w:tc>
      </w:tr>
      <w:tr>
        <w:tc>
          <w:tcPr>
            <w:tcW w:w="880" w:type="dxa"/>
          </w:tcPr>
          <w:p>
            <w:pPr>
              <w:pStyle w:val="Compact"/>
              <w:spacing w:before="20" w:after="20"/>
            </w:pPr>
            <w:r>
              <w:rPr>
                <w:sz w:val="17"/>
              </w:rPr>
              <w:t>Evaluadores</w:t>
            </w:r>
          </w:p>
        </w:tc>
        <w:tc>
          <w:tcPr>
            <w:tcW w:w="2491" w:type="dxa"/>
          </w:tcPr>
          <w:p>
            <w:pPr>
              <w:pStyle w:val="Compact"/>
              <w:spacing w:before="20" w:after="20"/>
            </w:pPr>
            <w:r>
              <w:rPr>
                <w:sz w:val="17"/>
              </w:rPr>
              <w:t>Centro de evaluación de la empresa</w:t>
            </w:r>
          </w:p>
        </w:tc>
        <w:tc>
          <w:tcPr>
            <w:tcW w:w="3403" w:type="dxa"/>
          </w:tcPr>
          <w:p>
            <w:pPr>
              <w:pStyle w:val="Compact"/>
              <w:spacing w:before="20" w:after="20"/>
            </w:pPr>
            <w:r>
              <w:rPr>
                <w:sz w:val="17"/>
              </w:rPr>
              <w:t>4 evaluadores certificados en el EC0076</w:t>
            </w:r>
          </w:p>
        </w:tc>
        <w:tc>
          <w:tcPr>
            <w:tcW w:w="2856" w:type="dxa"/>
          </w:tcPr>
          <w:p>
            <w:pPr>
              <w:pStyle w:val="Compact"/>
              <w:spacing w:before="20" w:after="20"/>
            </w:pPr>
            <w:r>
              <w:rPr>
                <w:sz w:val="17"/>
              </w:rPr>
              <w:t>Aplicación de los instrumentos y consistencia</w:t>
            </w:r>
          </w:p>
        </w:tc>
      </w:tr>
      <w:tr>
        <w:tc>
          <w:tcPr>
            <w:tcW w:w="880" w:type="dxa"/>
          </w:tcPr>
          <w:p>
            <w:pPr>
              <w:pStyle w:val="Compact"/>
              <w:spacing w:before="20" w:after="20"/>
            </w:pPr>
            <w:r>
              <w:rPr>
                <w:sz w:val="17"/>
              </w:rPr>
              <w:t>Instructores</w:t>
            </w:r>
          </w:p>
        </w:tc>
        <w:tc>
          <w:tcPr>
            <w:tcW w:w="2491" w:type="dxa"/>
          </w:tcPr>
          <w:p>
            <w:pPr>
              <w:pStyle w:val="Compact"/>
              <w:spacing w:before="20" w:after="20"/>
            </w:pPr>
            <w:r>
              <w:rPr>
                <w:sz w:val="17"/>
              </w:rPr>
              <w:t>—</w:t>
            </w:r>
          </w:p>
        </w:tc>
        <w:tc>
          <w:tcPr>
            <w:tcW w:w="3403" w:type="dxa"/>
          </w:tcPr>
          <w:p>
            <w:pPr>
              <w:pStyle w:val="Compact"/>
              <w:spacing w:before="20" w:after="20"/>
            </w:pPr>
            <w:r>
              <w:rPr>
                <w:sz w:val="17"/>
              </w:rPr>
              <w:t>2 instructores certificados en el EC0217.01</w:t>
            </w:r>
          </w:p>
        </w:tc>
        <w:tc>
          <w:tcPr>
            <w:tcW w:w="2856" w:type="dxa"/>
          </w:tcPr>
          <w:p>
            <w:pPr>
              <w:pStyle w:val="Compact"/>
              <w:spacing w:before="20" w:after="20"/>
            </w:pPr>
            <w:r>
              <w:rPr>
                <w:sz w:val="17"/>
              </w:rPr>
              <w:t>Impartición de los cursos</w:t>
            </w:r>
          </w:p>
        </w:tc>
      </w:tr>
    </w:tbl>
    <w:p>
      <w:pPr>
        <w:pStyle w:val="BodyText"/>
      </w:pPr>
    </w:p>
    <w:p>
      <w:pPr>
        <w:pStyle w:val="BodyText"/>
      </w:pPr>
      <w:r>
        <w:rPr/>
        <w:t xml:space="preserve">Para medir el efecto del curso, la mitad de los candidatos del EC-A se evalúa </w:t>
      </w:r>
      <w:r>
        <w:rPr>
          <w:b/>
        </w:rPr>
        <w:t>sin</w:t>
      </w:r>
      <w:r>
        <w:rPr/>
        <w:t xml:space="preserve"> tomar el curso (solo con la guía de estudio) y la otra mitad después del curso.</w:t>
      </w:r>
    </w:p>
    <w:p>
      <w:pPr>
        <w:pStyle w:val="Heading2"/>
      </w:pPr>
      <w:r>
        <w:rPr/>
        <w:t>3. Diseño</w:t>
      </w:r>
    </w:p>
    <w:p>
      <w:pPr>
        <w:pStyle w:val="Heading3"/>
      </w:pPr>
      <w:r>
        <w:rPr/>
        <w:t>3.1 EC-A</w:t>
      </w:r>
    </w:p>
    <w:p>
      <w:pPr>
        <w:pStyle w:val="Compact"/>
        <w:numPr>
          <w:ilvl w:val="0"/>
          <w:numId w:val="1010"/>
        </w:numPr>
      </w:pPr>
      <w:r>
        <w:rPr/>
        <w:t>Grupo 1 (con curso): curso de 8 horas y, una semana después, evaluación completa (2 h 30 min).</w:t>
      </w:r>
    </w:p>
    <w:p>
      <w:pPr>
        <w:pStyle w:val="Compact"/>
        <w:numPr>
          <w:ilvl w:val="0"/>
          <w:numId w:val="1010"/>
        </w:numPr>
      </w:pPr>
      <w:r>
        <w:rPr/>
        <w:t>Grupo 2 (sin curso): guía de estudio y evaluación completa.</w:t>
      </w:r>
    </w:p>
    <w:p>
      <w:pPr>
        <w:pStyle w:val="Compact"/>
        <w:numPr>
          <w:ilvl w:val="0"/>
          <w:numId w:val="1010"/>
        </w:numPr>
      </w:pPr>
      <w:r>
        <w:rPr/>
        <w:t>Doble calificación: al menos 10 candidatos son evaluados por dos evaluadores al mismo tiempo, de forma independiente.</w:t>
      </w:r>
    </w:p>
    <w:p>
      <w:pPr>
        <w:pStyle w:val="Compact"/>
        <w:numPr>
          <w:ilvl w:val="0"/>
          <w:numId w:val="1010"/>
        </w:numPr>
      </w:pPr>
      <w:r>
        <w:rPr/>
        <w:t>Registro del tiempo de cada parte (cuestionario, Parte A, Parte B, Parte C) por candidato.</w:t>
      </w:r>
    </w:p>
    <w:p>
      <w:pPr>
        <w:pStyle w:val="Compact"/>
        <w:numPr>
          <w:ilvl w:val="0"/>
          <w:numId w:val="1010"/>
        </w:numPr>
      </w:pPr>
      <w:r>
        <w:rPr/>
        <w:t>Versión paralela: la mitad de cada grupo resuelve la segunda versión del caso; se comparan tiempos, dificultad y juicio entre versiones.</w:t>
      </w:r>
    </w:p>
    <w:p>
      <w:pPr>
        <w:pStyle w:val="Compact"/>
        <w:numPr>
          <w:ilvl w:val="0"/>
          <w:numId w:val="1010"/>
        </w:numPr>
      </w:pPr>
      <w:r>
        <w:rPr/>
        <w:t>Evaluación a distancia: si el CONOCER lo autoriza, [5] candidatos se evalúan por videollamada con pantalla compartida y se comparan tiempos y acuerdo entre evaluadores con la modalidad presencial. Si la sesión se graba, se informa en el aviso de privacidad, se recaba la aceptación antes de iniciar y se fija el plazo de conservación.</w:t>
      </w:r>
    </w:p>
    <w:p>
      <w:pPr>
        <w:pStyle w:val="Heading3"/>
      </w:pPr>
      <w:r>
        <w:rPr/>
        <w:t>3.2 EC-B</w:t>
      </w:r>
    </w:p>
    <w:p>
      <w:pPr>
        <w:pStyle w:val="Compact"/>
        <w:numPr>
          <w:ilvl w:val="0"/>
          <w:numId w:val="1011"/>
        </w:numPr>
      </w:pPr>
      <w:r>
        <w:rPr/>
        <w:t>Curso de 20 horas para 8 a 12 participantes.</w:t>
      </w:r>
    </w:p>
    <w:p>
      <w:pPr>
        <w:pStyle w:val="Compact"/>
        <w:numPr>
          <w:ilvl w:val="0"/>
          <w:numId w:val="1011"/>
        </w:numPr>
      </w:pPr>
      <w:r>
        <w:rPr/>
        <w:t>Evaluación completa (5 horas) a todos. Si se observa que 4 horas de campo no alcanzan, se prueba con 2 o 3 candidatos una versión en dos sesiones.</w:t>
      </w:r>
    </w:p>
    <w:p>
      <w:pPr>
        <w:pStyle w:val="Compact"/>
        <w:numPr>
          <w:ilvl w:val="0"/>
          <w:numId w:val="1011"/>
        </w:numPr>
      </w:pPr>
      <w:r>
        <w:rPr/>
        <w:t>Doble calificación de al menos 4 candidatos.</w:t>
      </w:r>
    </w:p>
    <w:p>
      <w:pPr>
        <w:pStyle w:val="Compact"/>
        <w:numPr>
          <w:ilvl w:val="0"/>
          <w:numId w:val="1011"/>
        </w:numPr>
      </w:pPr>
      <w:r>
        <w:rPr/>
        <w:t>Registro del tiempo por producto.</w:t>
      </w:r>
    </w:p>
    <w:p>
      <w:pPr>
        <w:pStyle w:val="Compact"/>
        <w:numPr>
          <w:ilvl w:val="0"/>
          <w:numId w:val="1011"/>
        </w:numPr>
      </w:pPr>
      <w:r>
        <w:rPr/>
        <w:t>Versión paralela: [2 o 3] candidatos resuelven la segunda versión del caso; se comparan tiempos y juicio entre versiones.</w:t>
      </w:r>
    </w:p>
    <w:p>
      <w:pPr>
        <w:pStyle w:val="Heading3"/>
      </w:pPr>
      <w:r>
        <w:rPr/>
        <w:t>3.3 Diagnóstico</w:t>
      </w:r>
    </w:p>
    <w:p>
      <w:pPr>
        <w:pStyle w:val="Compact"/>
        <w:numPr>
          <w:ilvl w:val="0"/>
          <w:numId w:val="1012"/>
        </w:numPr>
      </w:pPr>
      <w:r>
        <w:rPr/>
        <w:t>Autodiagnóstico exprés en 10 organizaciones.</w:t>
      </w:r>
    </w:p>
    <w:p>
      <w:pPr>
        <w:pStyle w:val="Compact"/>
        <w:numPr>
          <w:ilvl w:val="0"/>
          <w:numId w:val="1012"/>
        </w:numPr>
      </w:pPr>
      <w:r>
        <w:rPr/>
        <w:t>Diagnóstico estándar completo en al menos una organización (de preferencia 2 o 3, como indica el documento 13), con registro de horas por fase.</w:t>
      </w:r>
    </w:p>
    <w:p>
      <w:pPr>
        <w:pStyle w:val="Compact"/>
        <w:numPr>
          <w:ilvl w:val="0"/>
          <w:numId w:val="1012"/>
        </w:numPr>
      </w:pPr>
      <w:r>
        <w:rPr/>
        <w:t>Revisión de la sección de obligaciones del informe por el área jurídica de la organización.</w:t>
      </w:r>
    </w:p>
    <w:p>
      <w:pPr>
        <w:pStyle w:val="Heading2"/>
      </w:pPr>
      <w:r>
        <w:rPr/>
        <w:t>4. Indicadores y criterios de decisión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384"/>
        <w:gridCol w:w="3399"/>
        <w:gridCol w:w="1920"/>
        <w:gridCol w:w="2927"/>
      </w:tblGrid>
      <w:tr>
        <w:trPr>
          <w:tblHeader w:val="true"/>
          <w:cantSplit/>
        </w:trPr>
        <w:tc>
          <w:tcPr>
            <w:tcW w:w="1384" w:type="dxa"/>
            <w:shd w:val="clear" w:color="auto" w:fill="ECECEC"/>
          </w:tcPr>
          <w:p>
            <w:pPr>
              <w:pStyle w:val="Compact"/>
              <w:spacing w:before="20" w:after="20"/>
            </w:pPr>
            <w:r>
              <w:rPr>
                <w:b/>
                <w:sz w:val="17"/>
              </w:rPr>
              <w:t>Indicador</w:t>
            </w:r>
          </w:p>
        </w:tc>
        <w:tc>
          <w:tcPr>
            <w:tcW w:w="3399" w:type="dxa"/>
            <w:shd w:val="clear" w:color="auto" w:fill="ECECEC"/>
          </w:tcPr>
          <w:p>
            <w:pPr>
              <w:pStyle w:val="Compact"/>
              <w:spacing w:before="20" w:after="20"/>
            </w:pPr>
            <w:r>
              <w:rPr>
                <w:b/>
                <w:sz w:val="17"/>
              </w:rPr>
              <w:t>Cómo se mide</w:t>
            </w:r>
          </w:p>
        </w:tc>
        <w:tc>
          <w:tcPr>
            <w:tcW w:w="1920" w:type="dxa"/>
            <w:shd w:val="clear" w:color="auto" w:fill="ECECEC"/>
          </w:tcPr>
          <w:p>
            <w:pPr>
              <w:pStyle w:val="Compact"/>
              <w:spacing w:before="20" w:after="20"/>
            </w:pPr>
            <w:r>
              <w:rPr>
                <w:b/>
                <w:sz w:val="17"/>
              </w:rPr>
              <w:t>Criterio</w:t>
            </w:r>
          </w:p>
        </w:tc>
        <w:tc>
          <w:tcPr>
            <w:tcW w:w="2927" w:type="dxa"/>
            <w:shd w:val="clear" w:color="auto" w:fill="ECECEC"/>
          </w:tcPr>
          <w:p>
            <w:pPr>
              <w:pStyle w:val="Compact"/>
              <w:spacing w:before="20" w:after="20"/>
            </w:pPr>
            <w:r>
              <w:rPr>
                <w:b/>
                <w:sz w:val="17"/>
              </w:rPr>
              <w:t>Si no se cumple</w:t>
            </w:r>
          </w:p>
        </w:tc>
      </w:tr>
      <w:tr>
        <w:tc>
          <w:tcPr>
            <w:tcW w:w="1384" w:type="dxa"/>
          </w:tcPr>
          <w:p>
            <w:pPr>
              <w:pStyle w:val="Compact"/>
              <w:spacing w:before="20" w:after="20"/>
            </w:pPr>
            <w:r>
              <w:rPr>
                <w:sz w:val="17"/>
              </w:rPr>
              <w:t>Tiempo suficiente</w:t>
            </w:r>
          </w:p>
        </w:tc>
        <w:tc>
          <w:tcPr>
            <w:tcW w:w="3399" w:type="dxa"/>
          </w:tcPr>
          <w:p>
            <w:pPr>
              <w:pStyle w:val="Compact"/>
              <w:spacing w:before="20" w:after="20"/>
            </w:pPr>
            <w:r>
              <w:rPr>
                <w:sz w:val="17"/>
              </w:rPr>
              <w:t>Proporción de candidatos que terminan cada parte en el tiempo asignado</w:t>
            </w:r>
          </w:p>
        </w:tc>
        <w:tc>
          <w:tcPr>
            <w:tcW w:w="1920" w:type="dxa"/>
          </w:tcPr>
          <w:p>
            <w:pPr>
              <w:pStyle w:val="Compact"/>
              <w:spacing w:before="20" w:after="20"/>
            </w:pPr>
            <w:r>
              <w:rPr>
                <w:sz w:val="17"/>
              </w:rPr>
              <w:t>Al menos 85%</w:t>
            </w:r>
          </w:p>
        </w:tc>
        <w:tc>
          <w:tcPr>
            <w:tcW w:w="2927" w:type="dxa"/>
          </w:tcPr>
          <w:p>
            <w:pPr>
              <w:pStyle w:val="Compact"/>
              <w:spacing w:before="20" w:after="20"/>
            </w:pPr>
            <w:r>
              <w:rPr>
                <w:sz w:val="17"/>
              </w:rPr>
              <w:t>Ajustar tiempos o reducir el alcance de un producto</w:t>
            </w:r>
          </w:p>
        </w:tc>
      </w:tr>
      <w:tr>
        <w:tc>
          <w:tcPr>
            <w:tcW w:w="1384" w:type="dxa"/>
          </w:tcPr>
          <w:p>
            <w:pPr>
              <w:pStyle w:val="Compact"/>
              <w:spacing w:before="20" w:after="20"/>
            </w:pPr>
            <w:r>
              <w:rPr>
                <w:sz w:val="17"/>
              </w:rPr>
              <w:t>Dificultad de cada reactivo del cuestionario</w:t>
            </w:r>
          </w:p>
        </w:tc>
        <w:tc>
          <w:tcPr>
            <w:tcW w:w="3399" w:type="dxa"/>
          </w:tcPr>
          <w:p>
            <w:pPr>
              <w:pStyle w:val="Compact"/>
              <w:spacing w:before="20" w:after="20"/>
            </w:pPr>
            <w:r>
              <w:rPr>
                <w:sz w:val="17"/>
              </w:rPr>
              <w:t>Proporción de aciertos</w:t>
            </w:r>
          </w:p>
        </w:tc>
        <w:tc>
          <w:tcPr>
            <w:tcW w:w="1920" w:type="dxa"/>
          </w:tcPr>
          <w:p>
            <w:pPr>
              <w:pStyle w:val="Compact"/>
              <w:spacing w:before="20" w:after="20"/>
            </w:pPr>
            <w:r>
              <w:rPr>
                <w:sz w:val="17"/>
              </w:rPr>
              <w:t>Entre 0.30 y 0.90</w:t>
            </w:r>
          </w:p>
        </w:tc>
        <w:tc>
          <w:tcPr>
            <w:tcW w:w="2927" w:type="dxa"/>
          </w:tcPr>
          <w:p>
            <w:pPr>
              <w:pStyle w:val="Compact"/>
              <w:spacing w:before="20" w:after="20"/>
            </w:pPr>
            <w:r>
              <w:rPr>
                <w:sz w:val="17"/>
              </w:rPr>
              <w:t>Revisar el reactivo: demasiado fácil, demasiado difícil o con más de una respuesta defendible</w:t>
            </w:r>
          </w:p>
        </w:tc>
      </w:tr>
      <w:tr>
        <w:tc>
          <w:tcPr>
            <w:tcW w:w="1384" w:type="dxa"/>
          </w:tcPr>
          <w:p>
            <w:pPr>
              <w:pStyle w:val="Compact"/>
              <w:spacing w:before="20" w:after="20"/>
            </w:pPr>
            <w:r>
              <w:rPr>
                <w:sz w:val="17"/>
              </w:rPr>
              <w:t>Discriminación de cada reactivo</w:t>
            </w:r>
          </w:p>
        </w:tc>
        <w:tc>
          <w:tcPr>
            <w:tcW w:w="3399" w:type="dxa"/>
          </w:tcPr>
          <w:p>
            <w:pPr>
              <w:pStyle w:val="Compact"/>
              <w:spacing w:before="20" w:after="20"/>
            </w:pPr>
            <w:r>
              <w:rPr>
                <w:sz w:val="17"/>
              </w:rPr>
              <w:t>Correlación entre el acierto y el puntaje total (punto biserial)</w:t>
            </w:r>
          </w:p>
        </w:tc>
        <w:tc>
          <w:tcPr>
            <w:tcW w:w="1920" w:type="dxa"/>
          </w:tcPr>
          <w:p>
            <w:pPr>
              <w:pStyle w:val="Compact"/>
              <w:spacing w:before="20" w:after="20"/>
            </w:pPr>
            <w:r>
              <w:rPr>
                <w:sz w:val="17"/>
              </w:rPr>
              <w:t>0.20 o más</w:t>
            </w:r>
          </w:p>
        </w:tc>
        <w:tc>
          <w:tcPr>
            <w:tcW w:w="2927" w:type="dxa"/>
          </w:tcPr>
          <w:p>
            <w:pPr>
              <w:pStyle w:val="Compact"/>
              <w:spacing w:before="20" w:after="20"/>
            </w:pPr>
            <w:r>
              <w:rPr>
                <w:sz w:val="17"/>
              </w:rPr>
              <w:t>Revisar o sustituir el reactivo</w:t>
            </w:r>
          </w:p>
        </w:tc>
      </w:tr>
      <w:tr>
        <w:tc>
          <w:tcPr>
            <w:tcW w:w="1384" w:type="dxa"/>
          </w:tcPr>
          <w:p>
            <w:pPr>
              <w:pStyle w:val="Compact"/>
              <w:spacing w:before="20" w:after="20"/>
            </w:pPr>
            <w:r>
              <w:rPr>
                <w:sz w:val="17"/>
              </w:rPr>
              <w:t>Acuerdo entre evaluadores</w:t>
            </w:r>
          </w:p>
        </w:tc>
        <w:tc>
          <w:tcPr>
            <w:tcW w:w="3399" w:type="dxa"/>
          </w:tcPr>
          <w:p>
            <w:pPr>
              <w:pStyle w:val="Compact"/>
              <w:spacing w:before="20" w:after="20"/>
            </w:pPr>
            <w:r>
              <w:rPr>
                <w:sz w:val="17"/>
              </w:rPr>
              <w:t>Porcentaje de reactivos de la guía de observación y la lista de cotejo calificados igual por dos evaluadores</w:t>
            </w:r>
          </w:p>
        </w:tc>
        <w:tc>
          <w:tcPr>
            <w:tcW w:w="1920" w:type="dxa"/>
          </w:tcPr>
          <w:p>
            <w:pPr>
              <w:pStyle w:val="Compact"/>
              <w:spacing w:before="20" w:after="20"/>
            </w:pPr>
            <w:r>
              <w:rPr>
                <w:sz w:val="17"/>
              </w:rPr>
              <w:t>90% o más por candidato</w:t>
            </w:r>
          </w:p>
        </w:tc>
        <w:tc>
          <w:tcPr>
            <w:tcW w:w="2927" w:type="dxa"/>
          </w:tcPr>
          <w:p>
            <w:pPr>
              <w:pStyle w:val="Compact"/>
              <w:spacing w:before="20" w:after="20"/>
            </w:pPr>
            <w:r>
              <w:rPr>
                <w:sz w:val="17"/>
              </w:rPr>
              <w:t>Precisar el criterio y la clave; capacitar a los evaluadores</w:t>
            </w:r>
          </w:p>
        </w:tc>
      </w:tr>
      <w:tr>
        <w:tc>
          <w:tcPr>
            <w:tcW w:w="1384" w:type="dxa"/>
          </w:tcPr>
          <w:p>
            <w:pPr>
              <w:pStyle w:val="Compact"/>
              <w:spacing w:before="20" w:after="20"/>
            </w:pPr>
            <w:r>
              <w:rPr>
                <w:sz w:val="17"/>
              </w:rPr>
              <w:t>Acuerdo en el juicio</w:t>
            </w:r>
          </w:p>
        </w:tc>
        <w:tc>
          <w:tcPr>
            <w:tcW w:w="3399" w:type="dxa"/>
          </w:tcPr>
          <w:p>
            <w:pPr>
              <w:pStyle w:val="Compact"/>
              <w:spacing w:before="20" w:after="20"/>
            </w:pPr>
            <w:r>
              <w:rPr>
                <w:sz w:val="17"/>
              </w:rPr>
              <w:t>Mismo juicio (competente o todavía no competente) de los dos evaluadores</w:t>
            </w:r>
          </w:p>
        </w:tc>
        <w:tc>
          <w:tcPr>
            <w:tcW w:w="1920" w:type="dxa"/>
          </w:tcPr>
          <w:p>
            <w:pPr>
              <w:pStyle w:val="Compact"/>
              <w:spacing w:before="20" w:after="20"/>
            </w:pPr>
            <w:r>
              <w:rPr>
                <w:sz w:val="17"/>
              </w:rPr>
              <w:t>100% de los casos con doble calificación</w:t>
            </w:r>
          </w:p>
        </w:tc>
        <w:tc>
          <w:tcPr>
            <w:tcW w:w="2927" w:type="dxa"/>
          </w:tcPr>
          <w:p>
            <w:pPr>
              <w:pStyle w:val="Compact"/>
              <w:spacing w:before="20" w:after="20"/>
            </w:pPr>
            <w:r>
              <w:rPr>
                <w:sz w:val="17"/>
              </w:rPr>
              <w:t>Revisar las reglas de juicio</w:t>
            </w:r>
          </w:p>
        </w:tc>
      </w:tr>
      <w:tr>
        <w:tc>
          <w:tcPr>
            <w:tcW w:w="1384" w:type="dxa"/>
          </w:tcPr>
          <w:p>
            <w:pPr>
              <w:pStyle w:val="Compact"/>
              <w:spacing w:before="20" w:after="20"/>
            </w:pPr>
            <w:r>
              <w:rPr>
                <w:sz w:val="17"/>
              </w:rPr>
              <w:t>Umbral del cuestionario</w:t>
            </w:r>
          </w:p>
        </w:tc>
        <w:tc>
          <w:tcPr>
            <w:tcW w:w="3399" w:type="dxa"/>
          </w:tcPr>
          <w:p>
            <w:pPr>
              <w:pStyle w:val="Compact"/>
              <w:spacing w:before="20" w:after="20"/>
            </w:pPr>
            <w:r>
              <w:rPr>
                <w:sz w:val="17"/>
              </w:rPr>
              <w:t>Comparar el puntaje de quienes cumplen todos los desempeños y productos con el de quienes no</w:t>
            </w:r>
          </w:p>
        </w:tc>
        <w:tc>
          <w:tcPr>
            <w:tcW w:w="1920" w:type="dxa"/>
          </w:tcPr>
          <w:p>
            <w:pPr>
              <w:pStyle w:val="Compact"/>
              <w:spacing w:before="20" w:after="20"/>
            </w:pPr>
            <w:r>
              <w:rPr>
                <w:sz w:val="17"/>
              </w:rPr>
              <w:t>El umbral (20 de 24 y 23 de 28) separa ambos grupos</w:t>
            </w:r>
          </w:p>
        </w:tc>
        <w:tc>
          <w:tcPr>
            <w:tcW w:w="2927" w:type="dxa"/>
          </w:tcPr>
          <w:p>
            <w:pPr>
              <w:pStyle w:val="Compact"/>
              <w:spacing w:before="20" w:after="20"/>
            </w:pPr>
            <w:r>
              <w:rPr>
                <w:sz w:val="17"/>
              </w:rPr>
              <w:t>Ajustar el umbral y consultarlo con el CONOCER</w:t>
            </w:r>
          </w:p>
        </w:tc>
      </w:tr>
      <w:tr>
        <w:tc>
          <w:tcPr>
            <w:tcW w:w="1384" w:type="dxa"/>
          </w:tcPr>
          <w:p>
            <w:pPr>
              <w:pStyle w:val="Compact"/>
              <w:spacing w:before="20" w:after="20"/>
            </w:pPr>
            <w:r>
              <w:rPr>
                <w:sz w:val="17"/>
              </w:rPr>
              <w:t>Condición crítica</w:t>
            </w:r>
          </w:p>
        </w:tc>
        <w:tc>
          <w:tcPr>
            <w:tcW w:w="3399" w:type="dxa"/>
          </w:tcPr>
          <w:p>
            <w:pPr>
              <w:pStyle w:val="Compact"/>
              <w:spacing w:before="20" w:after="20"/>
            </w:pPr>
            <w:r>
              <w:rPr>
                <w:sz w:val="17"/>
              </w:rPr>
              <w:t>Casos en que se activó y si el juicio fue el esperado</w:t>
            </w:r>
          </w:p>
        </w:tc>
        <w:tc>
          <w:tcPr>
            <w:tcW w:w="1920" w:type="dxa"/>
          </w:tcPr>
          <w:p>
            <w:pPr>
              <w:pStyle w:val="Compact"/>
              <w:spacing w:before="20" w:after="20"/>
            </w:pPr>
            <w:r>
              <w:rPr>
                <w:sz w:val="17"/>
              </w:rPr>
              <w:t>Se aplica sin ambigüedad</w:t>
            </w:r>
          </w:p>
        </w:tc>
        <w:tc>
          <w:tcPr>
            <w:tcW w:w="2927" w:type="dxa"/>
          </w:tcPr>
          <w:p>
            <w:pPr>
              <w:pStyle w:val="Compact"/>
              <w:spacing w:before="20" w:after="20"/>
            </w:pPr>
            <w:r>
              <w:rPr>
                <w:sz w:val="17"/>
              </w:rPr>
              <w:t>Redactar la condición con más precisión</w:t>
            </w:r>
          </w:p>
        </w:tc>
      </w:tr>
      <w:tr>
        <w:tc>
          <w:tcPr>
            <w:tcW w:w="1384" w:type="dxa"/>
          </w:tcPr>
          <w:p>
            <w:pPr>
              <w:pStyle w:val="Compact"/>
              <w:spacing w:before="20" w:after="20"/>
            </w:pPr>
            <w:r>
              <w:rPr>
                <w:sz w:val="17"/>
              </w:rPr>
              <w:t>Efecto del curso</w:t>
            </w:r>
          </w:p>
        </w:tc>
        <w:tc>
          <w:tcPr>
            <w:tcW w:w="3399" w:type="dxa"/>
          </w:tcPr>
          <w:p>
            <w:pPr>
              <w:pStyle w:val="Compact"/>
              <w:spacing w:before="20" w:after="20"/>
            </w:pPr>
            <w:r>
              <w:rPr>
                <w:sz w:val="17"/>
              </w:rPr>
              <w:t>Diferencia en la proporción de "competente" entre el grupo con curso y el grupo sin curso</w:t>
            </w:r>
          </w:p>
        </w:tc>
        <w:tc>
          <w:tcPr>
            <w:tcW w:w="1920" w:type="dxa"/>
          </w:tcPr>
          <w:p>
            <w:pPr>
              <w:pStyle w:val="Compact"/>
              <w:spacing w:before="20" w:after="20"/>
            </w:pPr>
            <w:r>
              <w:rPr>
                <w:sz w:val="17"/>
              </w:rPr>
              <w:t>Diferencia a favor del curso</w:t>
            </w:r>
          </w:p>
        </w:tc>
        <w:tc>
          <w:tcPr>
            <w:tcW w:w="2927" w:type="dxa"/>
          </w:tcPr>
          <w:p>
            <w:pPr>
              <w:pStyle w:val="Compact"/>
              <w:spacing w:before="20" w:after="20"/>
            </w:pPr>
            <w:r>
              <w:rPr>
                <w:sz w:val="17"/>
              </w:rPr>
              <w:t>Revisar los ejercicios y el tiempo del curso</w:t>
            </w:r>
          </w:p>
        </w:tc>
      </w:tr>
      <w:tr>
        <w:tc>
          <w:tcPr>
            <w:tcW w:w="1384" w:type="dxa"/>
          </w:tcPr>
          <w:p>
            <w:pPr>
              <w:pStyle w:val="Compact"/>
              <w:spacing w:before="20" w:after="20"/>
            </w:pPr>
            <w:r>
              <w:rPr>
                <w:sz w:val="17"/>
              </w:rPr>
              <w:t>Satisfacción</w:t>
            </w:r>
          </w:p>
        </w:tc>
        <w:tc>
          <w:tcPr>
            <w:tcW w:w="3399" w:type="dxa"/>
          </w:tcPr>
          <w:p>
            <w:pPr>
              <w:pStyle w:val="Compact"/>
              <w:spacing w:before="20" w:after="20"/>
            </w:pPr>
            <w:r>
              <w:rPr>
                <w:sz w:val="17"/>
              </w:rPr>
              <w:t>Encuesta de cinco preguntas, escala de 1 a 5</w:t>
            </w:r>
          </w:p>
        </w:tc>
        <w:tc>
          <w:tcPr>
            <w:tcW w:w="1920" w:type="dxa"/>
          </w:tcPr>
          <w:p>
            <w:pPr>
              <w:pStyle w:val="Compact"/>
              <w:spacing w:before="20" w:after="20"/>
            </w:pPr>
            <w:r>
              <w:rPr>
                <w:sz w:val="17"/>
              </w:rPr>
              <w:t>Promedio de 4 o más</w:t>
            </w:r>
          </w:p>
        </w:tc>
        <w:tc>
          <w:tcPr>
            <w:tcW w:w="2927" w:type="dxa"/>
          </w:tcPr>
          <w:p>
            <w:pPr>
              <w:pStyle w:val="Compact"/>
              <w:spacing w:before="20" w:after="20"/>
            </w:pPr>
            <w:r>
              <w:rPr>
                <w:sz w:val="17"/>
              </w:rPr>
              <w:t>Ajustar materiales e impartición</w:t>
            </w:r>
          </w:p>
        </w:tc>
      </w:tr>
      <w:tr>
        <w:tc>
          <w:tcPr>
            <w:tcW w:w="1384" w:type="dxa"/>
          </w:tcPr>
          <w:p>
            <w:pPr>
              <w:pStyle w:val="Compact"/>
              <w:spacing w:before="20" w:after="20"/>
            </w:pPr>
            <w:r>
              <w:rPr>
                <w:sz w:val="17"/>
              </w:rPr>
              <w:t>Claridad del estándar</w:t>
            </w:r>
          </w:p>
        </w:tc>
        <w:tc>
          <w:tcPr>
            <w:tcW w:w="3399" w:type="dxa"/>
          </w:tcPr>
          <w:p>
            <w:pPr>
              <w:pStyle w:val="Compact"/>
              <w:spacing w:before="20" w:after="20"/>
            </w:pPr>
            <w:r>
              <w:rPr>
                <w:sz w:val="17"/>
              </w:rPr>
              <w:t>Comentarios de evaluadores y del grupo técnico sobre cada criterio</w:t>
            </w:r>
          </w:p>
        </w:tc>
        <w:tc>
          <w:tcPr>
            <w:tcW w:w="1920" w:type="dxa"/>
          </w:tcPr>
          <w:p>
            <w:pPr>
              <w:pStyle w:val="Compact"/>
              <w:spacing w:before="20" w:after="20"/>
            </w:pPr>
            <w:r>
              <w:rPr>
                <w:sz w:val="17"/>
              </w:rPr>
              <w:t>Ningún criterio señalado como ambiguo por más de un evaluador</w:t>
            </w:r>
          </w:p>
        </w:tc>
        <w:tc>
          <w:tcPr>
            <w:tcW w:w="2927" w:type="dxa"/>
          </w:tcPr>
          <w:p>
            <w:pPr>
              <w:pStyle w:val="Compact"/>
              <w:spacing w:before="20" w:after="20"/>
            </w:pPr>
            <w:r>
              <w:rPr>
                <w:sz w:val="17"/>
              </w:rPr>
              <w:t>Reformular el criterio</w:t>
            </w:r>
          </w:p>
        </w:tc>
      </w:tr>
    </w:tbl>
    <w:p>
      <w:pPr>
        <w:pStyle w:val="BodyText"/>
      </w:pPr>
    </w:p>
    <w:p>
      <w:pPr>
        <w:pStyle w:val="BodyText"/>
      </w:pPr>
      <w:r>
        <w:rPr/>
        <w:t>Los criterios numéricos son una propuesta para validar con el CONOCER y con el grupo técnico.</w:t>
      </w:r>
    </w:p>
    <w:p>
      <w:pPr>
        <w:pStyle w:val="Heading2"/>
      </w:pPr>
      <w:r>
        <w:rPr/>
        <w:t>5. Calendario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60"/>
        <w:gridCol w:w="8771"/>
      </w:tblGrid>
      <w:tr>
        <w:trPr>
          <w:tblHeader w:val="true"/>
          <w:cantSplit/>
        </w:trPr>
        <w:tc>
          <w:tcPr>
            <w:tcW w:w="860" w:type="dxa"/>
            <w:shd w:val="clear" w:color="auto" w:fill="ECECEC"/>
          </w:tcPr>
          <w:p>
            <w:pPr>
              <w:pStyle w:val="Compact"/>
              <w:spacing w:before="20" w:after="20"/>
            </w:pPr>
            <w:r>
              <w:rPr>
                <w:b/>
                <w:sz w:val="17"/>
              </w:rPr>
              <w:t>Semana</w:t>
            </w:r>
          </w:p>
        </w:tc>
        <w:tc>
          <w:tcPr>
            <w:tcW w:w="8771" w:type="dxa"/>
            <w:shd w:val="clear" w:color="auto" w:fill="ECECEC"/>
          </w:tcPr>
          <w:p>
            <w:pPr>
              <w:pStyle w:val="Compact"/>
              <w:spacing w:before="20" w:after="20"/>
            </w:pPr>
            <w:r>
              <w:rPr>
                <w:b/>
                <w:sz w:val="17"/>
              </w:rPr>
              <w:t>Actividad</w:t>
            </w:r>
          </w:p>
        </w:tc>
      </w:tr>
      <w:tr>
        <w:tc>
          <w:tcPr>
            <w:tcW w:w="860" w:type="dxa"/>
          </w:tcPr>
          <w:p>
            <w:pPr>
              <w:pStyle w:val="Compact"/>
              <w:spacing w:before="20" w:after="20"/>
            </w:pPr>
            <w:r>
              <w:rPr>
                <w:sz w:val="17"/>
              </w:rPr>
              <w:t>1 a 2</w:t>
            </w:r>
          </w:p>
        </w:tc>
        <w:tc>
          <w:tcPr>
            <w:tcW w:w="8771" w:type="dxa"/>
          </w:tcPr>
          <w:p>
            <w:pPr>
              <w:pStyle w:val="Compact"/>
              <w:spacing w:before="20" w:after="20"/>
            </w:pPr>
            <w:r>
              <w:rPr>
                <w:sz w:val="17"/>
              </w:rPr>
              <w:t>Convenios con las instituciones y empresas piloto; selección de participantes; consentimientos; capacitación de evaluadores en los instrumentos</w:t>
            </w:r>
          </w:p>
        </w:tc>
      </w:tr>
      <w:tr>
        <w:tc>
          <w:tcPr>
            <w:tcW w:w="860" w:type="dxa"/>
          </w:tcPr>
          <w:p>
            <w:pPr>
              <w:pStyle w:val="Compact"/>
              <w:spacing w:before="20" w:after="20"/>
            </w:pPr>
            <w:r>
              <w:rPr>
                <w:sz w:val="17"/>
              </w:rPr>
              <w:t>3 a 4</w:t>
            </w:r>
          </w:p>
        </w:tc>
        <w:tc>
          <w:tcPr>
            <w:tcW w:w="8771" w:type="dxa"/>
          </w:tcPr>
          <w:p>
            <w:pPr>
              <w:pStyle w:val="Compact"/>
              <w:spacing w:before="20" w:after="20"/>
            </w:pPr>
            <w:r>
              <w:rPr>
                <w:sz w:val="17"/>
              </w:rPr>
              <w:t>Autodiagnóstico exprés; diagnóstico estándar (10 días hábiles)</w:t>
            </w:r>
          </w:p>
        </w:tc>
      </w:tr>
      <w:tr>
        <w:tc>
          <w:tcPr>
            <w:tcW w:w="860" w:type="dxa"/>
          </w:tcPr>
          <w:p>
            <w:pPr>
              <w:pStyle w:val="Compact"/>
              <w:spacing w:before="20" w:after="20"/>
            </w:pPr>
            <w:r>
              <w:rPr>
                <w:sz w:val="17"/>
              </w:rPr>
              <w:t>4</w:t>
            </w:r>
          </w:p>
        </w:tc>
        <w:tc>
          <w:tcPr>
            <w:tcW w:w="8771" w:type="dxa"/>
          </w:tcPr>
          <w:p>
            <w:pPr>
              <w:pStyle w:val="Compact"/>
              <w:spacing w:before="20" w:after="20"/>
            </w:pPr>
            <w:r>
              <w:rPr>
                <w:sz w:val="17"/>
              </w:rPr>
              <w:t>Curso del EC-A (grupo 1) en universidades y empresas; entrega de la guía de estudio al grupo 2</w:t>
            </w:r>
          </w:p>
        </w:tc>
      </w:tr>
      <w:tr>
        <w:tc>
          <w:tcPr>
            <w:tcW w:w="860" w:type="dxa"/>
          </w:tcPr>
          <w:p>
            <w:pPr>
              <w:pStyle w:val="Compact"/>
              <w:spacing w:before="20" w:after="20"/>
            </w:pPr>
            <w:r>
              <w:rPr>
                <w:sz w:val="17"/>
              </w:rPr>
              <w:t>5</w:t>
            </w:r>
          </w:p>
        </w:tc>
        <w:tc>
          <w:tcPr>
            <w:tcW w:w="8771" w:type="dxa"/>
          </w:tcPr>
          <w:p>
            <w:pPr>
              <w:pStyle w:val="Compact"/>
              <w:spacing w:before="20" w:after="20"/>
            </w:pPr>
            <w:r>
              <w:rPr>
                <w:sz w:val="17"/>
              </w:rPr>
              <w:t>Evaluaciones del EC-A (ambos grupos), con doble calificación</w:t>
            </w:r>
          </w:p>
        </w:tc>
      </w:tr>
      <w:tr>
        <w:tc>
          <w:tcPr>
            <w:tcW w:w="860" w:type="dxa"/>
          </w:tcPr>
          <w:p>
            <w:pPr>
              <w:pStyle w:val="Compact"/>
              <w:spacing w:before="20" w:after="20"/>
            </w:pPr>
            <w:r>
              <w:rPr>
                <w:sz w:val="17"/>
              </w:rPr>
              <w:t>4 a 6</w:t>
            </w:r>
          </w:p>
        </w:tc>
        <w:tc>
          <w:tcPr>
            <w:tcW w:w="8771" w:type="dxa"/>
          </w:tcPr>
          <w:p>
            <w:pPr>
              <w:pStyle w:val="Compact"/>
              <w:spacing w:before="20" w:after="20"/>
            </w:pPr>
            <w:r>
              <w:rPr>
                <w:sz w:val="17"/>
              </w:rPr>
              <w:t>Curso del EC-B (cinco sesiones)</w:t>
            </w:r>
          </w:p>
        </w:tc>
      </w:tr>
      <w:tr>
        <w:tc>
          <w:tcPr>
            <w:tcW w:w="860" w:type="dxa"/>
          </w:tcPr>
          <w:p>
            <w:pPr>
              <w:pStyle w:val="Compact"/>
              <w:spacing w:before="20" w:after="20"/>
            </w:pPr>
            <w:r>
              <w:rPr>
                <w:sz w:val="17"/>
              </w:rPr>
              <w:t>7</w:t>
            </w:r>
          </w:p>
        </w:tc>
        <w:tc>
          <w:tcPr>
            <w:tcW w:w="8771" w:type="dxa"/>
          </w:tcPr>
          <w:p>
            <w:pPr>
              <w:pStyle w:val="Compact"/>
              <w:spacing w:before="20" w:after="20"/>
            </w:pPr>
            <w:r>
              <w:rPr>
                <w:sz w:val="17"/>
              </w:rPr>
              <w:t>Evaluaciones del EC-B, con doble calificación</w:t>
            </w:r>
          </w:p>
        </w:tc>
      </w:tr>
      <w:tr>
        <w:tc>
          <w:tcPr>
            <w:tcW w:w="860" w:type="dxa"/>
          </w:tcPr>
          <w:p>
            <w:pPr>
              <w:pStyle w:val="Compact"/>
              <w:spacing w:before="20" w:after="20"/>
            </w:pPr>
            <w:r>
              <w:rPr>
                <w:sz w:val="17"/>
              </w:rPr>
              <w:t>8 a 9</w:t>
            </w:r>
          </w:p>
        </w:tc>
        <w:tc>
          <w:tcPr>
            <w:tcW w:w="8771" w:type="dxa"/>
          </w:tcPr>
          <w:p>
            <w:pPr>
              <w:pStyle w:val="Compact"/>
              <w:spacing w:before="20" w:after="20"/>
            </w:pPr>
            <w:r>
              <w:rPr>
                <w:sz w:val="17"/>
              </w:rPr>
              <w:t>Análisis de resultados; sesión del grupo técnico para ajustes</w:t>
            </w:r>
          </w:p>
        </w:tc>
      </w:tr>
      <w:tr>
        <w:tc>
          <w:tcPr>
            <w:tcW w:w="860" w:type="dxa"/>
          </w:tcPr>
          <w:p>
            <w:pPr>
              <w:pStyle w:val="Compact"/>
              <w:spacing w:before="20" w:after="20"/>
            </w:pPr>
            <w:r>
              <w:rPr>
                <w:sz w:val="17"/>
              </w:rPr>
              <w:t>10</w:t>
            </w:r>
          </w:p>
        </w:tc>
        <w:tc>
          <w:tcPr>
            <w:tcW w:w="8771" w:type="dxa"/>
          </w:tcPr>
          <w:p>
            <w:pPr>
              <w:pStyle w:val="Compact"/>
              <w:spacing w:before="20" w:after="20"/>
            </w:pPr>
            <w:r>
              <w:rPr>
                <w:sz w:val="17"/>
              </w:rPr>
              <w:t>Informe de resultados; versión 1.1 de los documentos</w:t>
            </w:r>
          </w:p>
        </w:tc>
      </w:tr>
    </w:tbl>
    <w:p>
      <w:pPr>
        <w:pStyle w:val="BodyText"/>
      </w:pPr>
    </w:p>
    <w:p>
      <w:pPr>
        <w:pStyle w:val="Heading2"/>
      </w:pPr>
      <w:r>
        <w:rPr/>
        <w:t>6. Ética y protección de datos</w:t>
      </w:r>
    </w:p>
    <w:p>
      <w:pPr>
        <w:pStyle w:val="Compact"/>
        <w:numPr>
          <w:ilvl w:val="0"/>
          <w:numId w:val="1013"/>
        </w:numPr>
      </w:pPr>
      <w:r>
        <w:rPr>
          <w:b/>
        </w:rPr>
        <w:t>Participación voluntaria</w:t>
      </w:r>
      <w:r>
        <w:rPr/>
        <w:t xml:space="preserve"> con consentimiento informado por escrito (Anexo 1). La participación o el resultado no afectan calificaciones, empleo ni evaluaciones de desempeño. Las instituciones y empresas piloto no reciben la lista de quienes no aceptaron participar.</w:t>
      </w:r>
    </w:p>
    <w:p>
      <w:pPr>
        <w:pStyle w:val="Compact"/>
        <w:numPr>
          <w:ilvl w:val="0"/>
          <w:numId w:val="1013"/>
        </w:numPr>
      </w:pPr>
      <w:r>
        <w:rPr>
          <w:b/>
        </w:rPr>
        <w:t>Datos ficticios</w:t>
      </w:r>
      <w:r>
        <w:rPr/>
        <w:t xml:space="preserve"> en todos los casos y ejercicios. En la piloto empresarial del EC-A se usan los casos del instrumento, nunca información real de la organización.</w:t>
      </w:r>
    </w:p>
    <w:p>
      <w:pPr>
        <w:pStyle w:val="Compact"/>
        <w:numPr>
          <w:ilvl w:val="0"/>
          <w:numId w:val="1013"/>
        </w:numPr>
      </w:pPr>
      <w:r>
        <w:rPr>
          <w:b/>
        </w:rPr>
        <w:t>Resultados individuales confidenciales.</w:t>
      </w:r>
      <w:r>
        <w:rPr/>
        <w:t xml:space="preserve"> A las instituciones y empresas solo se entregan resultados agregados, salvo autorización de cada participante.</w:t>
      </w:r>
    </w:p>
    <w:p>
      <w:pPr>
        <w:pStyle w:val="Compact"/>
        <w:numPr>
          <w:ilvl w:val="0"/>
          <w:numId w:val="1013"/>
        </w:numPr>
      </w:pPr>
      <w:r>
        <w:rPr>
          <w:b/>
        </w:rPr>
        <w:t>Datos personales mínimos:</w:t>
      </w:r>
      <w:r>
        <w:rPr/>
        <w:t xml:space="preserve"> nombre, correo, perfil (estudiante, personal administrativo, responsable de área) y resultados. Se tratan conforme al aviso de privacidad de la empresa (documento 19), que se entrega antes del registro, y se eliminan [seis meses] después del informe, salvo los datos agregados. Con personas menores de edad no se aplica la piloto sin el consentimiento de su madre, padre o tutor.</w:t>
      </w:r>
    </w:p>
    <w:p>
      <w:pPr>
        <w:pStyle w:val="Compact"/>
        <w:numPr>
          <w:ilvl w:val="0"/>
          <w:numId w:val="1013"/>
        </w:numPr>
      </w:pPr>
      <w:r>
        <w:rPr>
          <w:b/>
        </w:rPr>
        <w:t>Constancia de participación</w:t>
      </w:r>
      <w:r>
        <w:rPr/>
        <w:t xml:space="preserve"> para quienes concluyan, sin valor de certificado.</w:t>
      </w:r>
    </w:p>
    <w:p>
      <w:pPr>
        <w:pStyle w:val="Compact"/>
        <w:numPr>
          <w:ilvl w:val="0"/>
          <w:numId w:val="1013"/>
        </w:numPr>
      </w:pPr>
      <w:r>
        <w:rPr>
          <w:b/>
        </w:rPr>
        <w:t>Diagnóstico:</w:t>
      </w:r>
      <w:r>
        <w:rPr/>
        <w:t xml:space="preserve"> se aplica la sección 10 del documento 13 (confidencialidad y tratamiento de datos).</w:t>
      </w:r>
    </w:p>
    <w:p>
      <w:pPr>
        <w:pStyle w:val="Heading2"/>
      </w:pPr>
      <w:r>
        <w:rPr/>
        <w:t>7. Registros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029"/>
        <w:gridCol w:w="1708"/>
        <w:gridCol w:w="4893"/>
      </w:tblGrid>
      <w:tr>
        <w:trPr>
          <w:tblHeader w:val="true"/>
          <w:cantSplit/>
        </w:trPr>
        <w:tc>
          <w:tcPr>
            <w:tcW w:w="3029" w:type="dxa"/>
            <w:shd w:val="clear" w:color="auto" w:fill="ECECEC"/>
          </w:tcPr>
          <w:p>
            <w:pPr>
              <w:pStyle w:val="Compact"/>
              <w:spacing w:before="20" w:after="20"/>
            </w:pPr>
            <w:r>
              <w:rPr>
                <w:b/>
                <w:sz w:val="17"/>
              </w:rPr>
              <w:t>Registro</w:t>
            </w:r>
          </w:p>
        </w:tc>
        <w:tc>
          <w:tcPr>
            <w:tcW w:w="1708" w:type="dxa"/>
            <w:shd w:val="clear" w:color="auto" w:fill="ECECEC"/>
          </w:tcPr>
          <w:p>
            <w:pPr>
              <w:pStyle w:val="Compact"/>
              <w:spacing w:before="20" w:after="20"/>
            </w:pPr>
            <w:r>
              <w:rPr>
                <w:b/>
                <w:sz w:val="17"/>
              </w:rPr>
              <w:t>Quién lo llena</w:t>
            </w:r>
          </w:p>
        </w:tc>
        <w:tc>
          <w:tcPr>
            <w:tcW w:w="4893" w:type="dxa"/>
            <w:shd w:val="clear" w:color="auto" w:fill="ECECEC"/>
          </w:tcPr>
          <w:p>
            <w:pPr>
              <w:pStyle w:val="Compact"/>
              <w:spacing w:before="20" w:after="20"/>
            </w:pPr>
            <w:r>
              <w:rPr>
                <w:b/>
                <w:sz w:val="17"/>
              </w:rPr>
              <w:t>Contenido</w:t>
            </w:r>
          </w:p>
        </w:tc>
      </w:tr>
      <w:tr>
        <w:tc>
          <w:tcPr>
            <w:tcW w:w="3029" w:type="dxa"/>
          </w:tcPr>
          <w:p>
            <w:pPr>
              <w:pStyle w:val="Compact"/>
              <w:spacing w:before="20" w:after="20"/>
            </w:pPr>
            <w:r>
              <w:rPr>
                <w:sz w:val="17"/>
              </w:rPr>
              <w:t>Bitácora de tiempos</w:t>
            </w:r>
          </w:p>
        </w:tc>
        <w:tc>
          <w:tcPr>
            <w:tcW w:w="1708" w:type="dxa"/>
          </w:tcPr>
          <w:p>
            <w:pPr>
              <w:pStyle w:val="Compact"/>
              <w:spacing w:before="20" w:after="20"/>
            </w:pPr>
            <w:r>
              <w:rPr>
                <w:sz w:val="17"/>
              </w:rPr>
              <w:t>Evaluador</w:t>
            </w:r>
          </w:p>
        </w:tc>
        <w:tc>
          <w:tcPr>
            <w:tcW w:w="4893" w:type="dxa"/>
          </w:tcPr>
          <w:p>
            <w:pPr>
              <w:pStyle w:val="Compact"/>
              <w:spacing w:before="20" w:after="20"/>
            </w:pPr>
            <w:r>
              <w:rPr>
                <w:sz w:val="17"/>
              </w:rPr>
              <w:t>Hora de inicio y fin de cada parte por candidato</w:t>
            </w:r>
          </w:p>
        </w:tc>
      </w:tr>
      <w:tr>
        <w:tc>
          <w:tcPr>
            <w:tcW w:w="3029" w:type="dxa"/>
          </w:tcPr>
          <w:p>
            <w:pPr>
              <w:pStyle w:val="Compact"/>
              <w:spacing w:before="20" w:after="20"/>
            </w:pPr>
            <w:r>
              <w:rPr>
                <w:sz w:val="17"/>
              </w:rPr>
              <w:t>Guías de observación y listas de cotejo</w:t>
            </w:r>
          </w:p>
        </w:tc>
        <w:tc>
          <w:tcPr>
            <w:tcW w:w="1708" w:type="dxa"/>
          </w:tcPr>
          <w:p>
            <w:pPr>
              <w:pStyle w:val="Compact"/>
              <w:spacing w:before="20" w:after="20"/>
            </w:pPr>
            <w:r>
              <w:rPr>
                <w:sz w:val="17"/>
              </w:rPr>
              <w:t>Evaluadores</w:t>
            </w:r>
          </w:p>
        </w:tc>
        <w:tc>
          <w:tcPr>
            <w:tcW w:w="4893" w:type="dxa"/>
          </w:tcPr>
          <w:p>
            <w:pPr>
              <w:pStyle w:val="Compact"/>
              <w:spacing w:before="20" w:after="20"/>
            </w:pPr>
            <w:r>
              <w:rPr>
                <w:sz w:val="17"/>
              </w:rPr>
              <w:t>Calificación independiente de cada reactivo</w:t>
            </w:r>
          </w:p>
        </w:tc>
      </w:tr>
      <w:tr>
        <w:tc>
          <w:tcPr>
            <w:tcW w:w="3029" w:type="dxa"/>
          </w:tcPr>
          <w:p>
            <w:pPr>
              <w:pStyle w:val="Compact"/>
              <w:spacing w:before="20" w:after="20"/>
            </w:pPr>
            <w:r>
              <w:rPr>
                <w:sz w:val="17"/>
              </w:rPr>
              <w:t>Hoja de respuestas del cuestionario</w:t>
            </w:r>
          </w:p>
        </w:tc>
        <w:tc>
          <w:tcPr>
            <w:tcW w:w="1708" w:type="dxa"/>
          </w:tcPr>
          <w:p>
            <w:pPr>
              <w:pStyle w:val="Compact"/>
              <w:spacing w:before="20" w:after="20"/>
            </w:pPr>
            <w:r>
              <w:rPr>
                <w:sz w:val="17"/>
              </w:rPr>
              <w:t>Candidato</w:t>
            </w:r>
          </w:p>
        </w:tc>
        <w:tc>
          <w:tcPr>
            <w:tcW w:w="4893" w:type="dxa"/>
          </w:tcPr>
          <w:p>
            <w:pPr>
              <w:pStyle w:val="Compact"/>
              <w:spacing w:before="20" w:after="20"/>
            </w:pPr>
            <w:r>
              <w:rPr>
                <w:sz w:val="17"/>
              </w:rPr>
              <w:t>Respuestas para el análisis de reactivos</w:t>
            </w:r>
          </w:p>
        </w:tc>
      </w:tr>
      <w:tr>
        <w:tc>
          <w:tcPr>
            <w:tcW w:w="3029" w:type="dxa"/>
          </w:tcPr>
          <w:p>
            <w:pPr>
              <w:pStyle w:val="Compact"/>
              <w:spacing w:before="20" w:after="20"/>
            </w:pPr>
            <w:r>
              <w:rPr>
                <w:sz w:val="17"/>
              </w:rPr>
              <w:t>Bitácora de incidencias</w:t>
            </w:r>
          </w:p>
        </w:tc>
        <w:tc>
          <w:tcPr>
            <w:tcW w:w="1708" w:type="dxa"/>
          </w:tcPr>
          <w:p>
            <w:pPr>
              <w:pStyle w:val="Compact"/>
              <w:spacing w:before="20" w:after="20"/>
            </w:pPr>
            <w:r>
              <w:rPr>
                <w:sz w:val="17"/>
              </w:rPr>
              <w:t>Evaluador e instructor</w:t>
            </w:r>
          </w:p>
        </w:tc>
        <w:tc>
          <w:tcPr>
            <w:tcW w:w="4893" w:type="dxa"/>
          </w:tcPr>
          <w:p>
            <w:pPr>
              <w:pStyle w:val="Compact"/>
              <w:spacing w:before="20" w:after="20"/>
            </w:pPr>
            <w:r>
              <w:rPr>
                <w:sz w:val="17"/>
              </w:rPr>
              <w:t>Dudas de los candidatos, fallas, criterios difíciles de aplicar</w:t>
            </w:r>
          </w:p>
        </w:tc>
      </w:tr>
      <w:tr>
        <w:tc>
          <w:tcPr>
            <w:tcW w:w="3029" w:type="dxa"/>
          </w:tcPr>
          <w:p>
            <w:pPr>
              <w:pStyle w:val="Compact"/>
              <w:spacing w:before="20" w:after="20"/>
            </w:pPr>
            <w:r>
              <w:rPr>
                <w:sz w:val="17"/>
              </w:rPr>
              <w:t>Encuesta de satisfacción</w:t>
            </w:r>
          </w:p>
        </w:tc>
        <w:tc>
          <w:tcPr>
            <w:tcW w:w="1708" w:type="dxa"/>
          </w:tcPr>
          <w:p>
            <w:pPr>
              <w:pStyle w:val="Compact"/>
              <w:spacing w:before="20" w:after="20"/>
            </w:pPr>
            <w:r>
              <w:rPr>
                <w:sz w:val="17"/>
              </w:rPr>
              <w:t>Participante</w:t>
            </w:r>
          </w:p>
        </w:tc>
        <w:tc>
          <w:tcPr>
            <w:tcW w:w="4893" w:type="dxa"/>
          </w:tcPr>
          <w:p>
            <w:pPr>
              <w:pStyle w:val="Compact"/>
              <w:spacing w:before="20" w:after="20"/>
            </w:pPr>
            <w:r>
              <w:rPr>
                <w:sz w:val="17"/>
              </w:rPr>
              <w:t>Cinco preguntas y comentarios</w:t>
            </w:r>
          </w:p>
        </w:tc>
      </w:tr>
      <w:tr>
        <w:tc>
          <w:tcPr>
            <w:tcW w:w="3029" w:type="dxa"/>
          </w:tcPr>
          <w:p>
            <w:pPr>
              <w:pStyle w:val="Compact"/>
              <w:spacing w:before="20" w:after="20"/>
            </w:pPr>
            <w:r>
              <w:rPr>
                <w:sz w:val="17"/>
              </w:rPr>
              <w:t>Registro de horas del diagnóstico</w:t>
            </w:r>
          </w:p>
        </w:tc>
        <w:tc>
          <w:tcPr>
            <w:tcW w:w="1708" w:type="dxa"/>
          </w:tcPr>
          <w:p>
            <w:pPr>
              <w:pStyle w:val="Compact"/>
              <w:spacing w:before="20" w:after="20"/>
            </w:pPr>
            <w:r>
              <w:rPr>
                <w:sz w:val="17"/>
              </w:rPr>
              <w:t>Consultor</w:t>
            </w:r>
          </w:p>
        </w:tc>
        <w:tc>
          <w:tcPr>
            <w:tcW w:w="4893" w:type="dxa"/>
          </w:tcPr>
          <w:p>
            <w:pPr>
              <w:pStyle w:val="Compact"/>
              <w:spacing w:before="20" w:after="20"/>
            </w:pPr>
            <w:r>
              <w:rPr>
                <w:sz w:val="17"/>
              </w:rPr>
              <w:t>Horas por fase y por actividad</w:t>
            </w:r>
          </w:p>
        </w:tc>
      </w:tr>
    </w:tbl>
    <w:p>
      <w:pPr>
        <w:pStyle w:val="BodyText"/>
      </w:pPr>
    </w:p>
    <w:p>
      <w:pPr>
        <w:pStyle w:val="Heading2"/>
      </w:pPr>
      <w:r>
        <w:rPr/>
        <w:t>8. Informe de resultados</w:t>
      </w:r>
    </w:p>
    <w:p>
      <w:pPr>
        <w:pStyle w:val="FirstParagraph"/>
      </w:pPr>
      <w:r>
        <w:rPr/>
        <w:t>El informe se integra a los documentos de soporte para el CONOCER y contiene:</w:t>
      </w:r>
    </w:p>
    <w:p>
      <w:pPr>
        <w:pStyle w:val="Compact"/>
        <w:numPr>
          <w:ilvl w:val="0"/>
          <w:numId w:val="1014"/>
        </w:numPr>
      </w:pPr>
      <w:r>
        <w:rPr/>
        <w:t>Participantes y condiciones de aplicación.</w:t>
      </w:r>
    </w:p>
    <w:p>
      <w:pPr>
        <w:pStyle w:val="Compact"/>
        <w:numPr>
          <w:ilvl w:val="0"/>
          <w:numId w:val="1014"/>
        </w:numPr>
      </w:pPr>
      <w:r>
        <w:rPr/>
        <w:t>Resultados por indicador y decisión tomada en cada caso.</w:t>
      </w:r>
    </w:p>
    <w:p>
      <w:pPr>
        <w:pStyle w:val="Compact"/>
        <w:numPr>
          <w:ilvl w:val="0"/>
          <w:numId w:val="1014"/>
        </w:numPr>
      </w:pPr>
      <w:r>
        <w:rPr/>
        <w:t>Análisis de reactivos: dificultad, discriminación y reactivos ajustados.</w:t>
      </w:r>
    </w:p>
    <w:p>
      <w:pPr>
        <w:pStyle w:val="Compact"/>
        <w:numPr>
          <w:ilvl w:val="0"/>
          <w:numId w:val="1014"/>
        </w:numPr>
      </w:pPr>
      <w:r>
        <w:rPr/>
        <w:t>Acuerdo entre evaluadores y ajustes a las claves.</w:t>
      </w:r>
    </w:p>
    <w:p>
      <w:pPr>
        <w:pStyle w:val="Compact"/>
        <w:numPr>
          <w:ilvl w:val="0"/>
          <w:numId w:val="1014"/>
        </w:numPr>
      </w:pPr>
      <w:r>
        <w:rPr/>
        <w:t>Comparación entre el grupo con curso y el grupo sin curso.</w:t>
      </w:r>
    </w:p>
    <w:p>
      <w:pPr>
        <w:pStyle w:val="Compact"/>
        <w:numPr>
          <w:ilvl w:val="0"/>
          <w:numId w:val="1014"/>
        </w:numPr>
      </w:pPr>
      <w:r>
        <w:rPr/>
        <w:t>Cambios propuestos a los estándares, los instrumentos, los cursos y el diagnóstico.</w:t>
      </w:r>
    </w:p>
    <w:p>
      <w:pPr>
        <w:pStyle w:val="Compact"/>
        <w:numPr>
          <w:ilvl w:val="0"/>
          <w:numId w:val="1014"/>
        </w:numPr>
      </w:pPr>
      <w:r>
        <w:rPr/>
        <w:t>Validación del grupo técnico (minuta).</w:t>
      </w:r>
    </w:p>
    <w:p>
      <w:pPr>
        <w:pStyle w:val="Heading2"/>
      </w:pPr>
      <w:r>
        <w:rPr/>
        <w:t>9. Responsables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752"/>
        <w:gridCol w:w="6880"/>
      </w:tblGrid>
      <w:tr>
        <w:trPr>
          <w:tblHeader w:val="true"/>
          <w:cantSplit/>
        </w:trPr>
        <w:tc>
          <w:tcPr>
            <w:tcW w:w="2752" w:type="dxa"/>
            <w:shd w:val="clear" w:color="auto" w:fill="ECECEC"/>
          </w:tcPr>
          <w:p>
            <w:pPr>
              <w:pStyle w:val="Compact"/>
              <w:spacing w:before="20" w:after="20"/>
            </w:pPr>
            <w:r>
              <w:rPr>
                <w:b/>
                <w:sz w:val="17"/>
              </w:rPr>
              <w:t>Función</w:t>
            </w:r>
          </w:p>
        </w:tc>
        <w:tc>
          <w:tcPr>
            <w:tcW w:w="6880" w:type="dxa"/>
            <w:shd w:val="clear" w:color="auto" w:fill="ECECEC"/>
          </w:tcPr>
          <w:p>
            <w:pPr>
              <w:pStyle w:val="Compact"/>
              <w:spacing w:before="20" w:after="20"/>
            </w:pPr>
            <w:r>
              <w:rPr>
                <w:b/>
                <w:sz w:val="17"/>
              </w:rPr>
              <w:t>Responsable</w:t>
            </w:r>
          </w:p>
        </w:tc>
      </w:tr>
      <w:tr>
        <w:tc>
          <w:tcPr>
            <w:tcW w:w="2752" w:type="dxa"/>
          </w:tcPr>
          <w:p>
            <w:pPr>
              <w:pStyle w:val="Compact"/>
              <w:spacing w:before="20" w:after="20"/>
            </w:pPr>
            <w:r>
              <w:rPr>
                <w:sz w:val="17"/>
              </w:rPr>
              <w:t>Coordinación general</w:t>
            </w:r>
          </w:p>
        </w:tc>
        <w:tc>
          <w:tcPr>
            <w:tcW w:w="6880" w:type="dxa"/>
          </w:tcPr>
          <w:p>
            <w:pPr>
              <w:pStyle w:val="Compact"/>
              <w:spacing w:before="20" w:after="20"/>
            </w:pPr>
            <w:r>
              <w:rPr>
                <w:sz w:val="17"/>
              </w:rPr>
              <w:t>[Socio de la empresa a cargo del proyecto]</w:t>
            </w:r>
          </w:p>
        </w:tc>
      </w:tr>
      <w:tr>
        <w:tc>
          <w:tcPr>
            <w:tcW w:w="2752" w:type="dxa"/>
          </w:tcPr>
          <w:p>
            <w:pPr>
              <w:pStyle w:val="Compact"/>
              <w:spacing w:before="20" w:after="20"/>
            </w:pPr>
            <w:r>
              <w:rPr>
                <w:sz w:val="17"/>
              </w:rPr>
              <w:t>Evaluación</w:t>
            </w:r>
          </w:p>
        </w:tc>
        <w:tc>
          <w:tcPr>
            <w:tcW w:w="6880" w:type="dxa"/>
          </w:tcPr>
          <w:p>
            <w:pPr>
              <w:pStyle w:val="Compact"/>
              <w:spacing w:before="20" w:after="20"/>
            </w:pPr>
            <w:r>
              <w:rPr>
                <w:sz w:val="17"/>
              </w:rPr>
              <w:t>[Responsable del centro de evaluación]</w:t>
            </w:r>
          </w:p>
        </w:tc>
      </w:tr>
      <w:tr>
        <w:tc>
          <w:tcPr>
            <w:tcW w:w="2752" w:type="dxa"/>
          </w:tcPr>
          <w:p>
            <w:pPr>
              <w:pStyle w:val="Compact"/>
              <w:spacing w:before="20" w:after="20"/>
            </w:pPr>
            <w:r>
              <w:rPr>
                <w:sz w:val="17"/>
              </w:rPr>
              <w:t>Cursos</w:t>
            </w:r>
          </w:p>
        </w:tc>
        <w:tc>
          <w:tcPr>
            <w:tcW w:w="6880" w:type="dxa"/>
          </w:tcPr>
          <w:p>
            <w:pPr>
              <w:pStyle w:val="Compact"/>
              <w:spacing w:before="20" w:after="20"/>
            </w:pPr>
            <w:r>
              <w:rPr>
                <w:sz w:val="17"/>
              </w:rPr>
              <w:t>[Coordinación de capacitación]</w:t>
            </w:r>
          </w:p>
        </w:tc>
      </w:tr>
      <w:tr>
        <w:tc>
          <w:tcPr>
            <w:tcW w:w="2752" w:type="dxa"/>
          </w:tcPr>
          <w:p>
            <w:pPr>
              <w:pStyle w:val="Compact"/>
              <w:spacing w:before="20" w:after="20"/>
            </w:pPr>
            <w:r>
              <w:rPr>
                <w:sz w:val="17"/>
              </w:rPr>
              <w:t>Diagnóstico</w:t>
            </w:r>
          </w:p>
        </w:tc>
        <w:tc>
          <w:tcPr>
            <w:tcW w:w="6880" w:type="dxa"/>
          </w:tcPr>
          <w:p>
            <w:pPr>
              <w:pStyle w:val="Compact"/>
              <w:spacing w:before="20" w:after="20"/>
            </w:pPr>
            <w:r>
              <w:rPr>
                <w:sz w:val="17"/>
              </w:rPr>
              <w:t>[Consultor líder]</w:t>
            </w:r>
          </w:p>
        </w:tc>
      </w:tr>
      <w:tr>
        <w:tc>
          <w:tcPr>
            <w:tcW w:w="2752" w:type="dxa"/>
          </w:tcPr>
          <w:p>
            <w:pPr>
              <w:pStyle w:val="Compact"/>
              <w:spacing w:before="20" w:after="20"/>
            </w:pPr>
            <w:r>
              <w:rPr>
                <w:sz w:val="17"/>
              </w:rPr>
              <w:t>Análisis de datos</w:t>
            </w:r>
          </w:p>
        </w:tc>
        <w:tc>
          <w:tcPr>
            <w:tcW w:w="6880" w:type="dxa"/>
          </w:tcPr>
          <w:p>
            <w:pPr>
              <w:pStyle w:val="Compact"/>
              <w:spacing w:before="20" w:after="20"/>
            </w:pPr>
            <w:r>
              <w:rPr>
                <w:sz w:val="17"/>
              </w:rPr>
              <w:t>[Persona con experiencia en análisis de reactivos]</w:t>
            </w:r>
          </w:p>
        </w:tc>
      </w:tr>
      <w:tr>
        <w:tc>
          <w:tcPr>
            <w:tcW w:w="2752" w:type="dxa"/>
          </w:tcPr>
          <w:p>
            <w:pPr>
              <w:pStyle w:val="Compact"/>
              <w:spacing w:before="20" w:after="20"/>
            </w:pPr>
            <w:r>
              <w:rPr>
                <w:sz w:val="17"/>
              </w:rPr>
              <w:t>Validación técnica</w:t>
            </w:r>
          </w:p>
        </w:tc>
        <w:tc>
          <w:tcPr>
            <w:tcW w:w="6880" w:type="dxa"/>
          </w:tcPr>
          <w:p>
            <w:pPr>
              <w:pStyle w:val="Compact"/>
              <w:spacing w:before="20" w:after="20"/>
            </w:pPr>
            <w:r>
              <w:rPr>
                <w:sz w:val="17"/>
              </w:rPr>
              <w:t>Grupo técnico (documento 17)</w:t>
            </w:r>
          </w:p>
        </w:tc>
      </w:tr>
    </w:tbl>
    <w:p>
      <w:pPr>
        <w:pStyle w:val="BodyText"/>
      </w:pPr>
    </w:p>
    <w:p>
      <w:pPr>
        <w:pStyle w:val="BodyText"/>
        <w:pBdr>
          <w:bottom w:val="single" w:sz="4" w:space="1" w:color="BFC0C0"/>
        </w:pBdr>
      </w:pPr>
    </w:p>
    <w:p>
      <w:pPr>
        <w:pStyle w:val="Heading2"/>
      </w:pPr>
      <w:r>
        <w:rPr/>
        <w:t>Anexo 1. Consentimiento informado</w:t>
      </w:r>
    </w:p>
    <w:p>
      <w:pPr>
        <w:pStyle w:val="FirstParagraph"/>
      </w:pPr>
      <w:r>
        <w:rPr/>
        <w:t>Yo, [nombre], acepto participar de forma voluntaria en la prueba piloto de [curso de alineación / evaluación / ambos] del estándar [EC-A / EC-B] que realiza [empresa] en colaboración con [institución u organización].</w:t>
      </w:r>
    </w:p>
    <w:p>
      <w:pPr>
        <w:pStyle w:val="BodyText"/>
      </w:pPr>
      <w:r>
        <w:rPr/>
        <w:t>Entiendo que:</w:t>
      </w:r>
    </w:p>
    <w:p>
      <w:pPr>
        <w:pStyle w:val="Compact"/>
        <w:numPr>
          <w:ilvl w:val="0"/>
          <w:numId w:val="1015"/>
        </w:numPr>
      </w:pPr>
      <w:r>
        <w:rPr/>
        <w:t>El objetivo es probar los materiales y los instrumentos, no evaluarme con fines laborales o académicos.</w:t>
      </w:r>
    </w:p>
    <w:p>
      <w:pPr>
        <w:pStyle w:val="Compact"/>
        <w:numPr>
          <w:ilvl w:val="0"/>
          <w:numId w:val="1015"/>
        </w:numPr>
      </w:pPr>
      <w:r>
        <w:rPr/>
        <w:t>Mi participación no afecta mis calificaciones, mi empleo ni mis evaluaciones de desempeño.</w:t>
      </w:r>
    </w:p>
    <w:p>
      <w:pPr>
        <w:pStyle w:val="Compact"/>
        <w:numPr>
          <w:ilvl w:val="0"/>
          <w:numId w:val="1015"/>
        </w:numPr>
      </w:pPr>
      <w:r>
        <w:rPr/>
        <w:t>No recibiré un certificado de competencia; recibiré una constancia de participación si concluyo.</w:t>
      </w:r>
    </w:p>
    <w:p>
      <w:pPr>
        <w:pStyle w:val="Compact"/>
        <w:numPr>
          <w:ilvl w:val="0"/>
          <w:numId w:val="1015"/>
        </w:numPr>
      </w:pPr>
      <w:r>
        <w:rPr/>
        <w:t>Mis resultados individuales son confidenciales y solo se informarán de forma agregada, salvo que yo lo autorice.</w:t>
      </w:r>
    </w:p>
    <w:p>
      <w:pPr>
        <w:pStyle w:val="Compact"/>
        <w:numPr>
          <w:ilvl w:val="0"/>
          <w:numId w:val="1015"/>
        </w:numPr>
      </w:pPr>
      <w:r>
        <w:rPr/>
        <w:t>Mis resultados se usan para analizar los materiales y los instrumentos, y se informan al CONOCER y a [institución u organización] solo de forma agregada.</w:t>
      </w:r>
    </w:p>
    <w:p>
      <w:pPr>
        <w:pStyle w:val="Compact"/>
        <w:numPr>
          <w:ilvl w:val="0"/>
          <w:numId w:val="1015"/>
        </w:numPr>
      </w:pPr>
      <w:r>
        <w:rPr/>
        <w:t>Mis datos personales se tratan conforme al aviso de privacidad de [empresa], que recibí antes de registrarme, y se eliminan [seis meses] después del informe.</w:t>
      </w:r>
    </w:p>
    <w:p>
      <w:pPr>
        <w:pStyle w:val="Compact"/>
        <w:numPr>
          <w:ilvl w:val="0"/>
          <w:numId w:val="1015"/>
        </w:numPr>
      </w:pPr>
      <w:r>
        <w:rPr/>
        <w:t>Puedo retirarme en cualquier momento sin consecuencias.</w:t>
      </w:r>
    </w:p>
    <w:p>
      <w:pPr>
        <w:pStyle w:val="BodyText"/>
      </w:pPr>
      <w:r>
        <w:rPr/>
        <w:t xml:space="preserve">Firma: </w:t>
      </w:r>
      <w:r>
        <w:rPr>
          <w:b/>
          <w:i/>
        </w:rPr>
        <w:t>_</w:t>
      </w:r>
      <w:r>
        <w:rPr>
          <w:b/>
          <w:i/>
        </w:rPr>
        <w:t>_</w:t>
      </w:r>
      <w:r>
        <w:rPr>
          <w:b/>
          <w:i/>
        </w:rPr>
        <w:t>_</w:t>
      </w:r>
      <w:r>
        <w:rPr>
          <w:b/>
        </w:rPr>
        <w:t xml:space="preserve">_ Fecha: </w:t>
      </w:r>
      <w:r>
        <w:rPr>
          <w:b/>
          <w:i/>
        </w:rPr>
        <w:t>_</w:t>
      </w:r>
      <w:r>
        <w:rPr>
          <w:b/>
          <w:i/>
        </w:rPr>
        <w:t>_</w:t>
      </w:r>
      <w:r>
        <w:rPr/>
        <w:t>____</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Plan de la prueba piloto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001">
    <w:multiLevelType w:val="multilevel"/>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800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la prueba piloto</dc:title>
  <dc:creator>Proyecto Estándares de Competencia en IA</dc:creator>
  <cp:keywords/>
  <dcterms:created xsi:type="dcterms:W3CDTF">2026-10-09T15:04:47Z</dcterms:created>
  <dcterms:modified xsi:type="dcterms:W3CDTF">2026-10-09T15:04:47Z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