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Gobernanza del desarrollo de los estándares</w:t>
      </w:r>
    </w:p>
    <w:p>
      <w:pPr>
        <w:pStyle w:val="FirstParagraph"/>
      </w:pPr>
      <w:r>
        <w:rPr>
          <w:b/>
        </w:rPr>
        <w:t>Comité de Gestión por Competencias y grupo técnico de expertos</w:t>
      </w:r>
    </w:p>
    <w:p>
      <w:pPr>
        <w:pStyle w:val="BodyText"/>
      </w:pPr>
      <w:r>
        <w:rPr/>
        <w:t>Versión 1.0 · Borrador · Octubre de 2026</w:t>
      </w:r>
    </w:p>
    <w:p>
      <w:pPr>
        <w:pStyle w:val="BlockText"/>
      </w:pPr>
      <w:r>
        <w:rPr/>
        <w:t>Lo que este documento dice sobre el CONOCER se basa en sus publicaciones disponibles en línea, algunas de años anteriores. Todo lo marcado "por confirmar" se valida con el CONOCER antes de actuar.</w:t>
      </w:r>
    </w:p>
    <w:p>
      <w:pPr>
        <w:pStyle w:val="BodyText"/>
        <w:pBdr>
          <w:bottom w:val="single" w:sz="4" w:space="1" w:color="BFC0C0"/>
        </w:pBdr>
      </w:pPr>
    </w:p>
    <w:p>
      <w:pPr>
        <w:pStyle w:val="Heading2"/>
      </w:pPr>
      <w:r>
        <w:rPr/>
        <w:t>1. Qué se necesita y por qué</w:t>
      </w:r>
    </w:p>
    <w:p>
      <w:pPr>
        <w:pStyle w:val="FirstParagraph"/>
      </w:pPr>
      <w:r>
        <w:rPr/>
        <w:t xml:space="preserve">Un Estándar de Competencia lo desarrolla un </w:t>
      </w:r>
      <w:r>
        <w:rPr>
          <w:b/>
        </w:rPr>
        <w:t>Comité de Gestión por Competencias (CGC)</w:t>
      </w:r>
      <w:r>
        <w:rPr/>
        <w:t xml:space="preserve"> y lo aprueba el CONOCER. El CGC aporta la representatividad del sector; el </w:t>
      </w:r>
      <w:r>
        <w:rPr>
          <w:b/>
        </w:rPr>
        <w:t>grupo técnico</w:t>
      </w:r>
      <w:r>
        <w:rPr/>
        <w:t xml:space="preserve"> aporta el conocimiento experto para redactar y validar el contenido.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86"/>
        <w:gridCol w:w="3429"/>
        <w:gridCol w:w="3115"/>
      </w:tblGrid>
      <w:tr>
        <w:trPr>
          <w:tblHeader w:val="true"/>
          <w:cantSplit/>
        </w:trPr>
        <w:tc>
          <w:tcPr>
            <w:tcW w:w="3086" w:type="dxa"/>
            <w:shd w:val="clear" w:color="auto" w:fill="ECECEC"/>
          </w:tcPr>
          <w:p>
            <w:pPr>
              <w:pStyle w:val="Compact"/>
              <w:spacing w:before="20" w:after="20"/>
            </w:pPr>
            <w:r>
              <w:rPr>
                <w:b/>
                <w:sz w:val="17"/>
              </w:rPr>
              <w:t>Instancia</w:t>
            </w:r>
          </w:p>
        </w:tc>
        <w:tc>
          <w:tcPr>
            <w:tcW w:w="3429" w:type="dxa"/>
            <w:shd w:val="clear" w:color="auto" w:fill="ECECEC"/>
          </w:tcPr>
          <w:p>
            <w:pPr>
              <w:pStyle w:val="Compact"/>
              <w:spacing w:before="20" w:after="20"/>
            </w:pPr>
            <w:r>
              <w:rPr>
                <w:b/>
                <w:sz w:val="17"/>
              </w:rPr>
              <w:t>Qué es</w:t>
            </w:r>
          </w:p>
        </w:tc>
        <w:tc>
          <w:tcPr>
            <w:tcW w:w="3115" w:type="dxa"/>
            <w:shd w:val="clear" w:color="auto" w:fill="ECECEC"/>
          </w:tcPr>
          <w:p>
            <w:pPr>
              <w:pStyle w:val="Compact"/>
              <w:spacing w:before="20" w:after="20"/>
            </w:pPr>
            <w:r>
              <w:rPr>
                <w:b/>
                <w:sz w:val="17"/>
              </w:rPr>
              <w:t>Qué hace en este proyecto</w:t>
            </w:r>
          </w:p>
        </w:tc>
      </w:tr>
      <w:tr>
        <w:tc>
          <w:tcPr>
            <w:tcW w:w="3086" w:type="dxa"/>
          </w:tcPr>
          <w:p>
            <w:pPr>
              <w:pStyle w:val="Compact"/>
              <w:spacing w:before="20" w:after="20"/>
            </w:pPr>
            <w:r>
              <w:rPr>
                <w:sz w:val="17"/>
              </w:rPr>
              <w:t>Comité de Gestión por Competencias</w:t>
            </w:r>
          </w:p>
        </w:tc>
        <w:tc>
          <w:tcPr>
            <w:tcW w:w="3429" w:type="dxa"/>
          </w:tcPr>
          <w:p>
            <w:pPr>
              <w:pStyle w:val="Compact"/>
              <w:spacing w:before="20" w:after="20"/>
            </w:pPr>
            <w:r>
              <w:rPr>
                <w:sz w:val="17"/>
              </w:rPr>
              <w:t>Grupo de personas, empresas u organizaciones representativas de un sector que, por su número de trabajadores, su participación en el mercado laboral y su reconocimiento nacional, validado por el CONOCER, promueve el modelo de gestión por competencias</w:t>
            </w:r>
          </w:p>
        </w:tc>
        <w:tc>
          <w:tcPr>
            <w:tcW w:w="3115" w:type="dxa"/>
          </w:tcPr>
          <w:p>
            <w:pPr>
              <w:pStyle w:val="Compact"/>
              <w:spacing w:before="20" w:after="20"/>
            </w:pPr>
            <w:r>
              <w:rPr>
                <w:sz w:val="17"/>
              </w:rPr>
              <w:t>Presenta los estándares al CONOCER, los respalda y promueve su uso</w:t>
            </w:r>
          </w:p>
        </w:tc>
      </w:tr>
      <w:tr>
        <w:tc>
          <w:tcPr>
            <w:tcW w:w="3086" w:type="dxa"/>
          </w:tcPr>
          <w:p>
            <w:pPr>
              <w:pStyle w:val="Compact"/>
              <w:spacing w:before="20" w:after="20"/>
            </w:pPr>
            <w:r>
              <w:rPr>
                <w:sz w:val="17"/>
              </w:rPr>
              <w:t>Grupo técnico de expertos</w:t>
            </w:r>
          </w:p>
        </w:tc>
        <w:tc>
          <w:tcPr>
            <w:tcW w:w="3429" w:type="dxa"/>
          </w:tcPr>
          <w:p>
            <w:pPr>
              <w:pStyle w:val="Compact"/>
              <w:spacing w:before="20" w:after="20"/>
            </w:pPr>
            <w:r>
              <w:rPr>
                <w:sz w:val="17"/>
              </w:rPr>
              <w:t>Especialistas convocados por el CGC</w:t>
            </w:r>
          </w:p>
        </w:tc>
        <w:tc>
          <w:tcPr>
            <w:tcW w:w="3115" w:type="dxa"/>
          </w:tcPr>
          <w:p>
            <w:pPr>
              <w:pStyle w:val="Compact"/>
              <w:spacing w:before="20" w:after="20"/>
            </w:pPr>
            <w:r>
              <w:rPr>
                <w:sz w:val="17"/>
              </w:rPr>
              <w:t>Valida el mapa funcional, los estándares, los instrumentos de evaluación y los resultados de la prueba piloto</w:t>
            </w:r>
          </w:p>
        </w:tc>
      </w:tr>
      <w:tr>
        <w:tc>
          <w:tcPr>
            <w:tcW w:w="3086" w:type="dxa"/>
          </w:tcPr>
          <w:p>
            <w:pPr>
              <w:pStyle w:val="Compact"/>
              <w:spacing w:before="20" w:after="20"/>
            </w:pPr>
            <w:r>
              <w:rPr>
                <w:sz w:val="17"/>
              </w:rPr>
              <w:t>Comité de Validación de los Comités de Gestión por Competencias y de los Estándares de Competencia (COVACEC)</w:t>
            </w:r>
          </w:p>
        </w:tc>
        <w:tc>
          <w:tcPr>
            <w:tcW w:w="3429" w:type="dxa"/>
          </w:tcPr>
          <w:p>
            <w:pPr>
              <w:pStyle w:val="Compact"/>
              <w:spacing w:before="20" w:after="20"/>
            </w:pPr>
            <w:r>
              <w:rPr>
                <w:sz w:val="17"/>
              </w:rPr>
              <w:t>Instancia del CONOCER que valida la integración de los CGC y los estándares (nombre según el manual N-OPCV-MT-01, versión 6.0, de 2015, verificado el 9 de octubre de 2026; si sigue vigente con ese nombre, por confirmar)</w:t>
            </w:r>
          </w:p>
        </w:tc>
        <w:tc>
          <w:tcPr>
            <w:tcW w:w="3115" w:type="dxa"/>
          </w:tcPr>
          <w:p>
            <w:pPr>
              <w:pStyle w:val="Compact"/>
              <w:spacing w:before="20" w:after="20"/>
            </w:pPr>
            <w:r>
              <w:rPr>
                <w:sz w:val="17"/>
              </w:rPr>
              <w:t>Valida el CGC y los estándares antes de su aprobación</w:t>
            </w:r>
          </w:p>
        </w:tc>
      </w:tr>
    </w:tbl>
    <w:p>
      <w:pPr>
        <w:pStyle w:val="BodyText"/>
      </w:pPr>
    </w:p>
    <w:p>
      <w:pPr>
        <w:pStyle w:val="Heading2"/>
      </w:pPr>
      <w:r>
        <w:rPr/>
        <w:t>2. Ruta para el Comité de Gestión por Competencias</w:t>
      </w:r>
    </w:p>
    <w:p>
      <w:pPr>
        <w:pStyle w:val="FirstParagraph"/>
      </w:pPr>
      <w:r>
        <w:rPr/>
        <w:t>Según la guía "ABC de los Comités de Gestión por Competencias" del CONOCER:</w:t>
      </w:r>
    </w:p>
    <w:p>
      <w:pPr>
        <w:pStyle w:val="Compact"/>
        <w:numPr>
          <w:ilvl w:val="0"/>
          <w:numId w:val="1007"/>
        </w:numPr>
      </w:pPr>
      <w:r>
        <w:rPr/>
        <w:t xml:space="preserve">El CGC prepara su </w:t>
      </w:r>
      <w:r>
        <w:rPr>
          <w:b/>
        </w:rPr>
        <w:t>propuesta de integración</w:t>
      </w:r>
      <w:r>
        <w:rPr/>
        <w:t xml:space="preserve"> y la presenta al Comité de Validación del CONOCER (denominación vigente por confirmar).</w:t>
      </w:r>
    </w:p>
    <w:p>
      <w:pPr>
        <w:pStyle w:val="Compact"/>
        <w:numPr>
          <w:ilvl w:val="0"/>
          <w:numId w:val="1007"/>
        </w:numPr>
      </w:pPr>
      <w:r>
        <w:rPr/>
        <w:t xml:space="preserve">El comité </w:t>
      </w:r>
      <w:r>
        <w:rPr>
          <w:b/>
        </w:rPr>
        <w:t>valida la integración</w:t>
      </w:r>
      <w:r>
        <w:rPr/>
        <w:t xml:space="preserve"> del CGC.</w:t>
      </w:r>
    </w:p>
    <w:p>
      <w:pPr>
        <w:pStyle w:val="Compact"/>
        <w:numPr>
          <w:ilvl w:val="0"/>
          <w:numId w:val="1007"/>
        </w:numPr>
      </w:pPr>
      <w:r>
        <w:rPr/>
        <w:t xml:space="preserve">Se firma el </w:t>
      </w:r>
      <w:r>
        <w:rPr>
          <w:b/>
        </w:rPr>
        <w:t>acta de integración</w:t>
      </w:r>
      <w:r>
        <w:rPr/>
        <w:t xml:space="preserve"> entre el CONOCER y todos los integrantes del CGC.</w:t>
      </w:r>
    </w:p>
    <w:p>
      <w:pPr>
        <w:pStyle w:val="Heading3"/>
      </w:pPr>
      <w:r>
        <w:rPr/>
        <w:t>2.1 Opciones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80"/>
        <w:gridCol w:w="3891"/>
        <w:gridCol w:w="2659"/>
      </w:tblGrid>
      <w:tr>
        <w:trPr>
          <w:tblHeader w:val="true"/>
          <w:cantSplit/>
        </w:trPr>
        <w:tc>
          <w:tcPr>
            <w:tcW w:w="3080" w:type="dxa"/>
            <w:shd w:val="clear" w:color="auto" w:fill="ECECEC"/>
          </w:tcPr>
          <w:p>
            <w:pPr>
              <w:pStyle w:val="Compact"/>
              <w:spacing w:before="20" w:after="20"/>
            </w:pPr>
            <w:r>
              <w:rPr>
                <w:b/>
                <w:sz w:val="17"/>
              </w:rPr>
              <w:t>Opción</w:t>
            </w:r>
          </w:p>
        </w:tc>
        <w:tc>
          <w:tcPr>
            <w:tcW w:w="3891" w:type="dxa"/>
            <w:shd w:val="clear" w:color="auto" w:fill="ECECEC"/>
          </w:tcPr>
          <w:p>
            <w:pPr>
              <w:pStyle w:val="Compact"/>
              <w:spacing w:before="20" w:after="20"/>
            </w:pPr>
            <w:r>
              <w:rPr>
                <w:b/>
                <w:sz w:val="17"/>
              </w:rPr>
              <w:t>Ventajas</w:t>
            </w:r>
          </w:p>
        </w:tc>
        <w:tc>
          <w:tcPr>
            <w:tcW w:w="2659" w:type="dxa"/>
            <w:shd w:val="clear" w:color="auto" w:fill="ECECEC"/>
          </w:tcPr>
          <w:p>
            <w:pPr>
              <w:pStyle w:val="Compact"/>
              <w:spacing w:before="20" w:after="20"/>
            </w:pPr>
            <w:r>
              <w:rPr>
                <w:b/>
                <w:sz w:val="17"/>
              </w:rPr>
              <w:t>Desventajas</w:t>
            </w:r>
          </w:p>
        </w:tc>
      </w:tr>
      <w:tr>
        <w:tc>
          <w:tcPr>
            <w:tcW w:w="3080" w:type="dxa"/>
          </w:tcPr>
          <w:p>
            <w:pPr>
              <w:pStyle w:val="Compact"/>
              <w:spacing w:before="20" w:after="20"/>
            </w:pPr>
            <w:r>
              <w:rPr>
                <w:b/>
                <w:sz w:val="17"/>
              </w:rPr>
              <w:t>A. Integrar un CGC nuevo</w:t>
            </w:r>
            <w:r>
              <w:rPr>
                <w:sz w:val="17"/>
              </w:rPr>
              <w:t xml:space="preserve"> de inteligencia artificial y transformación digital</w:t>
            </w:r>
          </w:p>
        </w:tc>
        <w:tc>
          <w:tcPr>
            <w:tcW w:w="3891" w:type="dxa"/>
          </w:tcPr>
          <w:p>
            <w:pPr>
              <w:pStyle w:val="Compact"/>
              <w:spacing w:before="20" w:after="20"/>
            </w:pPr>
            <w:r>
              <w:rPr>
                <w:sz w:val="17"/>
              </w:rPr>
              <w:t>Liderazgo del tema; la empresa y sus aliados aparecen como desarrolladores; puede desarrollar más estándares de IA después</w:t>
            </w:r>
          </w:p>
        </w:tc>
        <w:tc>
          <w:tcPr>
            <w:tcW w:w="2659" w:type="dxa"/>
          </w:tcPr>
          <w:p>
            <w:pPr>
              <w:pStyle w:val="Compact"/>
              <w:spacing w:before="20" w:after="20"/>
            </w:pPr>
            <w:r>
              <w:rPr>
                <w:sz w:val="17"/>
              </w:rPr>
              <w:t>Requiere reunir integrantes representativos y pasar la validación; toma más tiempo</w:t>
            </w:r>
          </w:p>
        </w:tc>
      </w:tr>
      <w:tr>
        <w:tc>
          <w:tcPr>
            <w:tcW w:w="3080" w:type="dxa"/>
          </w:tcPr>
          <w:p>
            <w:pPr>
              <w:pStyle w:val="Compact"/>
              <w:spacing w:before="20" w:after="20"/>
            </w:pPr>
            <w:r>
              <w:rPr>
                <w:b/>
                <w:sz w:val="17"/>
              </w:rPr>
              <w:t>B. Adherirse a un CGC existente</w:t>
            </w:r>
            <w:r>
              <w:rPr>
                <w:sz w:val="17"/>
              </w:rPr>
              <w:t xml:space="preserve"> de tecnologías de la información, capacitación o un sector afín</w:t>
            </w:r>
          </w:p>
        </w:tc>
        <w:tc>
          <w:tcPr>
            <w:tcW w:w="3891" w:type="dxa"/>
          </w:tcPr>
          <w:p>
            <w:pPr>
              <w:pStyle w:val="Compact"/>
              <w:spacing w:before="20" w:after="20"/>
            </w:pPr>
            <w:r>
              <w:rPr>
                <w:sz w:val="17"/>
              </w:rPr>
              <w:t>Más rápido; aprovecha una instancia ya validada</w:t>
            </w:r>
          </w:p>
        </w:tc>
        <w:tc>
          <w:tcPr>
            <w:tcW w:w="2659" w:type="dxa"/>
          </w:tcPr>
          <w:p>
            <w:pPr>
              <w:pStyle w:val="Compact"/>
              <w:spacing w:before="20" w:after="20"/>
            </w:pPr>
            <w:r>
              <w:rPr>
                <w:sz w:val="17"/>
              </w:rPr>
              <w:t>Menor control de la agenda; el liderazgo es compartido</w:t>
            </w:r>
          </w:p>
        </w:tc>
      </w:tr>
    </w:tbl>
    <w:p>
      <w:pPr>
        <w:pStyle w:val="BodyText"/>
      </w:pPr>
    </w:p>
    <w:p>
      <w:pPr>
        <w:pStyle w:val="BodyText"/>
      </w:pPr>
      <w:r>
        <w:rPr>
          <w:b/>
        </w:rPr>
        <w:t>Recomendación:</w:t>
      </w:r>
      <w:r>
        <w:rPr/>
        <w:t xml:space="preserve"> plantear ambas opciones al CONOCER por los canales formales (oficio y reunión con minuta) y elegir la que permita presentar los estándares en menos tiempo sin perder la autoría. Documentar las interacciones con el CONOCER y no ofrecer beneficios a sus servidores públicos: la ley obliga a la persona servidora pública a excusarse de los asuntos en que tenga conflicto de interés y sanciona al particular que use su influencia para obtener una ventaja (Ley General de Responsabilidades Administrativas, artículos 58 y 68). Si se elige la opción A, convocar desde el inicio a integrantes con peso nacional.</w:t>
      </w:r>
    </w:p>
    <w:p>
      <w:pPr>
        <w:pStyle w:val="Heading3"/>
      </w:pPr>
      <w:r>
        <w:rPr/>
        <w:t>2.2 Composición propuesta (opción A)</w:t>
      </w:r>
    </w:p>
    <w:p>
      <w:pPr>
        <w:pStyle w:val="FirstParagraph"/>
      </w:pPr>
      <w:r>
        <w:rPr>
          <w:i/>
        </w:rPr>
        <w:t>Por invitar; los nombres de organizaciones son ejemplos de perfiles, no compromisos.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85"/>
        <w:gridCol w:w="2524"/>
        <w:gridCol w:w="4021"/>
      </w:tblGrid>
      <w:tr>
        <w:trPr>
          <w:tblHeader w:val="true"/>
          <w:cantSplit/>
        </w:trPr>
        <w:tc>
          <w:tcPr>
            <w:tcW w:w="3085" w:type="dxa"/>
            <w:shd w:val="clear" w:color="auto" w:fill="ECECEC"/>
          </w:tcPr>
          <w:p>
            <w:pPr>
              <w:pStyle w:val="Compact"/>
              <w:spacing w:before="20" w:after="20"/>
            </w:pPr>
            <w:r>
              <w:rPr>
                <w:b/>
                <w:sz w:val="17"/>
              </w:rPr>
              <w:t>Perfil</w:t>
            </w:r>
          </w:p>
        </w:tc>
        <w:tc>
          <w:tcPr>
            <w:tcW w:w="2524" w:type="dxa"/>
            <w:shd w:val="clear" w:color="auto" w:fill="ECECEC"/>
          </w:tcPr>
          <w:p>
            <w:pPr>
              <w:pStyle w:val="Compact"/>
              <w:spacing w:before="20" w:after="20"/>
            </w:pPr>
            <w:r>
              <w:rPr>
                <w:b/>
                <w:sz w:val="17"/>
              </w:rPr>
              <w:t>Por qué</w:t>
            </w:r>
          </w:p>
        </w:tc>
        <w:tc>
          <w:tcPr>
            <w:tcW w:w="4021" w:type="dxa"/>
            <w:shd w:val="clear" w:color="auto" w:fill="ECECEC"/>
          </w:tcPr>
          <w:p>
            <w:pPr>
              <w:pStyle w:val="Compact"/>
              <w:spacing w:before="20" w:after="20"/>
            </w:pPr>
            <w:r>
              <w:rPr>
                <w:b/>
                <w:sz w:val="17"/>
              </w:rPr>
              <w:t>Ejemplos de perfil</w:t>
            </w:r>
          </w:p>
        </w:tc>
      </w:tr>
      <w:tr>
        <w:tc>
          <w:tcPr>
            <w:tcW w:w="3085" w:type="dxa"/>
          </w:tcPr>
          <w:p>
            <w:pPr>
              <w:pStyle w:val="Compact"/>
              <w:spacing w:before="20" w:after="20"/>
            </w:pPr>
            <w:r>
              <w:rPr>
                <w:sz w:val="17"/>
              </w:rPr>
              <w:t>Empresas usuarias de IA con muchos trabajadores</w:t>
            </w:r>
          </w:p>
        </w:tc>
        <w:tc>
          <w:tcPr>
            <w:tcW w:w="2524" w:type="dxa"/>
          </w:tcPr>
          <w:p>
            <w:pPr>
              <w:pStyle w:val="Compact"/>
              <w:spacing w:before="20" w:after="20"/>
            </w:pPr>
            <w:r>
              <w:rPr>
                <w:sz w:val="17"/>
              </w:rPr>
              <w:t>Representatividad y demanda</w:t>
            </w:r>
          </w:p>
        </w:tc>
        <w:tc>
          <w:tcPr>
            <w:tcW w:w="4021" w:type="dxa"/>
          </w:tcPr>
          <w:p>
            <w:pPr>
              <w:pStyle w:val="Compact"/>
              <w:spacing w:before="20" w:after="20"/>
            </w:pPr>
            <w:r>
              <w:rPr>
                <w:sz w:val="17"/>
              </w:rPr>
              <w:t>Grupos empresariales de comercio, servicios financieros, transporte, manufactura</w:t>
            </w:r>
          </w:p>
        </w:tc>
      </w:tr>
      <w:tr>
        <w:tc>
          <w:tcPr>
            <w:tcW w:w="3085" w:type="dxa"/>
          </w:tcPr>
          <w:p>
            <w:pPr>
              <w:pStyle w:val="Compact"/>
              <w:spacing w:before="20" w:after="20"/>
            </w:pPr>
            <w:r>
              <w:rPr>
                <w:sz w:val="17"/>
              </w:rPr>
              <w:t>Cámaras y organismos empresariales</w:t>
            </w:r>
          </w:p>
        </w:tc>
        <w:tc>
          <w:tcPr>
            <w:tcW w:w="2524" w:type="dxa"/>
          </w:tcPr>
          <w:p>
            <w:pPr>
              <w:pStyle w:val="Compact"/>
              <w:spacing w:before="20" w:after="20"/>
            </w:pPr>
            <w:r>
              <w:rPr>
                <w:sz w:val="17"/>
              </w:rPr>
              <w:t>Alcance nacional</w:t>
            </w:r>
          </w:p>
        </w:tc>
        <w:tc>
          <w:tcPr>
            <w:tcW w:w="4021" w:type="dxa"/>
          </w:tcPr>
          <w:p>
            <w:pPr>
              <w:pStyle w:val="Compact"/>
              <w:spacing w:before="20" w:after="20"/>
            </w:pPr>
            <w:r>
              <w:rPr>
                <w:sz w:val="17"/>
              </w:rPr>
              <w:t>Cámaras de tecnologías de la información y de la industria; confederaciones patronales</w:t>
            </w:r>
          </w:p>
        </w:tc>
      </w:tr>
      <w:tr>
        <w:tc>
          <w:tcPr>
            <w:tcW w:w="3085" w:type="dxa"/>
          </w:tcPr>
          <w:p>
            <w:pPr>
              <w:pStyle w:val="Compact"/>
              <w:spacing w:before="20" w:after="20"/>
            </w:pPr>
            <w:r>
              <w:rPr>
                <w:sz w:val="17"/>
              </w:rPr>
              <w:t>Instituciones de educación superior</w:t>
            </w:r>
          </w:p>
        </w:tc>
        <w:tc>
          <w:tcPr>
            <w:tcW w:w="2524" w:type="dxa"/>
          </w:tcPr>
          <w:p>
            <w:pPr>
              <w:pStyle w:val="Compact"/>
              <w:spacing w:before="20" w:after="20"/>
            </w:pPr>
            <w:r>
              <w:rPr>
                <w:sz w:val="17"/>
              </w:rPr>
              <w:t>Mercado de egreso y validación académica</w:t>
            </w:r>
          </w:p>
        </w:tc>
        <w:tc>
          <w:tcPr>
            <w:tcW w:w="4021" w:type="dxa"/>
          </w:tcPr>
          <w:p>
            <w:pPr>
              <w:pStyle w:val="Compact"/>
              <w:spacing w:before="20" w:after="20"/>
            </w:pPr>
            <w:r>
              <w:rPr>
                <w:sz w:val="17"/>
              </w:rPr>
              <w:t>Subsistemas tecnológicos y politécnicos; universidades públicas y particulares</w:t>
            </w:r>
          </w:p>
        </w:tc>
      </w:tr>
      <w:tr>
        <w:tc>
          <w:tcPr>
            <w:tcW w:w="3085" w:type="dxa"/>
          </w:tcPr>
          <w:p>
            <w:pPr>
              <w:pStyle w:val="Compact"/>
              <w:spacing w:before="20" w:after="20"/>
            </w:pPr>
            <w:r>
              <w:rPr>
                <w:sz w:val="17"/>
              </w:rPr>
              <w:t>Especialistas en protección de datos y seguridad de la información</w:t>
            </w:r>
          </w:p>
        </w:tc>
        <w:tc>
          <w:tcPr>
            <w:tcW w:w="2524" w:type="dxa"/>
          </w:tcPr>
          <w:p>
            <w:pPr>
              <w:pStyle w:val="Compact"/>
              <w:spacing w:before="20" w:after="20"/>
            </w:pPr>
            <w:r>
              <w:rPr>
                <w:sz w:val="17"/>
              </w:rPr>
              <w:t>Contenido técnico</w:t>
            </w:r>
          </w:p>
        </w:tc>
        <w:tc>
          <w:tcPr>
            <w:tcW w:w="4021" w:type="dxa"/>
          </w:tcPr>
          <w:p>
            <w:pPr>
              <w:pStyle w:val="Compact"/>
              <w:spacing w:before="20" w:after="20"/>
            </w:pPr>
            <w:r>
              <w:rPr>
                <w:sz w:val="17"/>
              </w:rPr>
              <w:t>Asociaciones profesionales del ramo</w:t>
            </w:r>
          </w:p>
        </w:tc>
      </w:tr>
      <w:tr>
        <w:tc>
          <w:tcPr>
            <w:tcW w:w="3085" w:type="dxa"/>
          </w:tcPr>
          <w:p>
            <w:pPr>
              <w:pStyle w:val="Compact"/>
              <w:spacing w:before="20" w:after="20"/>
            </w:pPr>
            <w:r>
              <w:rPr>
                <w:sz w:val="17"/>
              </w:rPr>
              <w:t>Empresa desarrolladora y su centro de evaluación</w:t>
            </w:r>
          </w:p>
        </w:tc>
        <w:tc>
          <w:tcPr>
            <w:tcW w:w="2524" w:type="dxa"/>
          </w:tcPr>
          <w:p>
            <w:pPr>
              <w:pStyle w:val="Compact"/>
              <w:spacing w:before="20" w:after="20"/>
            </w:pPr>
            <w:r>
              <w:rPr>
                <w:sz w:val="17"/>
              </w:rPr>
              <w:t>Desarrollo del estándar y de la solución de evaluación</w:t>
            </w:r>
          </w:p>
        </w:tc>
        <w:tc>
          <w:tcPr>
            <w:tcW w:w="4021" w:type="dxa"/>
          </w:tcPr>
          <w:p>
            <w:pPr>
              <w:pStyle w:val="Compact"/>
              <w:spacing w:before="20" w:after="20"/>
            </w:pPr>
            <w:r>
              <w:rPr>
                <w:sz w:val="17"/>
              </w:rPr>
              <w:t>La empresa</w:t>
            </w:r>
          </w:p>
        </w:tc>
      </w:tr>
    </w:tbl>
    <w:p>
      <w:pPr>
        <w:pStyle w:val="BodyText"/>
      </w:pPr>
    </w:p>
    <w:p>
      <w:pPr>
        <w:pStyle w:val="BodyText"/>
      </w:pPr>
      <w:r>
        <w:rPr/>
        <w:t>Cargos que suelen tener los comités: presidencia, vicepresidencia, secretaría técnica y vocales (por confirmar con el formato vigente del CONOCER).</w:t>
      </w:r>
    </w:p>
    <w:p>
      <w:pPr>
        <w:pStyle w:val="Heading3"/>
      </w:pPr>
      <w:r>
        <w:rPr/>
        <w:t>2.3 Contenido de la propuesta de integración</w:t>
      </w:r>
    </w:p>
    <w:p>
      <w:pPr>
        <w:pStyle w:val="FirstParagraph"/>
      </w:pPr>
      <w:r>
        <w:rPr>
          <w:i/>
        </w:rPr>
        <w:t>El CONOCER proporciona sus formatos; esta lista sirve para preparar la información.</w:t>
      </w:r>
    </w:p>
    <w:p>
      <w:pPr>
        <w:pStyle w:val="Compact"/>
        <w:numPr>
          <w:ilvl w:val="0"/>
          <w:numId w:val="1008"/>
        </w:numPr>
      </w:pPr>
      <w:r>
        <w:rPr/>
        <w:t>Nombre del comité y sector que representa.</w:t>
      </w:r>
    </w:p>
    <w:p>
      <w:pPr>
        <w:pStyle w:val="Compact"/>
        <w:numPr>
          <w:ilvl w:val="0"/>
          <w:numId w:val="1008"/>
        </w:numPr>
      </w:pPr>
      <w:r>
        <w:rPr/>
        <w:t>Integrantes, con razón social, representante, número de trabajadores y participación en el sector.</w:t>
      </w:r>
    </w:p>
    <w:p>
      <w:pPr>
        <w:pStyle w:val="Compact"/>
        <w:numPr>
          <w:ilvl w:val="0"/>
          <w:numId w:val="1008"/>
        </w:numPr>
      </w:pPr>
      <w:r>
        <w:rPr/>
        <w:t>Justificación: necesidad de los estándares (puede partir de la exposición de motivos, documento 04).</w:t>
      </w:r>
    </w:p>
    <w:p>
      <w:pPr>
        <w:pStyle w:val="Compact"/>
        <w:numPr>
          <w:ilvl w:val="0"/>
          <w:numId w:val="1008"/>
        </w:numPr>
      </w:pPr>
      <w:r>
        <w:rPr/>
        <w:t>Estándares que se propone desarrollar: EC-A y EC-B, con su mapa funcional (documento 01).</w:t>
      </w:r>
    </w:p>
    <w:p>
      <w:pPr>
        <w:pStyle w:val="Compact"/>
        <w:numPr>
          <w:ilvl w:val="0"/>
          <w:numId w:val="1008"/>
        </w:numPr>
      </w:pPr>
      <w:r>
        <w:rPr/>
        <w:t>Programa de trabajo: grupo técnico, prueba piloto (documento 16), fechas.</w:t>
      </w:r>
    </w:p>
    <w:p>
      <w:pPr>
        <w:pStyle w:val="Compact"/>
        <w:numPr>
          <w:ilvl w:val="0"/>
          <w:numId w:val="1008"/>
        </w:numPr>
      </w:pPr>
      <w:r>
        <w:rPr/>
        <w:t>Propuesta de presidencia, vicepresidencia y secretaría técnica.</w:t>
      </w:r>
    </w:p>
    <w:p>
      <w:pPr>
        <w:pStyle w:val="Heading2"/>
      </w:pPr>
      <w:r>
        <w:rPr/>
        <w:t>3. Grupo técnico de expertos</w:t>
      </w:r>
    </w:p>
    <w:p>
      <w:pPr>
        <w:pStyle w:val="Heading3"/>
      </w:pPr>
      <w:r>
        <w:rPr/>
        <w:t>3.1 Términos de referencia</w:t>
      </w:r>
    </w:p>
    <w:p>
      <w:pPr>
        <w:pStyle w:val="FirstParagraph"/>
      </w:pPr>
      <w:r>
        <w:rPr>
          <w:b/>
        </w:rPr>
        <w:t>Objetivo:</w:t>
      </w:r>
      <w:r>
        <w:rPr/>
        <w:t xml:space="preserve"> validar el contenido técnico de la familia de estándares de IA y de sus instrumentos de evaluación.</w:t>
      </w:r>
    </w:p>
    <w:p>
      <w:pPr>
        <w:pStyle w:val="BodyText"/>
      </w:pPr>
      <w:r>
        <w:rPr>
          <w:b/>
        </w:rPr>
        <w:t>Integración:</w:t>
      </w:r>
      <w:r>
        <w:rPr/>
        <w:t xml:space="preserve"> de 6 a 10 personas, con al menos un perfil de cada tipo: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590"/>
        <w:gridCol w:w="6041"/>
      </w:tblGrid>
      <w:tr>
        <w:trPr>
          <w:tblHeader w:val="true"/>
          <w:cantSplit/>
        </w:trPr>
        <w:tc>
          <w:tcPr>
            <w:tcW w:w="3590" w:type="dxa"/>
            <w:shd w:val="clear" w:color="auto" w:fill="ECECEC"/>
          </w:tcPr>
          <w:p>
            <w:pPr>
              <w:pStyle w:val="Compact"/>
              <w:spacing w:before="20" w:after="20"/>
            </w:pPr>
            <w:r>
              <w:rPr>
                <w:b/>
                <w:sz w:val="17"/>
              </w:rPr>
              <w:t>Perfil</w:t>
            </w:r>
          </w:p>
        </w:tc>
        <w:tc>
          <w:tcPr>
            <w:tcW w:w="6041" w:type="dxa"/>
            <w:shd w:val="clear" w:color="auto" w:fill="ECECEC"/>
          </w:tcPr>
          <w:p>
            <w:pPr>
              <w:pStyle w:val="Compact"/>
              <w:spacing w:before="20" w:after="20"/>
            </w:pPr>
            <w:r>
              <w:rPr>
                <w:b/>
                <w:sz w:val="17"/>
              </w:rPr>
              <w:t>Aporta</w:t>
            </w:r>
          </w:p>
        </w:tc>
      </w:tr>
      <w:tr>
        <w:tc>
          <w:tcPr>
            <w:tcW w:w="3590" w:type="dxa"/>
          </w:tcPr>
          <w:p>
            <w:pPr>
              <w:pStyle w:val="Compact"/>
              <w:spacing w:before="20" w:after="20"/>
            </w:pPr>
            <w:r>
              <w:rPr>
                <w:sz w:val="17"/>
              </w:rPr>
              <w:t>Protección de datos personales (abogado o responsable de datos)</w:t>
            </w:r>
          </w:p>
        </w:tc>
        <w:tc>
          <w:tcPr>
            <w:tcW w:w="6041" w:type="dxa"/>
          </w:tcPr>
          <w:p>
            <w:pPr>
              <w:pStyle w:val="Compact"/>
              <w:spacing w:before="20" w:after="20"/>
            </w:pPr>
            <w:r>
              <w:rPr>
                <w:sz w:val="17"/>
              </w:rPr>
              <w:t>Definiciones legales, deber de informar vulneraciones, transferencias y comunicación a personas encargadas</w:t>
            </w:r>
          </w:p>
        </w:tc>
      </w:tr>
      <w:tr>
        <w:tc>
          <w:tcPr>
            <w:tcW w:w="3590" w:type="dxa"/>
          </w:tcPr>
          <w:p>
            <w:pPr>
              <w:pStyle w:val="Compact"/>
              <w:spacing w:before="20" w:after="20"/>
            </w:pPr>
            <w:r>
              <w:rPr>
                <w:sz w:val="17"/>
              </w:rPr>
              <w:t>Seguridad de la información</w:t>
            </w:r>
          </w:p>
        </w:tc>
        <w:tc>
          <w:tcPr>
            <w:tcW w:w="6041" w:type="dxa"/>
          </w:tcPr>
          <w:p>
            <w:pPr>
              <w:pStyle w:val="Compact"/>
              <w:spacing w:before="20" w:after="20"/>
            </w:pPr>
            <w:r>
              <w:rPr>
                <w:sz w:val="17"/>
              </w:rPr>
              <w:t>Controles, incidentes, proveedores</w:t>
            </w:r>
          </w:p>
        </w:tc>
      </w:tr>
      <w:tr>
        <w:tc>
          <w:tcPr>
            <w:tcW w:w="3590" w:type="dxa"/>
          </w:tcPr>
          <w:p>
            <w:pPr>
              <w:pStyle w:val="Compact"/>
              <w:spacing w:before="20" w:after="20"/>
            </w:pPr>
            <w:r>
              <w:rPr>
                <w:sz w:val="17"/>
              </w:rPr>
              <w:t>Recursos humanos o derecho laboral</w:t>
            </w:r>
          </w:p>
        </w:tc>
        <w:tc>
          <w:tcPr>
            <w:tcW w:w="6041" w:type="dxa"/>
          </w:tcPr>
          <w:p>
            <w:pPr>
              <w:pStyle w:val="Compact"/>
              <w:spacing w:before="20" w:after="20"/>
            </w:pPr>
            <w:r>
              <w:rPr>
                <w:sz w:val="17"/>
              </w:rPr>
              <w:t>Usos de IA que afectan a personas trabajadoras; capacitación y DC-3</w:t>
            </w:r>
          </w:p>
        </w:tc>
      </w:tr>
      <w:tr>
        <w:tc>
          <w:tcPr>
            <w:tcW w:w="3590" w:type="dxa"/>
          </w:tcPr>
          <w:p>
            <w:pPr>
              <w:pStyle w:val="Compact"/>
              <w:spacing w:before="20" w:after="20"/>
            </w:pPr>
            <w:r>
              <w:rPr>
                <w:sz w:val="17"/>
              </w:rPr>
              <w:t>Educación superior</w:t>
            </w:r>
          </w:p>
        </w:tc>
        <w:tc>
          <w:tcPr>
            <w:tcW w:w="6041" w:type="dxa"/>
          </w:tcPr>
          <w:p>
            <w:pPr>
              <w:pStyle w:val="Compact"/>
              <w:spacing w:before="20" w:after="20"/>
            </w:pPr>
            <w:r>
              <w:rPr>
                <w:sz w:val="17"/>
              </w:rPr>
              <w:t>Aplicación del EC-A a estudiantes y requisitos de egreso</w:t>
            </w:r>
          </w:p>
        </w:tc>
      </w:tr>
      <w:tr>
        <w:tc>
          <w:tcPr>
            <w:tcW w:w="3590" w:type="dxa"/>
          </w:tcPr>
          <w:p>
            <w:pPr>
              <w:pStyle w:val="Compact"/>
              <w:spacing w:before="20" w:after="20"/>
            </w:pPr>
            <w:r>
              <w:rPr>
                <w:sz w:val="17"/>
              </w:rPr>
              <w:t>Empresa usuaria de IA</w:t>
            </w:r>
          </w:p>
        </w:tc>
        <w:tc>
          <w:tcPr>
            <w:tcW w:w="6041" w:type="dxa"/>
          </w:tcPr>
          <w:p>
            <w:pPr>
              <w:pStyle w:val="Compact"/>
              <w:spacing w:before="20" w:after="20"/>
            </w:pPr>
            <w:r>
              <w:rPr>
                <w:sz w:val="17"/>
              </w:rPr>
              <w:t>Realismo de los casos y de los productos</w:t>
            </w:r>
          </w:p>
        </w:tc>
      </w:tr>
      <w:tr>
        <w:tc>
          <w:tcPr>
            <w:tcW w:w="3590" w:type="dxa"/>
          </w:tcPr>
          <w:p>
            <w:pPr>
              <w:pStyle w:val="Compact"/>
              <w:spacing w:before="20" w:after="20"/>
            </w:pPr>
            <w:r>
              <w:rPr>
                <w:sz w:val="17"/>
              </w:rPr>
              <w:t>Evaluación de competencias (certificado en el EC0076)</w:t>
            </w:r>
          </w:p>
        </w:tc>
        <w:tc>
          <w:tcPr>
            <w:tcW w:w="6041" w:type="dxa"/>
          </w:tcPr>
          <w:p>
            <w:pPr>
              <w:pStyle w:val="Compact"/>
              <w:spacing w:before="20" w:after="20"/>
            </w:pPr>
            <w:r>
              <w:rPr>
                <w:sz w:val="17"/>
              </w:rPr>
              <w:t>Evaluabilidad de los criterios e instrumentos</w:t>
            </w:r>
          </w:p>
        </w:tc>
      </w:tr>
      <w:tr>
        <w:tc>
          <w:tcPr>
            <w:tcW w:w="3590" w:type="dxa"/>
          </w:tcPr>
          <w:p>
            <w:pPr>
              <w:pStyle w:val="Compact"/>
              <w:spacing w:before="20" w:after="20"/>
            </w:pPr>
            <w:r>
              <w:rPr>
                <w:sz w:val="17"/>
              </w:rPr>
              <w:t>IA o ciencia de datos</w:t>
            </w:r>
          </w:p>
        </w:tc>
        <w:tc>
          <w:tcPr>
            <w:tcW w:w="6041" w:type="dxa"/>
          </w:tcPr>
          <w:p>
            <w:pPr>
              <w:pStyle w:val="Compact"/>
              <w:spacing w:before="20" w:after="20"/>
            </w:pPr>
            <w:r>
              <w:rPr>
                <w:sz w:val="17"/>
              </w:rPr>
              <w:t>Exactitud técnica sobre sistemas de IA y sus riesgos</w:t>
            </w:r>
          </w:p>
        </w:tc>
      </w:tr>
    </w:tbl>
    <w:p>
      <w:pPr>
        <w:pStyle w:val="BodyText"/>
      </w:pPr>
    </w:p>
    <w:p>
      <w:pPr>
        <w:pStyle w:val="BodyText"/>
      </w:pPr>
      <w:r>
        <w:rPr>
          <w:b/>
        </w:rPr>
        <w:t>Compromisos de cada integrante:</w:t>
      </w:r>
      <w:r>
        <w:rPr/>
        <w:t xml:space="preserve"> asistir a las sesiones; revisar los documentos antes de cada sesión; firmar la carta de confidencialidad, conflicto de interés y autorización de uso de sus aportaciones (sección 3.4). Sus datos se tratan conforme al aviso de privacidad para integrantes del grupo técnico (documento 19).</w:t>
      </w:r>
    </w:p>
    <w:p>
      <w:pPr>
        <w:pStyle w:val="BodyText"/>
      </w:pPr>
      <w:r>
        <w:rPr>
          <w:b/>
        </w:rPr>
        <w:t>Reconocimiento:</w:t>
      </w:r>
      <w:r>
        <w:rPr/>
        <w:t xml:space="preserve"> mención como participante en el estándar publicado, si el formato del CONOCER lo permite (por confirmar), y constancia de participación.</w:t>
      </w:r>
    </w:p>
    <w:p>
      <w:pPr>
        <w:pStyle w:val="Heading3"/>
      </w:pPr>
      <w:r>
        <w:rPr/>
        <w:t>3.2 Sesiones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97"/>
        <w:gridCol w:w="860"/>
        <w:gridCol w:w="3541"/>
        <w:gridCol w:w="3432"/>
      </w:tblGrid>
      <w:tr>
        <w:trPr>
          <w:tblHeader w:val="true"/>
          <w:cantSplit/>
        </w:trPr>
        <w:tc>
          <w:tcPr>
            <w:tcW w:w="1797" w:type="dxa"/>
            <w:shd w:val="clear" w:color="auto" w:fill="ECECEC"/>
          </w:tcPr>
          <w:p>
            <w:pPr>
              <w:pStyle w:val="Compact"/>
              <w:spacing w:before="20" w:after="20"/>
            </w:pPr>
            <w:r>
              <w:rPr>
                <w:b/>
                <w:sz w:val="17"/>
              </w:rPr>
              <w:t>Sesión</w:t>
            </w:r>
          </w:p>
        </w:tc>
        <w:tc>
          <w:tcPr>
            <w:tcW w:w="860" w:type="dxa"/>
            <w:shd w:val="clear" w:color="auto" w:fill="ECECEC"/>
          </w:tcPr>
          <w:p>
            <w:pPr>
              <w:pStyle w:val="Compact"/>
              <w:spacing w:before="20" w:after="20"/>
            </w:pPr>
            <w:r>
              <w:rPr>
                <w:b/>
                <w:sz w:val="17"/>
              </w:rPr>
              <w:t>Duración</w:t>
            </w:r>
          </w:p>
        </w:tc>
        <w:tc>
          <w:tcPr>
            <w:tcW w:w="3541" w:type="dxa"/>
            <w:shd w:val="clear" w:color="auto" w:fill="ECECEC"/>
          </w:tcPr>
          <w:p>
            <w:pPr>
              <w:pStyle w:val="Compact"/>
              <w:spacing w:before="20" w:after="20"/>
            </w:pPr>
            <w:r>
              <w:rPr>
                <w:b/>
                <w:sz w:val="17"/>
              </w:rPr>
              <w:t>Documentos</w:t>
            </w:r>
          </w:p>
        </w:tc>
        <w:tc>
          <w:tcPr>
            <w:tcW w:w="3432" w:type="dxa"/>
            <w:shd w:val="clear" w:color="auto" w:fill="ECECEC"/>
          </w:tcPr>
          <w:p>
            <w:pPr>
              <w:pStyle w:val="Compact"/>
              <w:spacing w:before="20" w:after="20"/>
            </w:pPr>
            <w:r>
              <w:rPr>
                <w:b/>
                <w:sz w:val="17"/>
              </w:rPr>
              <w:t>Resultado</w:t>
            </w:r>
          </w:p>
        </w:tc>
      </w:tr>
      <w:tr>
        <w:tc>
          <w:tcPr>
            <w:tcW w:w="1797" w:type="dxa"/>
          </w:tcPr>
          <w:p>
            <w:pPr>
              <w:pStyle w:val="Compact"/>
              <w:spacing w:before="20" w:after="20"/>
            </w:pPr>
            <w:r>
              <w:rPr>
                <w:sz w:val="17"/>
              </w:rPr>
              <w:t>1. Arranque y mapa funcional</w:t>
            </w:r>
          </w:p>
        </w:tc>
        <w:tc>
          <w:tcPr>
            <w:tcW w:w="860" w:type="dxa"/>
          </w:tcPr>
          <w:p>
            <w:pPr>
              <w:pStyle w:val="Compact"/>
              <w:spacing w:before="20" w:after="20"/>
            </w:pPr>
            <w:r>
              <w:rPr>
                <w:sz w:val="17"/>
              </w:rPr>
              <w:t>3 horas</w:t>
            </w:r>
          </w:p>
        </w:tc>
        <w:tc>
          <w:tcPr>
            <w:tcW w:w="3541" w:type="dxa"/>
          </w:tcPr>
          <w:p>
            <w:pPr>
              <w:pStyle w:val="Compact"/>
              <w:spacing w:before="20" w:after="20"/>
            </w:pPr>
            <w:r>
              <w:rPr>
                <w:sz w:val="17"/>
              </w:rPr>
              <w:t>01 y 04</w:t>
            </w:r>
          </w:p>
        </w:tc>
        <w:tc>
          <w:tcPr>
            <w:tcW w:w="3432" w:type="dxa"/>
          </w:tcPr>
          <w:p>
            <w:pPr>
              <w:pStyle w:val="Compact"/>
              <w:spacing w:before="20" w:after="20"/>
            </w:pPr>
            <w:r>
              <w:rPr>
                <w:sz w:val="17"/>
              </w:rPr>
              <w:t>Mapa funcional validado; delimitación con estándares existentes</w:t>
            </w:r>
          </w:p>
        </w:tc>
      </w:tr>
      <w:tr>
        <w:tc>
          <w:tcPr>
            <w:tcW w:w="1797" w:type="dxa"/>
          </w:tcPr>
          <w:p>
            <w:pPr>
              <w:pStyle w:val="Compact"/>
              <w:spacing w:before="20" w:after="20"/>
            </w:pPr>
            <w:r>
              <w:rPr>
                <w:sz w:val="17"/>
              </w:rPr>
              <w:t>2. EC-A</w:t>
            </w:r>
          </w:p>
        </w:tc>
        <w:tc>
          <w:tcPr>
            <w:tcW w:w="860" w:type="dxa"/>
          </w:tcPr>
          <w:p>
            <w:pPr>
              <w:pStyle w:val="Compact"/>
              <w:spacing w:before="20" w:after="20"/>
            </w:pPr>
            <w:r>
              <w:rPr>
                <w:sz w:val="17"/>
              </w:rPr>
              <w:t>4 horas</w:t>
            </w:r>
          </w:p>
        </w:tc>
        <w:tc>
          <w:tcPr>
            <w:tcW w:w="3541" w:type="dxa"/>
          </w:tcPr>
          <w:p>
            <w:pPr>
              <w:pStyle w:val="Compact"/>
              <w:spacing w:before="20" w:after="20"/>
            </w:pPr>
            <w:r>
              <w:rPr>
                <w:sz w:val="17"/>
              </w:rPr>
              <w:t>02, 05 y 06</w:t>
            </w:r>
          </w:p>
        </w:tc>
        <w:tc>
          <w:tcPr>
            <w:tcW w:w="3432" w:type="dxa"/>
          </w:tcPr>
          <w:p>
            <w:pPr>
              <w:pStyle w:val="Compact"/>
              <w:spacing w:before="20" w:after="20"/>
            </w:pPr>
            <w:r>
              <w:rPr>
                <w:sz w:val="17"/>
              </w:rPr>
              <w:t>Criterios del EC-A validados; observaciones al instrumento</w:t>
            </w:r>
          </w:p>
        </w:tc>
      </w:tr>
      <w:tr>
        <w:tc>
          <w:tcPr>
            <w:tcW w:w="1797" w:type="dxa"/>
          </w:tcPr>
          <w:p>
            <w:pPr>
              <w:pStyle w:val="Compact"/>
              <w:spacing w:before="20" w:after="20"/>
            </w:pPr>
            <w:r>
              <w:rPr>
                <w:sz w:val="17"/>
              </w:rPr>
              <w:t>3. EC-B</w:t>
            </w:r>
          </w:p>
        </w:tc>
        <w:tc>
          <w:tcPr>
            <w:tcW w:w="860" w:type="dxa"/>
          </w:tcPr>
          <w:p>
            <w:pPr>
              <w:pStyle w:val="Compact"/>
              <w:spacing w:before="20" w:after="20"/>
            </w:pPr>
            <w:r>
              <w:rPr>
                <w:sz w:val="17"/>
              </w:rPr>
              <w:t>4 horas</w:t>
            </w:r>
          </w:p>
        </w:tc>
        <w:tc>
          <w:tcPr>
            <w:tcW w:w="3541" w:type="dxa"/>
          </w:tcPr>
          <w:p>
            <w:pPr>
              <w:pStyle w:val="Compact"/>
              <w:spacing w:before="20" w:after="20"/>
            </w:pPr>
            <w:r>
              <w:rPr>
                <w:sz w:val="17"/>
              </w:rPr>
              <w:t>03, 07 y 08</w:t>
            </w:r>
          </w:p>
        </w:tc>
        <w:tc>
          <w:tcPr>
            <w:tcW w:w="3432" w:type="dxa"/>
          </w:tcPr>
          <w:p>
            <w:pPr>
              <w:pStyle w:val="Compact"/>
              <w:spacing w:before="20" w:after="20"/>
            </w:pPr>
            <w:r>
              <w:rPr>
                <w:sz w:val="17"/>
              </w:rPr>
              <w:t>Criterios del EC-B validados; observaciones al instrumento</w:t>
            </w:r>
          </w:p>
        </w:tc>
      </w:tr>
      <w:tr>
        <w:tc>
          <w:tcPr>
            <w:tcW w:w="1797" w:type="dxa"/>
          </w:tcPr>
          <w:p>
            <w:pPr>
              <w:pStyle w:val="Compact"/>
              <w:spacing w:before="20" w:after="20"/>
            </w:pPr>
            <w:r>
              <w:rPr>
                <w:sz w:val="17"/>
              </w:rPr>
              <w:t>4. Resultados de la prueba piloto</w:t>
            </w:r>
          </w:p>
        </w:tc>
        <w:tc>
          <w:tcPr>
            <w:tcW w:w="860" w:type="dxa"/>
          </w:tcPr>
          <w:p>
            <w:pPr>
              <w:pStyle w:val="Compact"/>
              <w:spacing w:before="20" w:after="20"/>
            </w:pPr>
            <w:r>
              <w:rPr>
                <w:sz w:val="17"/>
              </w:rPr>
              <w:t>3 horas</w:t>
            </w:r>
          </w:p>
        </w:tc>
        <w:tc>
          <w:tcPr>
            <w:tcW w:w="3541" w:type="dxa"/>
          </w:tcPr>
          <w:p>
            <w:pPr>
              <w:pStyle w:val="Compact"/>
              <w:spacing w:before="20" w:after="20"/>
            </w:pPr>
            <w:r>
              <w:rPr>
                <w:sz w:val="17"/>
              </w:rPr>
              <w:t>Análisis de resultados de la piloto (documento 16, semanas 8 y 9)</w:t>
            </w:r>
          </w:p>
        </w:tc>
        <w:tc>
          <w:tcPr>
            <w:tcW w:w="3432" w:type="dxa"/>
          </w:tcPr>
          <w:p>
            <w:pPr>
              <w:pStyle w:val="Compact"/>
              <w:spacing w:before="20" w:after="20"/>
            </w:pPr>
            <w:r>
              <w:rPr>
                <w:sz w:val="17"/>
              </w:rPr>
              <w:t>Ajustes aprobados; versión para presentar al CONOCER</w:t>
            </w:r>
          </w:p>
        </w:tc>
      </w:tr>
    </w:tbl>
    <w:p>
      <w:pPr>
        <w:pStyle w:val="BodyText"/>
      </w:pPr>
    </w:p>
    <w:p>
      <w:pPr>
        <w:pStyle w:val="BodyText"/>
      </w:pPr>
      <w:r>
        <w:rPr/>
        <w:t>En cada sesión se revisa cada criterio con tres preguntas: ¿describe lo que la persona hace en el trabajo?, ¿se puede observar o verificar en la evaluación?, ¿es necesario o repite otro criterio?</w:t>
      </w:r>
    </w:p>
    <w:p>
      <w:pPr>
        <w:pStyle w:val="Heading3"/>
      </w:pPr>
      <w:r>
        <w:rPr/>
        <w:t>3.3 Formato de minuta de validación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57"/>
        <w:gridCol w:w="1274"/>
      </w:tblGrid>
      <w:tr>
        <w:trPr>
          <w:tblHeader w:val="true"/>
          <w:cantSplit/>
        </w:trPr>
        <w:tc>
          <w:tcPr>
            <w:tcW w:w="8357" w:type="dxa"/>
            <w:shd w:val="clear" w:color="auto" w:fill="ECECEC"/>
          </w:tcPr>
          <w:p>
            <w:pPr>
              <w:pStyle w:val="Compact"/>
              <w:spacing w:before="20" w:after="20"/>
            </w:pPr>
            <w:r>
              <w:rPr>
                <w:b/>
                <w:sz w:val="17"/>
              </w:rPr>
              <w:t>Campo</w:t>
            </w:r>
          </w:p>
        </w:tc>
        <w:tc>
          <w:tcPr>
            <w:tcW w:w="1274" w:type="dxa"/>
            <w:shd w:val="clear" w:color="auto" w:fill="ECECEC"/>
          </w:tcPr>
          <w:p>
            <w:pPr>
              <w:pStyle w:val="Compact"/>
              <w:spacing w:before="20" w:after="20"/>
            </w:pPr>
            <w:r>
              <w:rPr>
                <w:b/>
                <w:sz w:val="17"/>
              </w:rPr>
              <w:t>Contenido</w:t>
            </w:r>
          </w:p>
        </w:tc>
      </w:tr>
      <w:tr>
        <w:tc>
          <w:tcPr>
            <w:tcW w:w="8357" w:type="dxa"/>
          </w:tcPr>
          <w:p>
            <w:pPr>
              <w:pStyle w:val="Compact"/>
              <w:spacing w:before="20" w:after="20"/>
            </w:pPr>
            <w:r>
              <w:rPr>
                <w:sz w:val="17"/>
              </w:rPr>
              <w:t>Sesión, fecha, lugar o medio</w:t>
            </w:r>
          </w:p>
        </w:tc>
        <w:tc>
          <w:tcPr>
            <w:tcW w:w="1274" w:type="dxa"/>
          </w:tcPr>
          <w:p>
            <w:pPr>
              <w:pStyle w:val="Compact"/>
              <w:spacing w:before="20" w:after="20"/>
            </w:pPr>
          </w:p>
        </w:tc>
      </w:tr>
      <w:tr>
        <w:tc>
          <w:tcPr>
            <w:tcW w:w="8357" w:type="dxa"/>
          </w:tcPr>
          <w:p>
            <w:pPr>
              <w:pStyle w:val="Compact"/>
              <w:spacing w:before="20" w:after="20"/>
            </w:pPr>
            <w:r>
              <w:rPr>
                <w:sz w:val="17"/>
              </w:rPr>
              <w:t>Asistentes, con perfil</w:t>
            </w:r>
          </w:p>
        </w:tc>
        <w:tc>
          <w:tcPr>
            <w:tcW w:w="1274" w:type="dxa"/>
          </w:tcPr>
          <w:p>
            <w:pPr>
              <w:pStyle w:val="Compact"/>
              <w:spacing w:before="20" w:after="20"/>
            </w:pPr>
          </w:p>
        </w:tc>
      </w:tr>
      <w:tr>
        <w:tc>
          <w:tcPr>
            <w:tcW w:w="8357" w:type="dxa"/>
          </w:tcPr>
          <w:p>
            <w:pPr>
              <w:pStyle w:val="Compact"/>
              <w:spacing w:before="20" w:after="20"/>
            </w:pPr>
            <w:r>
              <w:rPr>
                <w:sz w:val="17"/>
              </w:rPr>
              <w:t>Documentos revisados y versión</w:t>
            </w:r>
          </w:p>
        </w:tc>
        <w:tc>
          <w:tcPr>
            <w:tcW w:w="1274" w:type="dxa"/>
          </w:tcPr>
          <w:p>
            <w:pPr>
              <w:pStyle w:val="Compact"/>
              <w:spacing w:before="20" w:after="20"/>
            </w:pPr>
          </w:p>
        </w:tc>
      </w:tr>
      <w:tr>
        <w:tc>
          <w:tcPr>
            <w:tcW w:w="8357" w:type="dxa"/>
          </w:tcPr>
          <w:p>
            <w:pPr>
              <w:pStyle w:val="Compact"/>
              <w:spacing w:before="20" w:after="20"/>
            </w:pPr>
            <w:r>
              <w:rPr>
                <w:sz w:val="17"/>
              </w:rPr>
              <w:t>Criterios aprobados sin cambios</w:t>
            </w:r>
          </w:p>
        </w:tc>
        <w:tc>
          <w:tcPr>
            <w:tcW w:w="1274" w:type="dxa"/>
          </w:tcPr>
          <w:p>
            <w:pPr>
              <w:pStyle w:val="Compact"/>
              <w:spacing w:before="20" w:after="20"/>
            </w:pPr>
          </w:p>
        </w:tc>
      </w:tr>
      <w:tr>
        <w:tc>
          <w:tcPr>
            <w:tcW w:w="8357" w:type="dxa"/>
          </w:tcPr>
          <w:p>
            <w:pPr>
              <w:pStyle w:val="Compact"/>
              <w:spacing w:before="20" w:after="20"/>
            </w:pPr>
            <w:r>
              <w:rPr>
                <w:sz w:val="17"/>
              </w:rPr>
              <w:t>Criterios modificados (texto anterior, texto nuevo, motivo)</w:t>
            </w:r>
          </w:p>
        </w:tc>
        <w:tc>
          <w:tcPr>
            <w:tcW w:w="1274" w:type="dxa"/>
          </w:tcPr>
          <w:p>
            <w:pPr>
              <w:pStyle w:val="Compact"/>
              <w:spacing w:before="20" w:after="20"/>
            </w:pPr>
          </w:p>
        </w:tc>
      </w:tr>
      <w:tr>
        <w:tc>
          <w:tcPr>
            <w:tcW w:w="8357" w:type="dxa"/>
          </w:tcPr>
          <w:p>
            <w:pPr>
              <w:pStyle w:val="Compact"/>
              <w:spacing w:before="20" w:after="20"/>
            </w:pPr>
            <w:r>
              <w:rPr>
                <w:sz w:val="17"/>
              </w:rPr>
              <w:t>Criterios eliminados o agregados, con motivo</w:t>
            </w:r>
          </w:p>
        </w:tc>
        <w:tc>
          <w:tcPr>
            <w:tcW w:w="1274" w:type="dxa"/>
          </w:tcPr>
          <w:p>
            <w:pPr>
              <w:pStyle w:val="Compact"/>
              <w:spacing w:before="20" w:after="20"/>
            </w:pPr>
          </w:p>
        </w:tc>
      </w:tr>
      <w:tr>
        <w:tc>
          <w:tcPr>
            <w:tcW w:w="8357" w:type="dxa"/>
          </w:tcPr>
          <w:p>
            <w:pPr>
              <w:pStyle w:val="Compact"/>
              <w:spacing w:before="20" w:after="20"/>
            </w:pPr>
            <w:r>
              <w:rPr>
                <w:sz w:val="17"/>
              </w:rPr>
              <w:t>Asuntos pendientes, responsable y fecha</w:t>
            </w:r>
          </w:p>
        </w:tc>
        <w:tc>
          <w:tcPr>
            <w:tcW w:w="1274" w:type="dxa"/>
          </w:tcPr>
          <w:p>
            <w:pPr>
              <w:pStyle w:val="Compact"/>
              <w:spacing w:before="20" w:after="20"/>
            </w:pPr>
          </w:p>
        </w:tc>
      </w:tr>
      <w:tr>
        <w:tc>
          <w:tcPr>
            <w:tcW w:w="8357" w:type="dxa"/>
          </w:tcPr>
          <w:p>
            <w:pPr>
              <w:pStyle w:val="Compact"/>
              <w:spacing w:before="20" w:after="20"/>
            </w:pPr>
            <w:r>
              <w:rPr>
                <w:sz w:val="17"/>
              </w:rPr>
              <w:t>Acuerdo de validación</w:t>
            </w:r>
          </w:p>
        </w:tc>
        <w:tc>
          <w:tcPr>
            <w:tcW w:w="1274" w:type="dxa"/>
          </w:tcPr>
          <w:p>
            <w:pPr>
              <w:pStyle w:val="Compact"/>
              <w:spacing w:before="20" w:after="20"/>
            </w:pPr>
          </w:p>
        </w:tc>
      </w:tr>
      <w:tr>
        <w:tc>
          <w:tcPr>
            <w:tcW w:w="8357" w:type="dxa"/>
          </w:tcPr>
          <w:p>
            <w:pPr>
              <w:pStyle w:val="Compact"/>
              <w:spacing w:before="20" w:after="20"/>
            </w:pPr>
            <w:r>
              <w:rPr>
                <w:sz w:val="17"/>
              </w:rPr>
              <w:t>Firmas</w:t>
            </w:r>
          </w:p>
        </w:tc>
        <w:tc>
          <w:tcPr>
            <w:tcW w:w="1274" w:type="dxa"/>
          </w:tcPr>
          <w:p>
            <w:pPr>
              <w:pStyle w:val="Compact"/>
              <w:spacing w:before="20" w:after="20"/>
            </w:pPr>
          </w:p>
        </w:tc>
      </w:tr>
    </w:tbl>
    <w:p>
      <w:pPr>
        <w:pStyle w:val="BodyText"/>
      </w:pPr>
    </w:p>
    <w:p>
      <w:pPr>
        <w:pStyle w:val="Heading3"/>
      </w:pPr>
      <w:r>
        <w:rPr/>
        <w:t>3.4 Carta de confidencialidad y de conflicto de interés</w:t>
      </w:r>
    </w:p>
    <w:p>
      <w:pPr>
        <w:pStyle w:val="FirstParagraph"/>
      </w:pPr>
      <w:r>
        <w:rPr/>
        <w:t>Yo, [nombre], integrante del grupo técnico para el desarrollo de los Estándares de Competencia en inteligencia artificial, manifiesto que:</w:t>
      </w:r>
    </w:p>
    <w:p>
      <w:pPr>
        <w:pStyle w:val="Compact"/>
        <w:numPr>
          <w:ilvl w:val="0"/>
          <w:numId w:val="1009"/>
        </w:numPr>
      </w:pPr>
      <w:r>
        <w:rPr/>
        <w:t>Guardaré confidencialidad sobre los instrumentos de evaluación, sus claves y los casos de evaluación, durante mi participación y después de ella.</w:t>
      </w:r>
    </w:p>
    <w:p>
      <w:pPr>
        <w:pStyle w:val="Compact"/>
        <w:numPr>
          <w:ilvl w:val="0"/>
          <w:numId w:val="1009"/>
        </w:numPr>
      </w:pPr>
      <w:r>
        <w:rPr/>
        <w:t>No usaré los instrumentos ni sus claves para preparar a candidatos ni para fines distintos del desarrollo de los estándares.</w:t>
      </w:r>
    </w:p>
    <w:p>
      <w:pPr>
        <w:pStyle w:val="Compact"/>
        <w:numPr>
          <w:ilvl w:val="0"/>
          <w:numId w:val="1009"/>
        </w:numPr>
      </w:pPr>
      <w:r>
        <w:rPr/>
        <w:t>Informaré cualquier interés que pueda afectar mi imparcialidad, como impartir cursos o evaluar en estos estándares, o tener una relación con un proveedor de sistemas de IA mencionado en las sesiones.</w:t>
      </w:r>
    </w:p>
    <w:p>
      <w:pPr>
        <w:pStyle w:val="Compact"/>
        <w:numPr>
          <w:ilvl w:val="0"/>
          <w:numId w:val="1009"/>
        </w:numPr>
      </w:pPr>
      <w:r>
        <w:rPr/>
        <w:t>Mis opiniones en el grupo técnico son técnicas y no comprometen a la organización en la que trabajo, salvo que así se indique.</w:t>
      </w:r>
    </w:p>
    <w:p>
      <w:pPr>
        <w:pStyle w:val="Compact"/>
        <w:numPr>
          <w:ilvl w:val="0"/>
          <w:numId w:val="1009"/>
        </w:numPr>
      </w:pPr>
      <w:r>
        <w:rPr/>
        <w:t>Autorizo a [empresa o Comité de Gestión por Competencias] a usar, modificar e incorporar mis aportaciones en los estándares, los instrumentos de evaluación y los materiales, y le transmito los derechos patrimoniales que pudieran corresponderme sobre ellas en los términos del contrato de cesión del documento 20, que se firma por escrito y con la contraprestación que ahí se indica (Ley Federal del Derecho de Autor, artículo 30).</w:t>
      </w:r>
    </w:p>
    <w:p>
      <w:pPr>
        <w:pStyle w:val="Compact"/>
        <w:numPr>
          <w:ilvl w:val="0"/>
          <w:numId w:val="1009"/>
        </w:numPr>
      </w:pPr>
      <w:r>
        <w:rPr/>
        <w:t>Acepto que mi nombre y la organización en la que trabajo aparezcan como participantes en el estándar publicado, si el formato del CONOCER lo permite. [Sí / No]</w:t>
      </w:r>
    </w:p>
    <w:p>
      <w:pPr>
        <w:pStyle w:val="BodyText"/>
      </w:pPr>
      <w:r>
        <w:rPr/>
        <w:t xml:space="preserve">Intereses que declaro: </w:t>
      </w:r>
      <w:r>
        <w:rPr>
          <w:b/>
          <w:i/>
        </w:rPr>
        <w:t>_</w:t>
      </w:r>
      <w:r>
        <w:rPr>
          <w:b/>
          <w:i/>
        </w:rPr>
        <w:t>_</w:t>
      </w:r>
      <w:r>
        <w:rPr/>
        <w:t>______</w:t>
      </w:r>
    </w:p>
    <w:p>
      <w:pPr>
        <w:pStyle w:val="BodyText"/>
      </w:pPr>
      <w:r>
        <w:rPr/>
        <w:t xml:space="preserve">Firma: </w:t>
      </w:r>
      <w:r>
        <w:rPr>
          <w:b/>
          <w:i/>
        </w:rPr>
        <w:t>_</w:t>
      </w:r>
      <w:r>
        <w:rPr>
          <w:b/>
          <w:i/>
        </w:rPr>
        <w:t>_</w:t>
      </w:r>
      <w:r>
        <w:rPr>
          <w:b/>
          <w:i/>
        </w:rPr>
        <w:t>_</w:t>
      </w:r>
      <w:r>
        <w:rPr>
          <w:b/>
        </w:rPr>
        <w:t xml:space="preserve">_ Fecha: </w:t>
      </w:r>
      <w:r>
        <w:rPr>
          <w:b/>
          <w:i/>
        </w:rPr>
        <w:t>_</w:t>
      </w:r>
      <w:r>
        <w:rPr>
          <w:b/>
          <w:i/>
        </w:rPr>
        <w:t>_</w:t>
      </w:r>
      <w:r>
        <w:rPr/>
        <w:t>____</w:t>
      </w:r>
    </w:p>
    <w:p>
      <w:pPr>
        <w:pStyle w:val="Heading2"/>
      </w:pPr>
      <w:r>
        <w:rPr/>
        <w:t>4. Calendario tentativo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5"/>
        <w:gridCol w:w="8766"/>
      </w:tblGrid>
      <w:tr>
        <w:trPr>
          <w:tblHeader w:val="true"/>
          <w:cantSplit/>
        </w:trPr>
        <w:tc>
          <w:tcPr>
            <w:tcW w:w="865" w:type="dxa"/>
            <w:shd w:val="clear" w:color="auto" w:fill="ECECEC"/>
          </w:tcPr>
          <w:p>
            <w:pPr>
              <w:pStyle w:val="Compact"/>
              <w:spacing w:before="20" w:after="20"/>
            </w:pPr>
            <w:r>
              <w:rPr>
                <w:b/>
                <w:sz w:val="17"/>
              </w:rPr>
              <w:t>Mes</w:t>
            </w:r>
          </w:p>
        </w:tc>
        <w:tc>
          <w:tcPr>
            <w:tcW w:w="8766" w:type="dxa"/>
            <w:shd w:val="clear" w:color="auto" w:fill="ECECEC"/>
          </w:tcPr>
          <w:p>
            <w:pPr>
              <w:pStyle w:val="Compact"/>
              <w:spacing w:before="20" w:after="20"/>
            </w:pPr>
            <w:r>
              <w:rPr>
                <w:b/>
                <w:sz w:val="17"/>
              </w:rPr>
              <w:t>Actividad</w:t>
            </w:r>
          </w:p>
        </w:tc>
      </w:tr>
      <w:tr>
        <w:tc>
          <w:tcPr>
            <w:tcW w:w="865" w:type="dxa"/>
          </w:tcPr>
          <w:p>
            <w:pPr>
              <w:pStyle w:val="Compact"/>
              <w:spacing w:before="20" w:after="20"/>
            </w:pPr>
            <w:r>
              <w:rPr>
                <w:sz w:val="17"/>
              </w:rPr>
              <w:t>1</w:t>
            </w:r>
          </w:p>
        </w:tc>
        <w:tc>
          <w:tcPr>
            <w:tcW w:w="8766" w:type="dxa"/>
          </w:tcPr>
          <w:p>
            <w:pPr>
              <w:pStyle w:val="Compact"/>
              <w:spacing w:before="20" w:after="20"/>
            </w:pPr>
            <w:r>
              <w:rPr>
                <w:sz w:val="17"/>
              </w:rPr>
              <w:t>Reunión con el CONOCER: elegir la opción A o B, confirmar formatos, registro como EC o ECM (documento 18)</w:t>
            </w:r>
          </w:p>
        </w:tc>
      </w:tr>
      <w:tr>
        <w:tc>
          <w:tcPr>
            <w:tcW w:w="865" w:type="dxa"/>
          </w:tcPr>
          <w:p>
            <w:pPr>
              <w:pStyle w:val="Compact"/>
              <w:spacing w:before="20" w:after="20"/>
            </w:pPr>
            <w:r>
              <w:rPr>
                <w:sz w:val="17"/>
              </w:rPr>
              <w:t>1 a 2</w:t>
            </w:r>
          </w:p>
        </w:tc>
        <w:tc>
          <w:tcPr>
            <w:tcW w:w="8766" w:type="dxa"/>
          </w:tcPr>
          <w:p>
            <w:pPr>
              <w:pStyle w:val="Compact"/>
              <w:spacing w:before="20" w:after="20"/>
            </w:pPr>
            <w:r>
              <w:rPr>
                <w:sz w:val="17"/>
              </w:rPr>
              <w:t>Invitación a integrantes del CGC y del grupo técnico; propuesta de integración</w:t>
            </w:r>
          </w:p>
        </w:tc>
      </w:tr>
      <w:tr>
        <w:tc>
          <w:tcPr>
            <w:tcW w:w="865" w:type="dxa"/>
          </w:tcPr>
          <w:p>
            <w:pPr>
              <w:pStyle w:val="Compact"/>
              <w:spacing w:before="20" w:after="20"/>
            </w:pPr>
            <w:r>
              <w:rPr>
                <w:sz w:val="17"/>
              </w:rPr>
              <w:t>2</w:t>
            </w:r>
          </w:p>
        </w:tc>
        <w:tc>
          <w:tcPr>
            <w:tcW w:w="8766" w:type="dxa"/>
          </w:tcPr>
          <w:p>
            <w:pPr>
              <w:pStyle w:val="Compact"/>
              <w:spacing w:before="20" w:after="20"/>
            </w:pPr>
            <w:r>
              <w:rPr>
                <w:sz w:val="17"/>
              </w:rPr>
              <w:t>Sesión 1 del grupo técnico</w:t>
            </w:r>
          </w:p>
        </w:tc>
      </w:tr>
      <w:tr>
        <w:tc>
          <w:tcPr>
            <w:tcW w:w="865" w:type="dxa"/>
          </w:tcPr>
          <w:p>
            <w:pPr>
              <w:pStyle w:val="Compact"/>
              <w:spacing w:before="20" w:after="20"/>
            </w:pPr>
            <w:r>
              <w:rPr>
                <w:sz w:val="17"/>
              </w:rPr>
              <w:t>3</w:t>
            </w:r>
          </w:p>
        </w:tc>
        <w:tc>
          <w:tcPr>
            <w:tcW w:w="8766" w:type="dxa"/>
          </w:tcPr>
          <w:p>
            <w:pPr>
              <w:pStyle w:val="Compact"/>
              <w:spacing w:before="20" w:after="20"/>
            </w:pPr>
            <w:r>
              <w:rPr>
                <w:sz w:val="17"/>
              </w:rPr>
              <w:t>Sesiones 2 y 3 del grupo técnico; inicio de la prueba piloto</w:t>
            </w:r>
          </w:p>
        </w:tc>
      </w:tr>
      <w:tr>
        <w:tc>
          <w:tcPr>
            <w:tcW w:w="865" w:type="dxa"/>
          </w:tcPr>
          <w:p>
            <w:pPr>
              <w:pStyle w:val="Compact"/>
              <w:spacing w:before="20" w:after="20"/>
            </w:pPr>
            <w:r>
              <w:rPr>
                <w:sz w:val="17"/>
              </w:rPr>
              <w:t>3 a 5</w:t>
            </w:r>
          </w:p>
        </w:tc>
        <w:tc>
          <w:tcPr>
            <w:tcW w:w="8766" w:type="dxa"/>
          </w:tcPr>
          <w:p>
            <w:pPr>
              <w:pStyle w:val="Compact"/>
              <w:spacing w:before="20" w:after="20"/>
            </w:pPr>
            <w:r>
              <w:rPr>
                <w:sz w:val="17"/>
              </w:rPr>
              <w:t>Prueba piloto (documento 16)</w:t>
            </w:r>
          </w:p>
        </w:tc>
      </w:tr>
      <w:tr>
        <w:tc>
          <w:tcPr>
            <w:tcW w:w="865" w:type="dxa"/>
          </w:tcPr>
          <w:p>
            <w:pPr>
              <w:pStyle w:val="Compact"/>
              <w:spacing w:before="20" w:after="20"/>
            </w:pPr>
            <w:r>
              <w:rPr>
                <w:sz w:val="17"/>
              </w:rPr>
              <w:t>5</w:t>
            </w:r>
          </w:p>
        </w:tc>
        <w:tc>
          <w:tcPr>
            <w:tcW w:w="8766" w:type="dxa"/>
          </w:tcPr>
          <w:p>
            <w:pPr>
              <w:pStyle w:val="Compact"/>
              <w:spacing w:before="20" w:after="20"/>
            </w:pPr>
            <w:r>
              <w:rPr>
                <w:sz w:val="17"/>
              </w:rPr>
              <w:t>Sesión 4 del grupo técnico</w:t>
            </w:r>
          </w:p>
        </w:tc>
      </w:tr>
      <w:tr>
        <w:tc>
          <w:tcPr>
            <w:tcW w:w="865" w:type="dxa"/>
          </w:tcPr>
          <w:p>
            <w:pPr>
              <w:pStyle w:val="Compact"/>
              <w:spacing w:before="20" w:after="20"/>
            </w:pPr>
            <w:r>
              <w:rPr>
                <w:sz w:val="17"/>
              </w:rPr>
              <w:t>6</w:t>
            </w:r>
          </w:p>
        </w:tc>
        <w:tc>
          <w:tcPr>
            <w:tcW w:w="8766" w:type="dxa"/>
          </w:tcPr>
          <w:p>
            <w:pPr>
              <w:pStyle w:val="Compact"/>
              <w:spacing w:before="20" w:after="20"/>
            </w:pPr>
            <w:r>
              <w:rPr>
                <w:sz w:val="17"/>
              </w:rPr>
              <w:t>Presentación de los estándares y documentos de soporte al CONOCER</w:t>
            </w:r>
          </w:p>
        </w:tc>
      </w:tr>
    </w:tbl>
    <w:p>
      <w:pPr>
        <w:pStyle w:val="BodyText"/>
      </w:pPr>
    </w:p>
    <w:p>
      <w:pPr>
        <w:pStyle w:val="BodyText"/>
      </w:pPr>
      <w:r>
        <w:rPr/>
        <w:t>Los plazos de aprobación y de publicación en el Diario Oficial de la Federación dependen del CONOCER.</w:t>
      </w:r>
    </w:p>
    <w:p>
      <w:pPr>
        <w:pStyle w:val="Heading2"/>
      </w:pPr>
      <w:r>
        <w:rPr/>
        <w:t>5. Preguntas para el CONOCER</w:t>
      </w:r>
    </w:p>
    <w:p>
      <w:pPr>
        <w:pStyle w:val="Compact"/>
        <w:numPr>
          <w:ilvl w:val="0"/>
          <w:numId w:val="1010"/>
        </w:numPr>
      </w:pPr>
      <w:r>
        <w:rPr/>
        <w:t>¿Conviene integrar un CGC nuevo o adherirse a uno existente? ¿Cuál?</w:t>
      </w:r>
    </w:p>
    <w:p>
      <w:pPr>
        <w:pStyle w:val="Compact"/>
        <w:numPr>
          <w:ilvl w:val="0"/>
          <w:numId w:val="1010"/>
        </w:numPr>
      </w:pPr>
      <w:r>
        <w:rPr/>
        <w:t>¿Cuáles son los formatos y requisitos vigentes de la propuesta de integración y del acta?</w:t>
      </w:r>
    </w:p>
    <w:p>
      <w:pPr>
        <w:pStyle w:val="Compact"/>
        <w:numPr>
          <w:ilvl w:val="0"/>
          <w:numId w:val="1010"/>
        </w:numPr>
      </w:pPr>
      <w:r>
        <w:rPr/>
        <w:t>¿Qué instancia valida hoy los CGC y los estándares, y con qué calendario sesiona?</w:t>
      </w:r>
    </w:p>
    <w:p>
      <w:pPr>
        <w:pStyle w:val="Compact"/>
        <w:numPr>
          <w:ilvl w:val="0"/>
          <w:numId w:val="1010"/>
        </w:numPr>
      </w:pPr>
      <w:r>
        <w:rPr/>
        <w:t>¿Cuántos integrantes y qué representatividad mínima se requieren?</w:t>
      </w:r>
    </w:p>
    <w:p>
      <w:pPr>
        <w:pStyle w:val="Compact"/>
        <w:numPr>
          <w:ilvl w:val="0"/>
          <w:numId w:val="1010"/>
        </w:numPr>
      </w:pPr>
      <w:r>
        <w:rPr/>
        <w:t>¿Pueden presentarse los dos estándares en la misma sesión?</w:t>
      </w:r>
    </w:p>
    <w:p>
      <w:pPr>
        <w:pStyle w:val="Compact"/>
        <w:numPr>
          <w:ilvl w:val="0"/>
          <w:numId w:val="1010"/>
        </w:numPr>
      </w:pPr>
      <w:r>
        <w:rPr/>
        <w:t>¿Qué documentos de soporte se requieren: mapa funcional, instrumento de evaluación, resultados de la prueba piloto, minutas del grupo técnico?</w:t>
      </w:r>
    </w:p>
    <w:p>
      <w:pPr>
        <w:pStyle w:val="Compact"/>
        <w:numPr>
          <w:ilvl w:val="0"/>
          <w:numId w:val="1010"/>
        </w:numPr>
      </w:pPr>
      <w:r>
        <w:rPr/>
        <w:t>¿Se puede registrar a los integrantes del grupo técnico como participantes en el estándar publicado?</w:t>
      </w:r>
    </w:p>
    <w:p>
      <w:pPr>
        <w:pStyle w:val="Heading2"/>
      </w:pPr>
      <w:r>
        <w:rPr/>
        <w:t>Fuentes consultadas</w:t>
      </w:r>
    </w:p>
    <w:p>
      <w:pPr>
        <w:pStyle w:val="Compact"/>
        <w:numPr>
          <w:ilvl w:val="0"/>
          <w:numId w:val="1006"/>
        </w:numPr>
      </w:pPr>
      <w:r>
        <w:rPr/>
        <w:t xml:space="preserve">CONOCER. </w:t>
      </w:r>
      <w:r>
        <w:rPr>
          <w:i/>
        </w:rPr>
        <w:t>ABC de los Comités de Gestión por Competencias.</w:t>
      </w:r>
      <w:r>
        <w:rPr/>
        <w:t xml:space="preserve"> https://www.conocer.gob.mx/contenido/comites/ABC_Comites_Gestion_Competencias.pdf</w:t>
      </w:r>
    </w:p>
    <w:p>
      <w:pPr>
        <w:pStyle w:val="Compact"/>
        <w:numPr>
          <w:ilvl w:val="0"/>
          <w:numId w:val="1006"/>
        </w:numPr>
      </w:pPr>
      <w:r>
        <w:rPr/>
        <w:t>CONOCER. Manuales publicados en la sección de transparencia (incluido el manual de integración y operación del comité de validación, versión de 2015). https://web.archive.org/web/2026id_/https://www.conocer.gob.mx/contenido/seccionesExtras/transparencia/pdfs/61.pdf</w:t>
      </w:r>
    </w:p>
    <w:p>
      <w:pPr>
        <w:pStyle w:val="Compact"/>
        <w:numPr>
          <w:ilvl w:val="0"/>
          <w:numId w:val="1006"/>
        </w:numPr>
      </w:pPr>
      <w:r>
        <w:rPr/>
        <w:t>IMSS. Boletín sobre la instalación de su Comité de Gestión por Competencias. https://www.imss.gob.mx/sites/all/statics/i2f_news/IMSS.%20Bolet%C3%ADn.%20Instala%20IMSS%20nuevo%20Comit%C3%A9%20de%20Gesti%C3%B3n%20por%20Competencias%20para%20fortalecer%20profesionalizaci%C3%B3n%20del%20personal%5B1%5D.pdf</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Gobernanza: comité y grupo técnico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Gobernanza del desarrollo de los estándares</dc:title>
  <dc:creator>Proyecto Estándares de Competencia en IA</dc:creator>
  <cp:keywords/>
  <dcterms:created xsi:type="dcterms:W3CDTF">2026-10-09T15:04:47Z</dcterms:created>
  <dcterms:modified xsi:type="dcterms:W3CDTF">2026-10-09T15:04:47Z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