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Contratos tipo de la empresa</w:t>
      </w:r>
    </w:p>
    <w:p>
      <w:pPr>
        <w:pStyle w:val="FirstParagraph"/>
      </w:pPr>
      <w:r>
        <w:rPr>
          <w:b/>
        </w:rPr>
        <w:t>Consultoría, encargo de datos personales, cesión de derechos y términos para participantes</w:t>
      </w:r>
    </w:p>
    <w:p>
      <w:pPr>
        <w:pStyle w:val="BodyText"/>
      </w:pPr>
      <w:r>
        <w:rPr/>
        <w:t>Versión 1.0 · Borrador para revisión jurídica · Octubre de 2026</w:t>
      </w:r>
    </w:p>
    <w:p>
      <w:pPr>
        <w:pStyle w:val="BlockText"/>
      </w:pPr>
      <w:r>
        <w:rPr>
          <w:b/>
        </w:rPr>
        <w:t>Antes de usarlos.</w:t>
      </w:r>
      <w:r>
        <w:rPr/>
        <w:t xml:space="preserve"> Estos modelos atienden los huecos que señaló la revisión jurídica del 9 de octubre de 2026 (</w:t>
      </w:r>
      <w:r>
        <w:rPr>
          <w:rFonts w:ascii="Consolas" w:hAnsi="Consolas"/>
        </w:rPr>
        <w:t>verificacion/REVISION-JURIDICA.md</w:t>
      </w:r>
      <w:r>
        <w:rPr/>
        <w:t xml:space="preserve">, hallazgos T7, T9, 13-4 y 15-11, y riesgos R09 y R16 de </w:t>
      </w:r>
      <w:r>
        <w:rPr>
          <w:rFonts w:ascii="Consolas" w:hAnsi="Consolas"/>
        </w:rPr>
        <w:t>verificacion/EVALUACION-RIESGO-LEGAL.md</w:t>
      </w:r>
      <w:r>
        <w:rPr/>
        <w:t>). No constituyen asesoría jurídica: debe revisarlos un abogado mexicano antes de firmarlos o publicarlos.</w:t>
      </w:r>
    </w:p>
    <w:p>
      <w:pPr>
        <w:pStyle w:val="BlockText"/>
      </w:pPr>
      <w:r>
        <w:rPr/>
        <w:t>Texto entre corchetes [ ]: dato por completar u opción por elegir.</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430"/>
        <w:gridCol w:w="3600"/>
        <w:gridCol w:w="3600"/>
      </w:tblGrid>
      <w:tr>
        <w:trPr>
          <w:tblHeader w:val="true"/>
          <w:cantSplit/>
        </w:trPr>
        <w:tc>
          <w:tcPr>
            <w:tcW w:w="2430" w:type="dxa"/>
            <w:shd w:val="clear" w:color="auto" w:fill="ECECEC"/>
          </w:tcPr>
          <w:p>
            <w:pPr>
              <w:pStyle w:val="Compact"/>
              <w:spacing w:before="20" w:after="20"/>
            </w:pPr>
            <w:r>
              <w:rPr>
                <w:b/>
                <w:sz w:val="17"/>
              </w:rPr>
              <w:t>Modelo</w:t>
            </w:r>
          </w:p>
        </w:tc>
        <w:tc>
          <w:tcPr>
            <w:tcW w:w="3600" w:type="dxa"/>
            <w:shd w:val="clear" w:color="auto" w:fill="ECECEC"/>
          </w:tcPr>
          <w:p>
            <w:pPr>
              <w:pStyle w:val="Compact"/>
              <w:spacing w:before="20" w:after="20"/>
            </w:pPr>
            <w:r>
              <w:rPr>
                <w:b/>
                <w:sz w:val="17"/>
              </w:rPr>
              <w:t>Para qué</w:t>
            </w:r>
          </w:p>
        </w:tc>
        <w:tc>
          <w:tcPr>
            <w:tcW w:w="3600" w:type="dxa"/>
            <w:shd w:val="clear" w:color="auto" w:fill="ECECEC"/>
          </w:tcPr>
          <w:p>
            <w:pPr>
              <w:pStyle w:val="Compact"/>
              <w:spacing w:before="20" w:after="20"/>
            </w:pPr>
            <w:r>
              <w:rPr>
                <w:b/>
                <w:sz w:val="17"/>
              </w:rPr>
              <w:t>Fundamento principal</w:t>
            </w:r>
          </w:p>
        </w:tc>
      </w:tr>
      <w:tr>
        <w:tc>
          <w:tcPr>
            <w:tcW w:w="2430" w:type="dxa"/>
          </w:tcPr>
          <w:p>
            <w:pPr>
              <w:pStyle w:val="Compact"/>
              <w:spacing w:before="20" w:after="20"/>
            </w:pPr>
            <w:r>
              <w:rPr>
                <w:sz w:val="17"/>
              </w:rPr>
              <w:t>A. Contrato de prestación de servicios profesionales de diagnóstico y consultoría</w:t>
            </w:r>
          </w:p>
        </w:tc>
        <w:tc>
          <w:tcPr>
            <w:tcW w:w="3600" w:type="dxa"/>
          </w:tcPr>
          <w:p>
            <w:pPr>
              <w:pStyle w:val="Compact"/>
              <w:spacing w:before="20" w:after="20"/>
            </w:pPr>
            <w:r>
              <w:rPr>
                <w:sz w:val="17"/>
              </w:rPr>
              <w:t>Formalizar el servicio del documento 13</w:t>
            </w:r>
          </w:p>
        </w:tc>
        <w:tc>
          <w:tcPr>
            <w:tcW w:w="3600" w:type="dxa"/>
          </w:tcPr>
          <w:p>
            <w:pPr>
              <w:pStyle w:val="Compact"/>
              <w:spacing w:before="20" w:after="20"/>
            </w:pPr>
            <w:r>
              <w:rPr>
                <w:sz w:val="17"/>
              </w:rPr>
              <w:t>Código Civil Federal (prestación de servicios profesionales; artículos por confirmar con el abogado)</w:t>
            </w:r>
          </w:p>
        </w:tc>
      </w:tr>
      <w:tr>
        <w:tc>
          <w:tcPr>
            <w:tcW w:w="2430" w:type="dxa"/>
          </w:tcPr>
          <w:p>
            <w:pPr>
              <w:pStyle w:val="Compact"/>
              <w:spacing w:before="20" w:after="20"/>
            </w:pPr>
            <w:r>
              <w:rPr>
                <w:sz w:val="17"/>
              </w:rPr>
              <w:t>B. Contrato de encargo de tratamiento de datos personales</w:t>
            </w:r>
          </w:p>
        </w:tc>
        <w:tc>
          <w:tcPr>
            <w:tcW w:w="3600" w:type="dxa"/>
          </w:tcPr>
          <w:p>
            <w:pPr>
              <w:pStyle w:val="Compact"/>
              <w:spacing w:before="20" w:after="20"/>
            </w:pPr>
            <w:r>
              <w:rPr>
                <w:sz w:val="17"/>
              </w:rPr>
              <w:t>(1) Cuando un cliente entrega datos a la empresa; (2) cuando la empresa contrata un proveedor que trata datos de sus participantes</w:t>
            </w:r>
          </w:p>
        </w:tc>
        <w:tc>
          <w:tcPr>
            <w:tcW w:w="3600" w:type="dxa"/>
          </w:tcPr>
          <w:p>
            <w:pPr>
              <w:pStyle w:val="Compact"/>
              <w:spacing w:before="20" w:after="20"/>
            </w:pPr>
            <w:r>
              <w:rPr>
                <w:sz w:val="17"/>
              </w:rPr>
              <w:t>Ley Federal de Protección de Datos Personales en Posesión de los Particulares, art. 2, XII; Reglamento de 2011, arts. 49 a 51 (aplicación por confirmar)</w:t>
            </w:r>
          </w:p>
        </w:tc>
      </w:tr>
      <w:tr>
        <w:tc>
          <w:tcPr>
            <w:tcW w:w="2430" w:type="dxa"/>
          </w:tcPr>
          <w:p>
            <w:pPr>
              <w:pStyle w:val="Compact"/>
              <w:spacing w:before="20" w:after="20"/>
            </w:pPr>
            <w:r>
              <w:rPr>
                <w:sz w:val="17"/>
              </w:rPr>
              <w:t>C. Contrato de cesión de derechos patrimoniales de autor</w:t>
            </w:r>
          </w:p>
        </w:tc>
        <w:tc>
          <w:tcPr>
            <w:tcW w:w="3600" w:type="dxa"/>
          </w:tcPr>
          <w:p>
            <w:pPr>
              <w:pStyle w:val="Compact"/>
              <w:spacing w:before="20" w:after="20"/>
            </w:pPr>
            <w:r>
              <w:rPr>
                <w:sz w:val="17"/>
              </w:rPr>
              <w:t>Asegurar la titularidad de cursos, guías, casos, instrumentos y aportaciones del grupo técnico</w:t>
            </w:r>
          </w:p>
        </w:tc>
        <w:tc>
          <w:tcPr>
            <w:tcW w:w="3600" w:type="dxa"/>
          </w:tcPr>
          <w:p>
            <w:pPr>
              <w:pStyle w:val="Compact"/>
              <w:spacing w:before="20" w:after="20"/>
            </w:pPr>
            <w:r>
              <w:rPr>
                <w:sz w:val="17"/>
              </w:rPr>
              <w:t>Ley Federal del Derecho de Autor, arts. 30 a 33, 83 y 84</w:t>
            </w:r>
          </w:p>
        </w:tc>
      </w:tr>
      <w:tr>
        <w:tc>
          <w:tcPr>
            <w:tcW w:w="2430" w:type="dxa"/>
          </w:tcPr>
          <w:p>
            <w:pPr>
              <w:pStyle w:val="Compact"/>
              <w:spacing w:before="20" w:after="20"/>
            </w:pPr>
            <w:r>
              <w:rPr>
                <w:sz w:val="17"/>
              </w:rPr>
              <w:t>D. Términos y condiciones para participantes</w:t>
            </w:r>
          </w:p>
        </w:tc>
        <w:tc>
          <w:tcPr>
            <w:tcW w:w="3600" w:type="dxa"/>
          </w:tcPr>
          <w:p>
            <w:pPr>
              <w:pStyle w:val="Compact"/>
              <w:spacing w:before="20" w:after="20"/>
            </w:pPr>
            <w:r>
              <w:rPr>
                <w:sz w:val="17"/>
              </w:rPr>
              <w:t>Personas que pagan cursos y evaluaciones</w:t>
            </w:r>
          </w:p>
        </w:tc>
        <w:tc>
          <w:tcPr>
            <w:tcW w:w="3600" w:type="dxa"/>
          </w:tcPr>
          <w:p>
            <w:pPr>
              <w:pStyle w:val="Compact"/>
              <w:spacing w:before="20" w:after="20"/>
            </w:pPr>
            <w:r>
              <w:rPr>
                <w:sz w:val="17"/>
              </w:rPr>
              <w:t>Ley Federal de Protección al Consumidor, arts. 7, 32 y 76 Bis</w:t>
            </w:r>
          </w:p>
        </w:tc>
      </w:tr>
    </w:tbl>
    <w:p>
      <w:pPr>
        <w:pStyle w:val="BodyText"/>
      </w:pPr>
    </w:p>
    <w:p>
      <w:pPr>
        <w:pStyle w:val="BodyText"/>
        <w:pBdr>
          <w:bottom w:val="single" w:sz="4" w:space="1" w:color="BFC0C0"/>
        </w:pBdr>
      </w:pPr>
    </w:p>
    <w:p>
      <w:pPr>
        <w:pStyle w:val="Heading2"/>
      </w:pPr>
      <w:r>
        <w:rPr/>
        <w:t>A. Contrato de prestación de servicios profesionales de diagnóstico y consultoría</w:t>
      </w:r>
    </w:p>
    <w:p>
      <w:pPr>
        <w:pStyle w:val="FirstParagraph"/>
      </w:pPr>
      <w:r>
        <w:rPr/>
        <w:t>CONTRATO DE PRESTACIÓN DE SERVICIOS PROFESIONALES QUE CELEBRAN [RAZÓN SOCIAL DEL CLIENTE] ("EL CLIENTE"), REPRESENTADA POR [NOMBRE], Y [RAZÓN SOCIAL DE LA EMPRESA] ("LA CONSULTORA"), REPRESENTADA POR [NOMBRE], AL TENOR DE LAS SIGUIENTES DECLARACIONES Y CLÁUSULAS.</w:t>
      </w:r>
    </w:p>
    <w:p>
      <w:pPr>
        <w:pStyle w:val="BodyText"/>
      </w:pPr>
      <w:r>
        <w:rPr>
          <w:b/>
        </w:rPr>
        <w:t>DECLARACIONES.</w:t>
      </w:r>
      <w:r>
        <w:rPr/>
        <w:t xml:space="preserve"> Cada parte declara que:</w:t>
      </w:r>
    </w:p>
    <w:p>
      <w:pPr>
        <w:pStyle w:val="Compact"/>
        <w:numPr>
          <w:ilvl w:val="0"/>
          <w:numId w:val="1015"/>
        </w:numPr>
      </w:pPr>
      <w:r>
        <w:rPr/>
        <w:t>Es una sociedad constituida conforme a las leyes mexicanas [escritura, notario, fecha].</w:t>
      </w:r>
    </w:p>
    <w:p>
      <w:pPr>
        <w:pStyle w:val="Compact"/>
        <w:numPr>
          <w:ilvl w:val="0"/>
          <w:numId w:val="1015"/>
        </w:numPr>
      </w:pPr>
      <w:r>
        <w:rPr/>
        <w:t>Su representante tiene facultades suficientes, que no le han sido revocadas.</w:t>
      </w:r>
    </w:p>
    <w:p>
      <w:pPr>
        <w:pStyle w:val="Compact"/>
        <w:numPr>
          <w:ilvl w:val="0"/>
          <w:numId w:val="1015"/>
        </w:numPr>
      </w:pPr>
      <w:r>
        <w:rPr/>
        <w:t>Su Registro Federal de Contribuyentes y su domicilio son [ ].</w:t>
      </w:r>
    </w:p>
    <w:p>
      <w:pPr>
        <w:pStyle w:val="BodyText"/>
      </w:pPr>
      <w:r>
        <w:rPr>
          <w:b/>
        </w:rPr>
        <w:t>PRIMERA. Objeto.</w:t>
      </w:r>
      <w:r>
        <w:rPr/>
        <w:t xml:space="preserve"> LA CONSULTORA presta a EL CLIENTE el servicio de [autodiagnóstico exprés / diagnóstico estándar / diagnóstico ampliado] de uso de inteligencia artificial, con las actividades, fases y entregables del Anexo 1, conforme a la metodología del documento 13.</w:t>
      </w:r>
    </w:p>
    <w:p>
      <w:pPr>
        <w:pStyle w:val="BodyText"/>
      </w:pPr>
      <w:r>
        <w:rPr>
          <w:b/>
        </w:rPr>
        <w:t>SEGUNDA. Exclusiones.</w:t>
      </w:r>
      <w:r>
        <w:rPr/>
        <w:t xml:space="preserve"> El servicio no es una opinión jurídica, una auditoría de seguridad ni una certificación. Las obligaciones legales que se señalen en el informe son un análisis de cumplimiento para que el área jurídica de EL CLIENTE o un abogado externo las confirme. Tampoco incluye la implementación de controles, la redacción de contratos ni la capacitación, que se contratan por separado.</w:t>
      </w:r>
    </w:p>
    <w:p>
      <w:pPr>
        <w:pStyle w:val="BodyText"/>
      </w:pPr>
      <w:r>
        <w:rPr>
          <w:b/>
        </w:rPr>
        <w:t>TERCERA. Obligaciones de EL CLIENTE.</w:t>
      </w:r>
    </w:p>
    <w:p>
      <w:pPr>
        <w:pStyle w:val="Compact"/>
        <w:numPr>
          <w:ilvl w:val="0"/>
          <w:numId w:val="1016"/>
        </w:numPr>
      </w:pPr>
      <w:r>
        <w:rPr/>
        <w:t>Designar una persona enlace con autoridad para convocar a las áreas.</w:t>
      </w:r>
    </w:p>
    <w:p>
      <w:pPr>
        <w:pStyle w:val="Compact"/>
        <w:numPr>
          <w:ilvl w:val="0"/>
          <w:numId w:val="1016"/>
        </w:numPr>
      </w:pPr>
      <w:r>
        <w:rPr/>
        <w:t>Entregar los insumos del Anexo 1 en los primeros [tres] días hábiles.</w:t>
      </w:r>
    </w:p>
    <w:p>
      <w:pPr>
        <w:pStyle w:val="Compact"/>
        <w:numPr>
          <w:ilvl w:val="0"/>
          <w:numId w:val="1016"/>
        </w:numPr>
      </w:pPr>
      <w:r>
        <w:rPr/>
        <w:t>Extraer él mismo el registro técnico agregado, sin contenido de comunicaciones ni identificación de personas.</w:t>
      </w:r>
    </w:p>
    <w:p>
      <w:pPr>
        <w:pStyle w:val="Compact"/>
        <w:numPr>
          <w:ilvl w:val="0"/>
          <w:numId w:val="1016"/>
        </w:numPr>
      </w:pPr>
      <w:r>
        <w:rPr/>
        <w:t>Informar a sus trabajadores, en su aviso de privacidad, los tratamientos que realice para este servicio.</w:t>
      </w:r>
    </w:p>
    <w:p>
      <w:pPr>
        <w:pStyle w:val="BodyText"/>
      </w:pPr>
      <w:r>
        <w:rPr>
          <w:b/>
        </w:rPr>
        <w:t>CUARTA. Contraprestación.</w:t>
      </w:r>
      <w:r>
        <w:rPr/>
        <w:t xml:space="preserve"> EL CLIENTE paga [monto más IVA] en [una exhibición / pagos] contra la entrega de [hitos], mediante transferencia a la cuenta que indique LA CONSULTORA, previa factura.</w:t>
      </w:r>
    </w:p>
    <w:p>
      <w:pPr>
        <w:pStyle w:val="BodyText"/>
      </w:pPr>
      <w:r>
        <w:rPr>
          <w:b/>
        </w:rPr>
        <w:t>QUINTA. Plazo.</w:t>
      </w:r>
      <w:r>
        <w:rPr/>
        <w:t xml:space="preserve"> [Número] días hábiles a partir de la entrega completa de los insumos. Los retrasos de EL CLIENTE en los insumos o en las entrevistas recorren el plazo.</w:t>
      </w:r>
    </w:p>
    <w:p>
      <w:pPr>
        <w:pStyle w:val="BodyText"/>
      </w:pPr>
      <w:r>
        <w:rPr>
          <w:b/>
        </w:rPr>
        <w:t>SEXTA. Confidencialidad.</w:t>
      </w:r>
      <w:r>
        <w:rPr/>
        <w:t xml:space="preserve"> Cada parte guarda confidencialidad sobre la información de la otra durante la vigencia y [tres] años después, salvo la que deba divulgarse por disposición legal o resolución de autoridad. LA CONSULTORA no ingresa información de EL CLIENTE a herramientas de inteligencia artificial que EL CLIENTE no haya autorizado.</w:t>
      </w:r>
    </w:p>
    <w:p>
      <w:pPr>
        <w:pStyle w:val="BodyText"/>
      </w:pPr>
      <w:r>
        <w:rPr>
          <w:b/>
        </w:rPr>
        <w:t>SÉPTIMA. Datos personales.</w:t>
      </w:r>
    </w:p>
    <w:p>
      <w:pPr>
        <w:pStyle w:val="Compact"/>
        <w:numPr>
          <w:ilvl w:val="0"/>
          <w:numId w:val="1017"/>
        </w:numPr>
      </w:pPr>
      <w:r>
        <w:rPr/>
        <w:t>LA CONSULTORA trata como responsable los datos de contacto de las personas entrevistadas y las notas de las entrevistas, conforme a su aviso de privacidad (documento 19, aviso C).</w:t>
      </w:r>
    </w:p>
    <w:p>
      <w:pPr>
        <w:pStyle w:val="Compact"/>
        <w:numPr>
          <w:ilvl w:val="0"/>
          <w:numId w:val="1017"/>
        </w:numPr>
      </w:pPr>
      <w:r>
        <w:rPr/>
        <w:t>Si EL CLIENTE le entrega datos personales de sus trabajadores, candidatos o clientes, LA CONSULTORA actúa como persona encargada y se aplica el Modelo B, que forma parte de este contrato.</w:t>
      </w:r>
    </w:p>
    <w:p>
      <w:pPr>
        <w:pStyle w:val="BodyText"/>
      </w:pPr>
      <w:r>
        <w:rPr>
          <w:b/>
        </w:rPr>
        <w:t>OCTAVA. Propiedad intelectual.</w:t>
      </w:r>
    </w:p>
    <w:p>
      <w:pPr>
        <w:pStyle w:val="Compact"/>
        <w:numPr>
          <w:ilvl w:val="0"/>
          <w:numId w:val="1018"/>
        </w:numPr>
      </w:pPr>
      <w:r>
        <w:rPr/>
        <w:t>La metodología, los cuestionarios, las escalas, los formatos y la plantilla de política son de LA CONSULTORA.</w:t>
      </w:r>
    </w:p>
    <w:p>
      <w:pPr>
        <w:pStyle w:val="Compact"/>
        <w:numPr>
          <w:ilvl w:val="0"/>
          <w:numId w:val="1018"/>
        </w:numPr>
      </w:pPr>
      <w:r>
        <w:rPr/>
        <w:t>EL CLIENTE recibe una licencia no exclusiva, por tiempo indefinido y para uso interno, sobre el informe y sus anexos, cuya contraprestación queda comprendida en la CUARTA.</w:t>
      </w:r>
    </w:p>
    <w:p>
      <w:pPr>
        <w:pStyle w:val="Compact"/>
        <w:numPr>
          <w:ilvl w:val="0"/>
          <w:numId w:val="1018"/>
        </w:numPr>
      </w:pPr>
      <w:r>
        <w:rPr/>
        <w:t>EL CLIENTE no puede revender ni publicar la metodología.</w:t>
      </w:r>
    </w:p>
    <w:p>
      <w:pPr>
        <w:pStyle w:val="BodyText"/>
      </w:pPr>
      <w:r>
        <w:rPr>
          <w:b/>
        </w:rPr>
        <w:t>NOVENA. Responsabilidad.</w:t>
      </w:r>
    </w:p>
    <w:p>
      <w:pPr>
        <w:pStyle w:val="Compact"/>
        <w:numPr>
          <w:ilvl w:val="0"/>
          <w:numId w:val="1019"/>
        </w:numPr>
      </w:pPr>
      <w:r>
        <w:rPr/>
        <w:t>LA CONSULTORA responde por la prestación diligente del servicio conforme a la metodología.</w:t>
      </w:r>
    </w:p>
    <w:p>
      <w:pPr>
        <w:pStyle w:val="Compact"/>
        <w:numPr>
          <w:ilvl w:val="0"/>
          <w:numId w:val="1019"/>
        </w:numPr>
      </w:pPr>
      <w:r>
        <w:rPr/>
        <w:t>Su responsabilidad total frente a EL CLIENTE se limita a [el monto pagado por el servicio], salvo dolo, culpa grave o incumplimiento de la confidencialidad o de la protección de datos.</w:t>
      </w:r>
    </w:p>
    <w:p>
      <w:pPr>
        <w:pStyle w:val="Compact"/>
        <w:numPr>
          <w:ilvl w:val="0"/>
          <w:numId w:val="1019"/>
        </w:numPr>
      </w:pPr>
      <w:r>
        <w:rPr/>
        <w:t>LA CONSULTORA no garantiza resultados regulatorios ni la ausencia de sanciones.</w:t>
      </w:r>
    </w:p>
    <w:p>
      <w:pPr>
        <w:pStyle w:val="Compact"/>
        <w:numPr>
          <w:ilvl w:val="0"/>
          <w:numId w:val="1019"/>
        </w:numPr>
      </w:pPr>
      <w:r>
        <w:rPr/>
        <w:t>Las decisiones que EL CLIENTE adopte con base en el informe son de su responsabilidad.</w:t>
      </w:r>
    </w:p>
    <w:p>
      <w:pPr>
        <w:pStyle w:val="BodyText"/>
      </w:pPr>
      <w:r>
        <w:rPr/>
        <w:t>[Por confirmar con el abogado la validez y el alcance del límite de responsabilidad.]</w:t>
      </w:r>
    </w:p>
    <w:p>
      <w:pPr>
        <w:pStyle w:val="BodyText"/>
      </w:pPr>
      <w:r>
        <w:rPr>
          <w:b/>
        </w:rPr>
        <w:t>DÉCIMA. Independencia.</w:t>
      </w:r>
      <w:r>
        <w:rPr/>
        <w:t xml:space="preserve"> Las recomendaciones se basan en los hallazgos y no se condicionan a la contratación de otros servicios de LA CONSULTORA.</w:t>
      </w:r>
    </w:p>
    <w:p>
      <w:pPr>
        <w:pStyle w:val="BodyText"/>
      </w:pPr>
      <w:r>
        <w:rPr>
          <w:b/>
        </w:rPr>
        <w:t>DÉCIMA PRIMERA. Relación laboral.</w:t>
      </w:r>
      <w:r>
        <w:rPr/>
        <w:t xml:space="preserve"> Cada parte es patrón de su personal. LA CONSULTORA presta el servicio con su propio personal, bajo su dirección, y no pone trabajadores a disposición de EL CLIENTE (Ley Federal del Trabajo, artículo 12).</w:t>
      </w:r>
    </w:p>
    <w:p>
      <w:pPr>
        <w:pStyle w:val="BodyText"/>
      </w:pPr>
      <w:r>
        <w:rPr>
          <w:b/>
        </w:rPr>
        <w:t>DÉCIMA SEGUNDA. Terminación.</w:t>
      </w:r>
      <w:r>
        <w:rPr/>
        <w:t xml:space="preserve"> Cualquiera de las partes puede terminar el contrato con aviso por escrito de [quince] días naturales. EL CLIENTE paga los servicios prestados hasta la fecha de terminación.</w:t>
      </w:r>
    </w:p>
    <w:p>
      <w:pPr>
        <w:pStyle w:val="BodyText"/>
      </w:pPr>
      <w:r>
        <w:rPr>
          <w:b/>
        </w:rPr>
        <w:t>DÉCIMA TERCERA. Integridad.</w:t>
      </w:r>
      <w:r>
        <w:rPr/>
        <w:t xml:space="preserve"> Las partes no ofrecen, dan ni reciben pagos o beneficios indebidos.</w:t>
      </w:r>
    </w:p>
    <w:p>
      <w:pPr>
        <w:pStyle w:val="BodyText"/>
      </w:pPr>
      <w:r>
        <w:rPr>
          <w:b/>
        </w:rPr>
        <w:t>DÉCIMA CUARTA. Jurisdicción.</w:t>
      </w:r>
      <w:r>
        <w:rPr/>
        <w:t xml:space="preserve"> Para la interpretación y el cumplimiento, las partes se someten a los tribunales de [ciudad], y renuncian a cualquier otro fuero.</w:t>
      </w:r>
    </w:p>
    <w:p>
      <w:pPr>
        <w:pStyle w:val="BodyText"/>
      </w:pPr>
      <w:r>
        <w:rPr>
          <w:b/>
        </w:rPr>
        <w:t>Anexo 1.</w:t>
      </w:r>
      <w:r>
        <w:rPr/>
        <w:t xml:space="preserve"> Modalidad, actividades, insumos, entregables, calendario y personas enlace.</w:t>
      </w:r>
    </w:p>
    <w:p>
      <w:pPr>
        <w:pStyle w:val="BodyText"/>
        <w:pBdr>
          <w:bottom w:val="single" w:sz="4" w:space="1" w:color="BFC0C0"/>
        </w:pBdr>
      </w:pPr>
    </w:p>
    <w:p>
      <w:pPr>
        <w:pStyle w:val="Heading2"/>
      </w:pPr>
      <w:r>
        <w:rPr/>
        <w:t>B. Contrato de encargo de tratamiento de datos personales</w:t>
      </w:r>
    </w:p>
    <w:p>
      <w:pPr>
        <w:pStyle w:val="FirstParagraph"/>
      </w:pPr>
      <w:r>
        <w:rPr>
          <w:i/>
        </w:rPr>
        <w:t>Úsese como anexo del contrato principal. En el caso 1, "EL RESPONSABLE" es el cliente y "LA PERSONA ENCARGADA" es la empresa. En el caso 2, "EL RESPONSABLE" es la empresa y "LA PERSONA ENCARGADA" es su proveedor: plataforma de cursos, nube, correo o herramienta de IA.</w:t>
      </w:r>
    </w:p>
    <w:p>
      <w:pPr>
        <w:pStyle w:val="BodyText"/>
      </w:pPr>
      <w:r>
        <w:rPr>
          <w:b/>
        </w:rPr>
        <w:t>PRIMERA. Objeto y alcance.</w:t>
      </w:r>
      <w:r>
        <w:rPr/>
        <w:t xml:space="preserve"> LA PERSONA ENCARGADA trata por cuenta de EL RESPONSABLE los datos personales del Anexo 1 (categorías de datos y de personas titulares), solo para la finalidad de [servicio], durante la vigencia del contrato principal. LA PERSONA ENCARGADA no tiene poder de decisión sobre el alcance ni el contenido del tratamiento.</w:t>
      </w:r>
    </w:p>
    <w:p>
      <w:pPr>
        <w:pStyle w:val="BodyText"/>
      </w:pPr>
      <w:r>
        <w:rPr>
          <w:b/>
        </w:rPr>
        <w:t>SEGUNDA. Obligaciones de LA PERSONA ENCARGADA.</w:t>
      </w:r>
    </w:p>
    <w:p>
      <w:pPr>
        <w:pStyle w:val="Compact"/>
        <w:numPr>
          <w:ilvl w:val="0"/>
          <w:numId w:val="1020"/>
        </w:numPr>
      </w:pPr>
      <w:r>
        <w:rPr/>
        <w:t>Tratar los datos únicamente conforme a las instrucciones escritas de EL RESPONSABLE.</w:t>
      </w:r>
    </w:p>
    <w:p>
      <w:pPr>
        <w:pStyle w:val="Compact"/>
        <w:numPr>
          <w:ilvl w:val="0"/>
          <w:numId w:val="1020"/>
        </w:numPr>
      </w:pPr>
      <w:r>
        <w:rPr/>
        <w:t>No tratarlos para finalidades distintas, incluido el entrenamiento de modelos de inteligencia artificial propios o de terceros, ni comunicarlos a terceros.</w:t>
      </w:r>
    </w:p>
    <w:p>
      <w:pPr>
        <w:pStyle w:val="Compact"/>
        <w:numPr>
          <w:ilvl w:val="0"/>
          <w:numId w:val="1020"/>
        </w:numPr>
      </w:pPr>
      <w:r>
        <w:rPr/>
        <w:t>Aplicar las medidas de seguridad administrativas, técnicas y físicas del Anexo 2.</w:t>
      </w:r>
    </w:p>
    <w:p>
      <w:pPr>
        <w:pStyle w:val="Compact"/>
        <w:numPr>
          <w:ilvl w:val="0"/>
          <w:numId w:val="1020"/>
        </w:numPr>
      </w:pPr>
      <w:r>
        <w:rPr/>
        <w:t>Guardar confidencialidad, aun después de terminar el contrato, y exigirla a su personal.</w:t>
      </w:r>
    </w:p>
    <w:p>
      <w:pPr>
        <w:pStyle w:val="Compact"/>
        <w:numPr>
          <w:ilvl w:val="0"/>
          <w:numId w:val="1020"/>
        </w:numPr>
      </w:pPr>
      <w:r>
        <w:rPr/>
        <w:t>Informar a EL RESPONSABLE de cualquier vulneración de seguridad dentro de las [veinticuatro] horas siguientes a que la conozca, con su naturaleza, los datos comprometidos y las medidas adoptadas, para que EL RESPONSABLE pueda informar a las personas titulares (artículo 19 de la Ley).</w:t>
      </w:r>
    </w:p>
    <w:p>
      <w:pPr>
        <w:pStyle w:val="Compact"/>
        <w:numPr>
          <w:ilvl w:val="0"/>
          <w:numId w:val="1020"/>
        </w:numPr>
      </w:pPr>
      <w:r>
        <w:rPr/>
        <w:t>Apoyar a EL RESPONSABLE en la atención de las solicitudes de derechos ARCO dentro de los plazos de la Ley.</w:t>
      </w:r>
    </w:p>
    <w:p>
      <w:pPr>
        <w:pStyle w:val="Compact"/>
        <w:numPr>
          <w:ilvl w:val="0"/>
          <w:numId w:val="1020"/>
        </w:numPr>
      </w:pPr>
      <w:r>
        <w:rPr/>
        <w:t>Al terminar el servicio, suprimir o devolver los datos, a elección de EL RESPONSABLE, y entregar constancia, salvo que una disposición legal exija conservarlos.</w:t>
      </w:r>
    </w:p>
    <w:p>
      <w:pPr>
        <w:pStyle w:val="Compact"/>
        <w:numPr>
          <w:ilvl w:val="0"/>
          <w:numId w:val="1020"/>
        </w:numPr>
      </w:pPr>
      <w:r>
        <w:rPr/>
        <w:t>Permitir que EL RESPONSABLE verifique el cumplimiento de este contrato, con aviso previo.</w:t>
      </w:r>
    </w:p>
    <w:p>
      <w:pPr>
        <w:pStyle w:val="BodyText"/>
      </w:pPr>
      <w:r>
        <w:rPr>
          <w:b/>
        </w:rPr>
        <w:t>TERCERA. Subcontratación.</w:t>
      </w:r>
      <w:r>
        <w:rPr/>
        <w:t xml:space="preserve"> LA PERSONA ENCARGADA no subcontrata el tratamiento sin autorización expresa y por escrito de EL RESPONSABLE. Si la obtiene, impone a la persona subcontratada las mismas obligaciones y responde por ella.</w:t>
      </w:r>
    </w:p>
    <w:p>
      <w:pPr>
        <w:pStyle w:val="BodyText"/>
      </w:pPr>
      <w:r>
        <w:rPr>
          <w:b/>
        </w:rPr>
        <w:t>CUARTA. Ubicación y transferencias internacionales.</w:t>
      </w:r>
      <w:r>
        <w:rPr/>
        <w:t xml:space="preserve"> Los datos se almacenan en [país o países]. Cualquier cambio se comunica con anticipación y requiere la autorización de EL RESPONSABLE.</w:t>
      </w:r>
    </w:p>
    <w:p>
      <w:pPr>
        <w:pStyle w:val="BodyText"/>
      </w:pPr>
      <w:r>
        <w:rPr>
          <w:b/>
        </w:rPr>
        <w:t>QUINTA. Incumplimiento.</w:t>
      </w:r>
      <w:r>
        <w:rPr/>
        <w:t xml:space="preserve"> Si LA PERSONA ENCARGADA trata los datos para fines propios o los comunica en contra de las instrucciones, asume las obligaciones de un responsable (Reglamento de 2011, artículo 53; aplicación por confirmar) y responde por los daños y perjuicios.</w:t>
      </w:r>
    </w:p>
    <w:p>
      <w:pPr>
        <w:pStyle w:val="BodyText"/>
      </w:pPr>
      <w:r>
        <w:rPr>
          <w:b/>
        </w:rPr>
        <w:t>Anexo 1.</w:t>
      </w:r>
      <w:r>
        <w:rPr/>
        <w:t xml:space="preserve"> Categorías de datos, de personas titulares y de operaciones de tratamiento. </w:t>
      </w:r>
      <w:r>
        <w:rPr>
          <w:b/>
        </w:rPr>
        <w:t>Anexo 2.</w:t>
      </w:r>
      <w:r>
        <w:rPr/>
        <w:t xml:space="preserve"> Medidas de seguridad: control de acceso, cifrado, respaldo, registro de actividad, capacitación del personal y procedimiento de vulneraciones.</w:t>
      </w:r>
    </w:p>
    <w:p>
      <w:pPr>
        <w:pStyle w:val="BodyText"/>
        <w:pBdr>
          <w:bottom w:val="single" w:sz="4" w:space="1" w:color="BFC0C0"/>
        </w:pBdr>
      </w:pPr>
    </w:p>
    <w:p>
      <w:pPr>
        <w:pStyle w:val="Heading2"/>
      </w:pPr>
      <w:r>
        <w:rPr/>
        <w:t>C. Contrato de cesión de derechos patrimoniales de autor</w:t>
      </w:r>
    </w:p>
    <w:p>
      <w:pPr>
        <w:pStyle w:val="FirstParagraph"/>
      </w:pPr>
      <w:r>
        <w:rPr>
          <w:i/>
        </w:rPr>
        <w:t>Para personas empleadas, consultoras o integrantes del grupo técnico que elaboren o aporten a los cursos, guías, casos, instrumentos de evaluación, plantillas o diagnósticos. Para personas empleadas, puede incorporarse como cláusula de su contrato individual de trabajo por escrito, que es el "pacto en contrario" del artículo 84 de la Ley Federal del Derecho de Autor.</w:t>
      </w:r>
    </w:p>
    <w:p>
      <w:pPr>
        <w:pStyle w:val="BodyText"/>
      </w:pPr>
      <w:r>
        <w:rPr>
          <w:b/>
        </w:rPr>
        <w:t>PRIMERA. Obras.</w:t>
      </w:r>
      <w:r>
        <w:rPr/>
        <w:t xml:space="preserve"> Las obras y aportaciones del Anexo 1 ("LAS OBRAS"), que [nombre] ("LA PERSONA AUTORA") elaboró o elabore [como consecuencia de su relación laboral / por encargo remunerado / como integrante del grupo técnico].</w:t>
      </w:r>
    </w:p>
    <w:p>
      <w:pPr>
        <w:pStyle w:val="BodyText"/>
      </w:pPr>
      <w:r>
        <w:rPr>
          <w:b/>
        </w:rPr>
        <w:t>SEGUNDA. Transmisión.</w:t>
      </w:r>
      <w:r>
        <w:rPr/>
        <w:t xml:space="preserve"> LA PERSONA AUTORA transmite a [razón social] ("LA EMPRESA"), en forma exclusiva, los derechos patrimoniales de reproducción, distribución, comunicación pública, transformación y explotación de LAS OBRAS, en cualquier medio, por un plazo de [cinco / hasta quince] años. Si no se estipula el plazo, se entiende de cinco años (artículo 33). Solo puede pactarse por más de quince años cuando la naturaleza de la obra o la magnitud de la inversión lo justifiquen.</w:t>
      </w:r>
    </w:p>
    <w:p>
      <w:pPr>
        <w:pStyle w:val="BodyText"/>
      </w:pPr>
      <w:r>
        <w:rPr>
          <w:b/>
        </w:rPr>
        <w:t>TERCERA. Remuneración.</w:t>
      </w:r>
      <w:r>
        <w:rPr/>
        <w:t xml:space="preserve"> Como contraprestación irrenunciable, LA PERSONA AUTORA recibe [una remuneración fija y determinada de $</w:t>
      </w:r>
      <w:r>
        <w:rPr>
          <w:b/>
          <w:i/>
        </w:rPr>
        <w:t xml:space="preserve">_ / una participación de </w:t>
      </w:r>
      <w:r>
        <w:rPr/>
        <w:t>% en los ingresos de la explotación] (artículos 30 y 31). [Para personas empleadas: la remuneración se paga como (concepto), además del salario.]</w:t>
      </w:r>
    </w:p>
    <w:p>
      <w:pPr>
        <w:pStyle w:val="BodyText"/>
      </w:pPr>
      <w:r>
        <w:rPr>
          <w:b/>
        </w:rPr>
        <w:t>CUARTA. Derechos morales.</w:t>
      </w:r>
      <w:r>
        <w:rPr/>
        <w:t xml:space="preserve"> LA PERSONA AUTORA conserva sus derechos morales y el derecho a que se le mencione como autora, artista o colaboradora en la parte en que participó (artículo 83). Autoriza a LA EMPRESA a modificar y adaptar LAS OBRAS para su actualización y su aprobación por el CONOCER.</w:t>
      </w:r>
    </w:p>
    <w:p>
      <w:pPr>
        <w:pStyle w:val="BodyText"/>
      </w:pPr>
      <w:r>
        <w:rPr>
          <w:b/>
        </w:rPr>
        <w:t>QUINTA. Originalidad y uso de inteligencia artificial.</w:t>
      </w:r>
    </w:p>
    <w:p>
      <w:pPr>
        <w:pStyle w:val="Compact"/>
        <w:numPr>
          <w:ilvl w:val="0"/>
          <w:numId w:val="1021"/>
        </w:numPr>
      </w:pPr>
      <w:r>
        <w:rPr/>
        <w:t>LA PERSONA AUTORA declara que LAS OBRAS son originales y no infringen derechos de terceros.</w:t>
      </w:r>
    </w:p>
    <w:p>
      <w:pPr>
        <w:pStyle w:val="Compact"/>
        <w:numPr>
          <w:ilvl w:val="0"/>
          <w:numId w:val="1021"/>
        </w:numPr>
      </w:pPr>
      <w:r>
        <w:rPr/>
        <w:t>Indica en el Anexo 1 las partes elaboradas con apoyo de herramientas de inteligencia artificial y su aporte personal: selección, redacción, revisión y edición.</w:t>
      </w:r>
    </w:p>
    <w:p>
      <w:pPr>
        <w:pStyle w:val="Compact"/>
        <w:numPr>
          <w:ilvl w:val="0"/>
          <w:numId w:val="1021"/>
        </w:numPr>
      </w:pPr>
      <w:r>
        <w:rPr/>
        <w:t>La ley reconoce como autor a la persona física (artículo 12), por lo que se conserva el registro de la autoría y la revisión humanas.</w:t>
      </w:r>
    </w:p>
    <w:p>
      <w:pPr>
        <w:pStyle w:val="BodyText"/>
      </w:pPr>
      <w:r>
        <w:rPr>
          <w:b/>
        </w:rPr>
        <w:t>SEXTA. Confidencialidad y secreto industrial.</w:t>
      </w:r>
      <w:r>
        <w:rPr/>
        <w:t xml:space="preserve"> Los instrumentos de evaluación, sus claves y los casos no publicados son secreto industrial de LA EMPRESA (Ley Federal de Protección a la Propiedad Industrial, artículo 163). LA PERSONA AUTORA no los divulga ni los usa para fines propios, durante la relación y después de ella.</w:t>
      </w:r>
    </w:p>
    <w:p>
      <w:pPr>
        <w:pStyle w:val="BodyText"/>
      </w:pPr>
      <w:r>
        <w:rPr>
          <w:b/>
        </w:rPr>
        <w:t>SÉPTIMA. Forma y registro.</w:t>
      </w:r>
      <w:r>
        <w:rPr/>
        <w:t xml:space="preserve"> Este contrato consta por escrito, sin lo cual sería nulo (artículo 30). LA EMPRESA puede inscribirlo en el Registro Público del Derecho de Autor para que surta efectos contra terceros (artículo 32).</w:t>
      </w:r>
    </w:p>
    <w:p>
      <w:pPr>
        <w:pStyle w:val="BodyText"/>
      </w:pPr>
      <w:r>
        <w:rPr>
          <w:b/>
        </w:rPr>
        <w:t>Anexo 1.</w:t>
      </w:r>
      <w:r>
        <w:rPr/>
        <w:t xml:space="preserve"> Relación de obras y aportaciones, fecha y partes elaboradas con apoyo de IA.</w:t>
      </w:r>
    </w:p>
    <w:p>
      <w:pPr>
        <w:pStyle w:val="BodyText"/>
        <w:pBdr>
          <w:bottom w:val="single" w:sz="4" w:space="1" w:color="BFC0C0"/>
        </w:pBdr>
      </w:pPr>
    </w:p>
    <w:p>
      <w:pPr>
        <w:pStyle w:val="Heading2"/>
      </w:pPr>
      <w:r>
        <w:rPr/>
        <w:t>D. Términos y condiciones para participantes de cursos y evaluaciones</w:t>
      </w:r>
    </w:p>
    <w:p>
      <w:pPr>
        <w:pStyle w:val="FirstParagraph"/>
      </w:pPr>
      <w:r>
        <w:rPr>
          <w:b/>
        </w:rPr>
        <w:t>1. Quién presta el servicio.</w:t>
      </w:r>
      <w:r>
        <w:rPr/>
        <w:t xml:space="preserve"> [Razón social], con domicilio en [domicilio], correo [correo] y teléfono [teléfono].</w:t>
      </w:r>
    </w:p>
    <w:p>
      <w:pPr>
        <w:pStyle w:val="BodyText"/>
      </w:pPr>
      <w:r>
        <w:rPr>
          <w:b/>
        </w:rPr>
        <w:t>2. Qué incluye.</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746"/>
        <w:gridCol w:w="6759"/>
        <w:gridCol w:w="1126"/>
      </w:tblGrid>
      <w:tr>
        <w:trPr>
          <w:tblHeader w:val="true"/>
          <w:cantSplit/>
        </w:trPr>
        <w:tc>
          <w:tcPr>
            <w:tcW w:w="1746" w:type="dxa"/>
            <w:shd w:val="clear" w:color="auto" w:fill="ECECEC"/>
          </w:tcPr>
          <w:p>
            <w:pPr>
              <w:pStyle w:val="Compact"/>
              <w:spacing w:before="20" w:after="20"/>
            </w:pPr>
            <w:r>
              <w:rPr>
                <w:b/>
                <w:sz w:val="17"/>
              </w:rPr>
              <w:t>Servicio</w:t>
            </w:r>
          </w:p>
        </w:tc>
        <w:tc>
          <w:tcPr>
            <w:tcW w:w="6759" w:type="dxa"/>
            <w:shd w:val="clear" w:color="auto" w:fill="ECECEC"/>
          </w:tcPr>
          <w:p>
            <w:pPr>
              <w:pStyle w:val="Compact"/>
              <w:spacing w:before="20" w:after="20"/>
            </w:pPr>
            <w:r>
              <w:rPr>
                <w:b/>
                <w:sz w:val="17"/>
              </w:rPr>
              <w:t>Incluye</w:t>
            </w:r>
          </w:p>
        </w:tc>
        <w:tc>
          <w:tcPr>
            <w:tcW w:w="1126" w:type="dxa"/>
            <w:shd w:val="clear" w:color="auto" w:fill="ECECEC"/>
          </w:tcPr>
          <w:p>
            <w:pPr>
              <w:pStyle w:val="Compact"/>
              <w:spacing w:before="20" w:after="20"/>
            </w:pPr>
            <w:r>
              <w:rPr>
                <w:b/>
                <w:sz w:val="17"/>
              </w:rPr>
              <w:t>Precio total con IVA</w:t>
            </w:r>
          </w:p>
        </w:tc>
      </w:tr>
      <w:tr>
        <w:tc>
          <w:tcPr>
            <w:tcW w:w="1746" w:type="dxa"/>
          </w:tcPr>
          <w:p>
            <w:pPr>
              <w:pStyle w:val="Compact"/>
              <w:spacing w:before="20" w:after="20"/>
            </w:pPr>
            <w:r>
              <w:rPr>
                <w:sz w:val="17"/>
              </w:rPr>
              <w:t>Curso de alineación al EC-[A/B]</w:t>
            </w:r>
          </w:p>
        </w:tc>
        <w:tc>
          <w:tcPr>
            <w:tcW w:w="6759" w:type="dxa"/>
          </w:tcPr>
          <w:p>
            <w:pPr>
              <w:pStyle w:val="Compact"/>
              <w:spacing w:before="20" w:after="20"/>
            </w:pPr>
            <w:r>
              <w:rPr>
                <w:sz w:val="17"/>
              </w:rPr>
              <w:t>[horas], modalidad, guía de estudio, constancia de participación; DC-3 solo para personas trabajadoras cuyo patrón incluyó el curso en su plan de capacitación</w:t>
            </w:r>
          </w:p>
        </w:tc>
        <w:tc>
          <w:tcPr>
            <w:tcW w:w="1126" w:type="dxa"/>
          </w:tcPr>
          <w:p>
            <w:pPr>
              <w:pStyle w:val="Compact"/>
              <w:spacing w:before="20" w:after="20"/>
            </w:pPr>
            <w:r>
              <w:rPr>
                <w:sz w:val="17"/>
              </w:rPr>
              <w:t>[ ]</w:t>
            </w:r>
          </w:p>
        </w:tc>
      </w:tr>
      <w:tr>
        <w:tc>
          <w:tcPr>
            <w:tcW w:w="1746" w:type="dxa"/>
          </w:tcPr>
          <w:p>
            <w:pPr>
              <w:pStyle w:val="Compact"/>
              <w:spacing w:before="20" w:after="20"/>
            </w:pPr>
            <w:r>
              <w:rPr>
                <w:sz w:val="17"/>
              </w:rPr>
              <w:t>Evaluación</w:t>
            </w:r>
          </w:p>
        </w:tc>
        <w:tc>
          <w:tcPr>
            <w:tcW w:w="6759" w:type="dxa"/>
          </w:tcPr>
          <w:p>
            <w:pPr>
              <w:pStyle w:val="Compact"/>
              <w:spacing w:before="20" w:after="20"/>
            </w:pPr>
            <w:r>
              <w:rPr>
                <w:sz w:val="17"/>
              </w:rPr>
              <w:t>Diagnóstico, evaluación, juicio de competencia y retroalimentación</w:t>
            </w:r>
          </w:p>
        </w:tc>
        <w:tc>
          <w:tcPr>
            <w:tcW w:w="1126" w:type="dxa"/>
          </w:tcPr>
          <w:p>
            <w:pPr>
              <w:pStyle w:val="Compact"/>
              <w:spacing w:before="20" w:after="20"/>
            </w:pPr>
            <w:r>
              <w:rPr>
                <w:sz w:val="17"/>
              </w:rPr>
              <w:t>[ ]</w:t>
            </w:r>
          </w:p>
        </w:tc>
      </w:tr>
      <w:tr>
        <w:tc>
          <w:tcPr>
            <w:tcW w:w="1746" w:type="dxa"/>
          </w:tcPr>
          <w:p>
            <w:pPr>
              <w:pStyle w:val="Compact"/>
              <w:spacing w:before="20" w:after="20"/>
            </w:pPr>
            <w:r>
              <w:rPr>
                <w:sz w:val="17"/>
              </w:rPr>
              <w:t>Gestión del certificado</w:t>
            </w:r>
          </w:p>
        </w:tc>
        <w:tc>
          <w:tcPr>
            <w:tcW w:w="6759" w:type="dxa"/>
          </w:tcPr>
          <w:p>
            <w:pPr>
              <w:pStyle w:val="Compact"/>
              <w:spacing w:before="20" w:after="20"/>
            </w:pPr>
            <w:r>
              <w:rPr>
                <w:sz w:val="17"/>
              </w:rPr>
              <w:t>Trámite ante la Entidad de Certificación y Evaluación y el CONOCER</w:t>
            </w:r>
          </w:p>
        </w:tc>
        <w:tc>
          <w:tcPr>
            <w:tcW w:w="1126" w:type="dxa"/>
          </w:tcPr>
          <w:p>
            <w:pPr>
              <w:pStyle w:val="Compact"/>
              <w:spacing w:before="20" w:after="20"/>
            </w:pPr>
            <w:r>
              <w:rPr>
                <w:sz w:val="17"/>
              </w:rPr>
              <w:t>[ ]</w:t>
            </w:r>
          </w:p>
        </w:tc>
      </w:tr>
      <w:tr>
        <w:tc>
          <w:tcPr>
            <w:tcW w:w="1746" w:type="dxa"/>
          </w:tcPr>
          <w:p>
            <w:pPr>
              <w:pStyle w:val="Compact"/>
              <w:spacing w:before="20" w:after="20"/>
            </w:pPr>
            <w:r>
              <w:rPr>
                <w:sz w:val="17"/>
              </w:rPr>
              <w:t>Reevaluación</w:t>
            </w:r>
          </w:p>
        </w:tc>
        <w:tc>
          <w:tcPr>
            <w:tcW w:w="6759" w:type="dxa"/>
          </w:tcPr>
          <w:p>
            <w:pPr>
              <w:pStyle w:val="Compact"/>
              <w:spacing w:before="20" w:after="20"/>
            </w:pPr>
            <w:r>
              <w:rPr>
                <w:sz w:val="17"/>
              </w:rPr>
              <w:t>[número] incluidas; adicionales</w:t>
            </w:r>
          </w:p>
        </w:tc>
        <w:tc>
          <w:tcPr>
            <w:tcW w:w="1126" w:type="dxa"/>
          </w:tcPr>
          <w:p>
            <w:pPr>
              <w:pStyle w:val="Compact"/>
              <w:spacing w:before="20" w:after="20"/>
            </w:pPr>
            <w:r>
              <w:rPr>
                <w:sz w:val="17"/>
              </w:rPr>
              <w:t>[ ]</w:t>
            </w:r>
          </w:p>
        </w:tc>
      </w:tr>
    </w:tbl>
    <w:p>
      <w:pPr>
        <w:pStyle w:val="BodyText"/>
      </w:pPr>
    </w:p>
    <w:p>
      <w:pPr>
        <w:pStyle w:val="BodyText"/>
      </w:pPr>
      <w:r>
        <w:rPr/>
        <w:t>El precio total se informa antes del pago y se respeta (Ley Federal de Protección al Consumidor, artículo 7).</w:t>
      </w:r>
    </w:p>
    <w:p>
      <w:pPr>
        <w:pStyle w:val="BodyText"/>
      </w:pPr>
      <w:r>
        <w:rPr>
          <w:b/>
        </w:rPr>
        <w:t>3. Lo que no se garantiza.</w:t>
      </w:r>
    </w:p>
    <w:p>
      <w:pPr>
        <w:pStyle w:val="Compact"/>
        <w:numPr>
          <w:ilvl w:val="0"/>
          <w:numId w:val="1015"/>
        </w:numPr>
      </w:pPr>
      <w:r>
        <w:rPr/>
        <w:t>El curso no garantiza la certificación: el juicio de competencia lo emite un evaluador certificado con el instrumento aprobado.</w:t>
      </w:r>
    </w:p>
    <w:p>
      <w:pPr>
        <w:pStyle w:val="Compact"/>
        <w:numPr>
          <w:ilvl w:val="0"/>
          <w:numId w:val="1015"/>
        </w:numPr>
      </w:pPr>
      <w:r>
        <w:rPr/>
        <w:t>La certificación no es obligatoria por ley y no garantiza empleo.</w:t>
      </w:r>
    </w:p>
    <w:p>
      <w:pPr>
        <w:pStyle w:val="Compact"/>
        <w:numPr>
          <w:ilvl w:val="0"/>
          <w:numId w:val="1015"/>
        </w:numPr>
      </w:pPr>
      <w:r>
        <w:rPr/>
        <w:t>Quien imparte el curso no evalúa a las personas de su grupo.</w:t>
      </w:r>
    </w:p>
    <w:p>
      <w:pPr>
        <w:pStyle w:val="BodyText"/>
      </w:pPr>
      <w:r>
        <w:rPr>
          <w:b/>
        </w:rPr>
        <w:t>4. Cancelación y reembolso.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055"/>
        <w:gridCol w:w="1576"/>
      </w:tblGrid>
      <w:tr>
        <w:trPr>
          <w:tblHeader w:val="true"/>
          <w:cantSplit/>
        </w:trPr>
        <w:tc>
          <w:tcPr>
            <w:tcW w:w="8055" w:type="dxa"/>
            <w:shd w:val="clear" w:color="auto" w:fill="ECECEC"/>
          </w:tcPr>
          <w:p>
            <w:pPr>
              <w:pStyle w:val="Compact"/>
              <w:spacing w:before="20" w:after="20"/>
            </w:pPr>
            <w:r>
              <w:rPr>
                <w:b/>
                <w:sz w:val="17"/>
              </w:rPr>
              <w:t>Si cancela</w:t>
            </w:r>
          </w:p>
        </w:tc>
        <w:tc>
          <w:tcPr>
            <w:tcW w:w="1576" w:type="dxa"/>
            <w:shd w:val="clear" w:color="auto" w:fill="ECECEC"/>
          </w:tcPr>
          <w:p>
            <w:pPr>
              <w:pStyle w:val="Compact"/>
              <w:spacing w:before="20" w:after="20"/>
            </w:pPr>
            <w:r>
              <w:rPr>
                <w:b/>
                <w:sz w:val="17"/>
              </w:rPr>
              <w:t>Reembolso</w:t>
            </w:r>
          </w:p>
        </w:tc>
      </w:tr>
      <w:tr>
        <w:tc>
          <w:tcPr>
            <w:tcW w:w="8055" w:type="dxa"/>
          </w:tcPr>
          <w:p>
            <w:pPr>
              <w:pStyle w:val="Compact"/>
              <w:spacing w:before="20" w:after="20"/>
            </w:pPr>
            <w:r>
              <w:rPr>
                <w:sz w:val="17"/>
              </w:rPr>
              <w:t>Antes de [x] días del curso o de la evaluación</w:t>
            </w:r>
          </w:p>
        </w:tc>
        <w:tc>
          <w:tcPr>
            <w:tcW w:w="1576" w:type="dxa"/>
          </w:tcPr>
          <w:p>
            <w:pPr>
              <w:pStyle w:val="Compact"/>
              <w:spacing w:before="20" w:after="20"/>
            </w:pPr>
            <w:r>
              <w:rPr>
                <w:sz w:val="17"/>
              </w:rPr>
              <w:t>[ ] %</w:t>
            </w:r>
          </w:p>
        </w:tc>
      </w:tr>
      <w:tr>
        <w:tc>
          <w:tcPr>
            <w:tcW w:w="8055" w:type="dxa"/>
          </w:tcPr>
          <w:p>
            <w:pPr>
              <w:pStyle w:val="Compact"/>
              <w:spacing w:before="20" w:after="20"/>
            </w:pPr>
            <w:r>
              <w:rPr>
                <w:sz w:val="17"/>
              </w:rPr>
              <w:t>Después</w:t>
            </w:r>
          </w:p>
        </w:tc>
        <w:tc>
          <w:tcPr>
            <w:tcW w:w="1576" w:type="dxa"/>
          </w:tcPr>
          <w:p>
            <w:pPr>
              <w:pStyle w:val="Compact"/>
              <w:spacing w:before="20" w:after="20"/>
            </w:pPr>
            <w:r>
              <w:rPr>
                <w:sz w:val="17"/>
              </w:rPr>
              <w:t>[ ] %</w:t>
            </w:r>
          </w:p>
        </w:tc>
      </w:tr>
    </w:tbl>
    <w:p>
      <w:pPr>
        <w:pStyle w:val="BodyText"/>
      </w:pPr>
    </w:p>
    <w:p>
      <w:pPr>
        <w:pStyle w:val="BodyText"/>
      </w:pPr>
      <w:r>
        <w:rPr/>
        <w:t>Si la empresa cancela, reembolsa el 100% o reprograma, a elección de la persona participante.</w:t>
      </w:r>
    </w:p>
    <w:p>
      <w:pPr>
        <w:pStyle w:val="BodyText"/>
      </w:pPr>
      <w:r>
        <w:rPr>
          <w:b/>
        </w:rPr>
        <w:t>5. Integridad.</w:t>
      </w:r>
      <w:r>
        <w:rPr/>
        <w:t xml:space="preserve"> Se suspende la evaluación, sin reembolso de esa sesión, a quien use materiales no permitidos, suplante a otra persona o difunda los instrumentos.</w:t>
      </w:r>
    </w:p>
    <w:p>
      <w:pPr>
        <w:pStyle w:val="BodyText"/>
      </w:pPr>
      <w:r>
        <w:rPr>
          <w:b/>
        </w:rPr>
        <w:t>6. Materiales.</w:t>
      </w:r>
      <w:r>
        <w:rPr/>
        <w:t xml:space="preserve"> Los materiales son de la empresa. Se entregan para uso personal y no pueden reproducirse ni distribuirse.</w:t>
      </w:r>
    </w:p>
    <w:p>
      <w:pPr>
        <w:pStyle w:val="BodyText"/>
      </w:pPr>
      <w:r>
        <w:rPr>
          <w:b/>
        </w:rPr>
        <w:t>7. Datos personales.</w:t>
      </w:r>
      <w:r>
        <w:rPr/>
        <w:t xml:space="preserve"> Se tratan conforme al aviso de privacidad del documento 19 (aviso A). En la contratación en línea, la información se usa en forma confidencial y con medidas de seguridad informadas previamente (artículo 76 Bis).</w:t>
      </w:r>
    </w:p>
    <w:p>
      <w:pPr>
        <w:pStyle w:val="BodyText"/>
      </w:pPr>
      <w:r>
        <w:rPr>
          <w:b/>
        </w:rPr>
        <w:t>8. Quejas.</w:t>
      </w:r>
      <w:r>
        <w:rPr/>
        <w:t xml:space="preserve"> A [correo]. La persona participante puede acudir también a la Procuraduría Federal del Consumidor.</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Contratos tipo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Contratos tipo de la empresa</dc:title>
  <dc:creator>Proyecto Estándares de Competencia en IA</dc:creator>
  <cp:keywords/>
  <dcterms:created xsi:type="dcterms:W3CDTF">2026-10-09T15:04:46Z</dcterms:created>
  <dcterms:modified xsi:type="dcterms:W3CDTF">2026-10-09T15:04:46Z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