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/>
        <w:t>Familia de Estándares de Competencia en Inteligencia Artificial</w:t>
      </w:r>
    </w:p>
    <w:p>
      <w:pPr>
        <w:pStyle w:val="FirstParagraph"/>
      </w:pPr>
      <w:r>
        <w:rPr>
          <w:b/>
        </w:rPr>
        <w:t>Índice y estado del proyecto</w:t>
      </w:r>
      <w:r>
        <w:rPr/>
        <w:t xml:space="preserve"> · Versión 1.0 · Octubre de 2026</w:t>
      </w:r>
    </w:p>
    <w:p>
      <w:pPr>
        <w:pStyle w:val="Heading2"/>
      </w:pPr>
      <w:r>
        <w:rPr/>
        <w:t>Documentos</w:t>
      </w:r>
    </w:p>
    <w:tbl>
      <w:tblPr>
        <w:tblW w:w="9632" w:type="dxa"/>
        <w:tblBorders>
          <w:top w:val="single" w:sz="4" w:space="0" w:color="BFC0C0"/>
          <w:left w:val="single" w:sz="4" w:space="0" w:color="BFC0C0"/>
          <w:bottom w:val="single" w:sz="4" w:space="0" w:color="BFC0C0"/>
          <w:right w:val="single" w:sz="4" w:space="0" w:color="BFC0C0"/>
          <w:insideH w:val="single" w:sz="4" w:space="0" w:color="BFC0C0"/>
          <w:insideV w:val="single" w:sz="4" w:space="0" w:color="BFC0C0"/>
        </w:tblBorders>
        <w:tblLayout w:type="fixed"/>
        <w:tblLook w:firstColumn="1" w:firstRow="1" w:lastColumn="0" w:lastRow="0" w:noHBand="0" w:noVBand="1" w:val="04A0"/>
      </w:tblPr>
      <w:tblGrid>
        <w:gridCol w:w="3363"/>
        <w:gridCol w:w="4315"/>
        <w:gridCol w:w="1952"/>
      </w:tblGrid>
      <w:tr>
        <w:trPr>
          <w:tblHeader w:val="true"/>
          <w:cantSplit/>
        </w:trPr>
        <w:tc>
          <w:tcPr>
            <w:tcW w:w="3363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Documento</w:t>
            </w:r>
          </w:p>
        </w:tc>
        <w:tc>
          <w:tcPr>
            <w:tcW w:w="4315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Contenido</w:t>
            </w:r>
          </w:p>
        </w:tc>
        <w:tc>
          <w:tcPr>
            <w:tcW w:w="1952" w:type="dxa"/>
            <w:shd w:val="clear" w:color="auto" w:fill="ECECEC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04-exposicion-de-motivos.md</w:t>
            </w:r>
            <w:r>
              <w:rPr>
                <w:sz w:val="17"/>
              </w:rPr>
              <w:t xml:space="preserve"> (</w:t>
            </w:r>
            <w:hyperlink r:id="rId20">
              <w:r>
                <w:rPr>
                  <w:rStyle w:val="Hyperlink"/>
                  <w:sz w:val="17"/>
                </w:rPr>
                <w:t xml:space="preserve">versión con diagramas</w:t>
              </w:r>
            </w:hyperlink>
            <w:r>
              <w:rPr>
                <w:sz w:val="17"/>
              </w:rPr>
              <w:t>)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Por qué se necesitan los estándares, para lectores que no conocen el sistema CONOCER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Versión 1.0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01-mapa-funcional.md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Propósito principal, funciones clave, elementos, correspondencia con NIST e ISO, revisión del RENEC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Versión 1.0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02-EC-A-borrador.md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EC-A</w:t>
            </w:r>
            <w:r>
              <w:rPr>
                <w:sz w:val="17"/>
              </w:rPr>
              <w:t xml:space="preserve"> · Protección de la información y verificación de resultados en el uso de herramientas de inteligencia artificial generativa (3 elementos, nivel Dos)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en formato F21-COOPYD-01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03-EC-B-borrador.md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>EC-B</w:t>
            </w:r>
            <w:r>
              <w:rPr>
                <w:sz w:val="17"/>
              </w:rPr>
              <w:t xml:space="preserve"> · Gestión de riesgos y controles en el uso de sistemas de inteligencia artificial en la organización (4 elementos, nivel Cuatro)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en formato F21-COOPYD-01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05-IEC-EC-A-guia-evaluador.md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Instrumento de evaluación del EC-A: guía del evaluador (confidencial)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06-IEC-EC-A-materiales-candidato.md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Instrumento de evaluación del EC-A: caso, anexos y cuestionario para el candidato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07-IEC-EC-B-guia-evaluador.md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Instrumento de evaluación del EC-B: guía del evaluador (confidencial)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08-IEC-EC-B-materiales-candidato.md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Instrumento de evaluación del EC-B: caso, anexos y cuestionario para el candidato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09-curso-alineacion-EC-A.md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Curso de alineación del EC-A: carta descriptiva de 8 horas, guía del instructor, evaluación con cuestionario final de 15 reactivos (confidencial para instructores), DC-3 y correspondencia con el estándar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10-guia-estudio-EC-A.md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Guía de estudio del EC-A y cuaderno del participante: contenidos, caso de práctica, ejercicios, autodiagnóstico y preguntas de práctica con respuestas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11-curso-alineacion-EC-B.md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Curso de alineación del EC-B: carta descriptiva de 20 horas, guía del instructor, simulaciones en tríos, evaluación con cuestionario final de 20 reactivos (confidencial para instructores), DC-3 y correspondencia con el estándar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12-guia-estudio-EC-B.md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Guía de estudio del EC-B y cuaderno del participante: contenidos, caso de práctica, 16 ejercicios, tarjetas de rol, autodiagnóstico y preguntas de práctica con respuestas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13-diagnostico-uso-IA.md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Diagnóstico empresarial de uso de IA: modalidades, fases, insumos, autodiagnóstico exprés de 20 preguntas, instrumentos, índice de madurez, formato del informe y mensajes comerciales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14-plantilla-politica-uso-IA.md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Plantilla de política de uso de IA para adaptar a cada organización, con seis anexos y correspondencia con el EC-B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prueba piloto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15-convenio-tipo-universidades.md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Convenio específico de colaboración con instituciones educativas para alineación, evaluación y certificación, con cuatro anexos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revisión jurídica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16-plan-prueba-piloto.md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Plan de la prueba piloto: participantes, diseño, indicadores y criterios de decisión, calendario, ética y consentimiento informado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17-gobernanza-comite-grupo-tecnico.md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Ruta para el Comité de Gestión por Competencias, términos de referencia y sesiones del grupo técnico, minuta y carta de confidencialidad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18-decision-EC-o-ECM.md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Análisis para decidir el registro como EC o como ECM, con preguntas para el CONOCER y recomendación preliminar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19-avisos-de-privacidad.md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Avisos de privacidad de la empresa: integral y simplificado para participantes y candidatos, para personas entrevistadas del diagnóstico y para el grupo técnico, con formatos de consentimiento específico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revisión jurídica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20-contratos-tipo.md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Contratos tipo: servicios de consultoría, encargo de tratamiento de datos personales, cesión de derechos de autor y términos y condiciones para participantes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Borrador 1.0 para revisión jurídica</w:t>
            </w:r>
          </w:p>
        </w:tc>
      </w:tr>
      <w:tr>
        <w:tc>
          <w:tcPr>
            <w:tcW w:w="3363" w:type="dxa"/>
          </w:tcPr>
          <w:p>
            <w:pPr>
              <w:pStyle w:val="Compact"/>
              <w:spacing w:before="20" w:after="20"/>
            </w:pPr>
            <w:r>
              <w:rPr>
                <w:rFonts w:ascii="Consolas" w:hAnsi="Consolas"/>
                <w:sz w:val="17"/>
              </w:rPr>
              <w:t>21-resumen-ejecutivo-socios.md</w:t>
            </w:r>
          </w:p>
        </w:tc>
        <w:tc>
          <w:tcPr>
            <w:tcW w:w="4315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Resumen ejecutivo para los socios: qué estándares escogimos, por qué son dos, qué documentos creamos, cuidados legales y estrategia de venta</w:t>
            </w:r>
          </w:p>
        </w:tc>
        <w:tc>
          <w:tcPr>
            <w:tcW w:w="1952" w:type="dxa"/>
          </w:tcPr>
          <w:p>
            <w:pPr>
              <w:pStyle w:val="Compact"/>
              <w:spacing w:before="20" w:after="20"/>
            </w:pPr>
            <w:r>
              <w:rPr>
                <w:sz w:val="17"/>
              </w:rPr>
              <w:t>Versión 1.0</w:t>
            </w:r>
          </w:p>
        </w:tc>
      </w:tr>
    </w:tbl>
    <w:p>
      <w:pPr>
        <w:pStyle w:val="BodyText"/>
      </w:pPr>
    </w:p>
    <w:p>
      <w:pPr>
        <w:pStyle w:val="BodyText"/>
      </w:pPr>
      <w:r>
        <w:rPr/>
        <w:t xml:space="preserve">Copias en Google Docs: </w:t>
      </w:r>
      <w:hyperlink r:id="rId21">
        <w:r>
          <w:rPr>
            <w:rStyle w:val="Hyperlink"/>
          </w:rPr>
          <w:t xml:space="preserve">carpeta "Estándares de Competencia en IA - CONOCER"</w:t>
        </w:r>
      </w:hyperlink>
      <w:r>
        <w:rPr/>
        <w:t xml:space="preserve">. Contexto para continuar con Claude Code local: </w:t>
      </w:r>
      <w:r>
        <w:rPr>
          <w:rFonts w:ascii="Consolas" w:hAnsi="Consolas"/>
        </w:rPr>
        <w:t>CLAUDE.md</w:t>
      </w:r>
      <w:r>
        <w:rPr/>
        <w:t xml:space="preserve"> en la raíz del repositorio.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Cómo se compone un Estándar de Competencia del CONOCER</w:t>
      </w:r>
    </w:p>
    <w:p>
      <w:pPr>
        <w:pStyle w:val="FirstParagraph"/>
      </w:pPr>
      <w:r>
        <w:rPr/>
        <w:t xml:space="preserve">Un EC no es un temario ni un curso: describe </w:t>
      </w:r>
      <w:r>
        <w:rPr>
          <w:b/>
        </w:rPr>
        <w:t>lo que una persona hace en su trabajo y cómo lo demuestra</w:t>
      </w:r>
      <w:r>
        <w:rPr/>
        <w:t>.</w:t>
      </w:r>
    </w:p>
    <w:p>
      <w:pPr>
        <w:pStyle w:val="Compact"/>
        <w:numPr>
          <w:ilvl w:val="0"/>
          <w:numId w:val="1014"/>
        </w:numPr>
      </w:pPr>
      <w:r>
        <w:rPr>
          <w:b/>
        </w:rPr>
        <w:t>Datos generales:</w:t>
      </w:r>
      <w:r>
        <w:rPr/>
        <w:t xml:space="preserve"> código, título, propósito, descripción, nivel, comité, fechas, vigencia, ocupaciones (SINCO), sector (SCIAN), participantes, estándares relacionados, aspectos de la evaluación y referencias.</w:t>
      </w:r>
    </w:p>
    <w:p>
      <w:pPr>
        <w:pStyle w:val="Compact"/>
        <w:numPr>
          <w:ilvl w:val="0"/>
          <w:numId w:val="1014"/>
        </w:numPr>
      </w:pPr>
      <w:r>
        <w:rPr>
          <w:b/>
        </w:rPr>
        <w:t>Perfil:</w:t>
      </w:r>
      <w:r>
        <w:rPr/>
        <w:t xml:space="preserve"> el estándar y sus elementos.</w:t>
      </w:r>
    </w:p>
    <w:p>
      <w:pPr>
        <w:pStyle w:val="Compact"/>
        <w:numPr>
          <w:ilvl w:val="0"/>
          <w:numId w:val="1014"/>
        </w:numPr>
      </w:pPr>
      <w:r>
        <w:rPr>
          <w:b/>
        </w:rPr>
        <w:t>Elementos</w:t>
      </w:r>
      <w:r>
        <w:rPr/>
        <w:t>, cada uno con sus criterios de evaluación:</w:t>
      </w:r>
      <w:r>
        <w:rPr/>
        <w:t xml:space="preserve"> </w:t>
      </w:r>
    </w:p>
    <w:p>
      <w:pPr>
        <w:pStyle w:val="Compact"/>
        <w:numPr>
          <w:ilvl w:val="1"/>
          <w:numId w:val="1013"/>
        </w:numPr>
      </w:pPr>
      <w:r>
        <w:rPr>
          <w:b/>
        </w:rPr>
        <w:t>Desempeños:</w:t>
      </w:r>
      <w:r>
        <w:rPr/>
        <w:t xml:space="preserve"> lo que el evaluador observa que la persona hace.</w:t>
      </w:r>
    </w:p>
    <w:p>
      <w:pPr>
        <w:pStyle w:val="Compact"/>
        <w:numPr>
          <w:ilvl w:val="1"/>
          <w:numId w:val="1013"/>
        </w:numPr>
      </w:pPr>
      <w:r>
        <w:rPr>
          <w:b/>
        </w:rPr>
        <w:t>Productos:</w:t>
      </w:r>
      <w:r>
        <w:rPr/>
        <w:t xml:space="preserve"> lo que la persona entrega como evidencia.</w:t>
      </w:r>
    </w:p>
    <w:p>
      <w:pPr>
        <w:pStyle w:val="Compact"/>
        <w:numPr>
          <w:ilvl w:val="1"/>
          <w:numId w:val="1013"/>
        </w:numPr>
      </w:pPr>
      <w:r>
        <w:rPr>
          <w:b/>
        </w:rPr>
        <w:t>Conocimientos:</w:t>
      </w:r>
      <w:r>
        <w:rPr/>
        <w:t xml:space="preserve"> lo que debe saber, con su nivel.</w:t>
      </w:r>
    </w:p>
    <w:p>
      <w:pPr>
        <w:pStyle w:val="Compact"/>
        <w:numPr>
          <w:ilvl w:val="1"/>
          <w:numId w:val="1013"/>
        </w:numPr>
      </w:pPr>
      <w:r>
        <w:rPr>
          <w:b/>
        </w:rPr>
        <w:t>Respuesta ante situaciones emergentes:</w:t>
      </w:r>
      <w:r>
        <w:rPr/>
        <w:t xml:space="preserve"> cómo reacciona ante un imprevisto (cuando aplica).</w:t>
      </w:r>
    </w:p>
    <w:p>
      <w:pPr>
        <w:pStyle w:val="Compact"/>
        <w:numPr>
          <w:ilvl w:val="1"/>
          <w:numId w:val="1013"/>
        </w:numPr>
      </w:pPr>
      <w:r>
        <w:rPr>
          <w:b/>
        </w:rPr>
        <w:t>Actitudes, hábitos y valores:</w:t>
      </w:r>
      <w:r>
        <w:rPr/>
        <w:t xml:space="preserve"> cómo se conduce durante el desempeño.</w:t>
      </w:r>
    </w:p>
    <w:p>
      <w:pPr>
        <w:pStyle w:val="Compact"/>
        <w:numPr>
          <w:ilvl w:val="1"/>
          <w:numId w:val="1013"/>
        </w:numPr>
      </w:pPr>
      <w:r>
        <w:rPr>
          <w:b/>
        </w:rPr>
        <w:t>Glosario.</w:t>
      </w:r>
    </w:p>
    <w:p>
      <w:pPr>
        <w:pStyle w:val="Compact"/>
        <w:numPr>
          <w:ilvl w:val="0"/>
          <w:numId w:val="1014"/>
        </w:numPr>
      </w:pPr>
      <w:r>
        <w:rPr>
          <w:b/>
        </w:rPr>
        <w:t>Documentos de soporte</w:t>
      </w:r>
      <w:r>
        <w:rPr/>
        <w:t xml:space="preserve"> (no se publican en el DOF): mapa funcional, instrumento de evaluación, resultados de la prueba piloto y actas del Comité de Gestión por Competencias.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Qué falta para presentar la familia al CONOCER</w:t>
      </w:r>
    </w:p>
    <w:p>
      <w:pPr>
        <w:pStyle w:val="FirstParagraph"/>
      </w:pPr>
      <w:r>
        <w:rPr>
          <w:b/>
        </w:rPr>
        <w:t>A. Documentos técnicos</w:t>
      </w:r>
    </w:p>
    <w:p>
      <w:pPr>
        <w:pStyle w:val="Compact"/>
        <w:numPr>
          <w:ilvl w:val="0"/>
          <w:numId w:val="1013"/>
        </w:numPr>
      </w:pPr>
      <w:r>
        <w:rPr/>
        <w:t>[x] Mapa funcional</w:t>
      </w:r>
    </w:p>
    <w:p>
      <w:pPr>
        <w:pStyle w:val="Compact"/>
        <w:numPr>
          <w:ilvl w:val="0"/>
          <w:numId w:val="1013"/>
        </w:numPr>
      </w:pPr>
      <w:r>
        <w:rPr/>
        <w:t>[x] Borradores del EC-A y del EC-B en formato F21-COOPYD-01</w:t>
      </w:r>
    </w:p>
    <w:p>
      <w:pPr>
        <w:pStyle w:val="Compact"/>
        <w:numPr>
          <w:ilvl w:val="0"/>
          <w:numId w:val="1013"/>
        </w:numPr>
      </w:pPr>
      <w:r>
        <w:rPr/>
        <w:t>[x] Revisión de traslapes con el RENEC. El 9 de octubre de 2026 se comparó con el texto publicado del Elemento 3 del EC1705 (traslape parcial en la intención, no en los criterios; ver nota 1 del EC-A) y se revisó el DOF del 8 de agosto al 9 de octubre de 2026 (sin nuevos acuerdos del CONOCER). Pendiente: el texto de EC1827 a EC1829, EC1771 y EC1801, cuyos PDF no estaban disponibles</w:t>
      </w:r>
    </w:p>
    <w:p>
      <w:pPr>
        <w:pStyle w:val="Compact"/>
        <w:numPr>
          <w:ilvl w:val="0"/>
          <w:numId w:val="1013"/>
        </w:numPr>
      </w:pPr>
      <w:r>
        <w:rPr/>
        <w:t>[x] Exposición de motivos</w:t>
      </w:r>
    </w:p>
    <w:p>
      <w:pPr>
        <w:pStyle w:val="Compact"/>
        <w:numPr>
          <w:ilvl w:val="0"/>
          <w:numId w:val="1013"/>
        </w:numPr>
      </w:pPr>
      <w:r>
        <w:rPr/>
        <w:t>[x] Instrumento de Evaluación de Competencia del EC-A: caso simulado, guía de observación, lista de cotejo de productos y cuestionario (borrador 1.0)</w:t>
      </w:r>
    </w:p>
    <w:p>
      <w:pPr>
        <w:pStyle w:val="Compact"/>
        <w:numPr>
          <w:ilvl w:val="0"/>
          <w:numId w:val="1013"/>
        </w:numPr>
      </w:pPr>
      <w:r>
        <w:rPr/>
        <w:t>[x] Instrumento de Evaluación de Competencia del EC-B: caso simulado con cuatro simulaciones, guía de observación, lista de cotejo de productos y cuestionario (borrador 1.0)</w:t>
      </w:r>
    </w:p>
    <w:p>
      <w:pPr>
        <w:pStyle w:val="Compact"/>
        <w:numPr>
          <w:ilvl w:val="0"/>
          <w:numId w:val="1013"/>
        </w:numPr>
      </w:pPr>
      <w:r>
        <w:rPr/>
        <w:t>[ ] Segunda versión paralela de los casos de evaluación del EC-A y del EC-B</w:t>
      </w:r>
    </w:p>
    <w:p>
      <w:pPr>
        <w:pStyle w:val="Compact"/>
        <w:numPr>
          <w:ilvl w:val="0"/>
          <w:numId w:val="1013"/>
        </w:numPr>
      </w:pPr>
      <w:r>
        <w:rPr/>
        <w:t>[ ] Prueba piloto de ambos instrumentos con empresas y universidades, y ajustes (plan listo: documento 16)</w:t>
      </w:r>
    </w:p>
    <w:p>
      <w:pPr>
        <w:pStyle w:val="Compact"/>
        <w:numPr>
          <w:ilvl w:val="0"/>
          <w:numId w:val="1013"/>
        </w:numPr>
      </w:pPr>
      <w:r>
        <w:rPr/>
        <w:t>[ ] Traslado de ambos estándares a la plantilla oficial en Word que proporcione el CONOCER</w:t>
      </w:r>
    </w:p>
    <w:p>
      <w:pPr>
        <w:pStyle w:val="BodyText"/>
      </w:pPr>
      <w:r>
        <w:rPr>
          <w:b/>
        </w:rPr>
        <w:t>B. Gobernanza</w:t>
      </w:r>
    </w:p>
    <w:p>
      <w:pPr>
        <w:pStyle w:val="Compact"/>
        <w:numPr>
          <w:ilvl w:val="0"/>
          <w:numId w:val="1013"/>
        </w:numPr>
      </w:pPr>
      <w:r>
        <w:rPr/>
        <w:t>[ ] Integrar el Comité de Gestión por Competencias, o adherirse a uno existente, con su acta (ruta y propuesta: documento 17)</w:t>
      </w:r>
    </w:p>
    <w:p>
      <w:pPr>
        <w:pStyle w:val="Compact"/>
        <w:numPr>
          <w:ilvl w:val="0"/>
          <w:numId w:val="1013"/>
        </w:numPr>
      </w:pPr>
      <w:r>
        <w:rPr/>
        <w:t>[ ] Integrar el grupo técnico de expertos: protección de datos, seguridad de la información, recursos humanos, educación superior y empresas usuarias (términos de referencia: documento 17)</w:t>
      </w:r>
    </w:p>
    <w:p>
      <w:pPr>
        <w:pStyle w:val="Compact"/>
        <w:numPr>
          <w:ilvl w:val="0"/>
          <w:numId w:val="1013"/>
        </w:numPr>
      </w:pPr>
      <w:r>
        <w:rPr/>
        <w:t>[ ] Validación de los borradores por el grupo técnico</w:t>
      </w:r>
    </w:p>
    <w:p>
      <w:pPr>
        <w:pStyle w:val="BodyText"/>
      </w:pPr>
      <w:r>
        <w:rPr>
          <w:b/>
        </w:rPr>
        <w:t>C. Revisiones y confirmaciones</w:t>
      </w:r>
    </w:p>
    <w:p>
      <w:pPr>
        <w:pStyle w:val="Compact"/>
        <w:numPr>
          <w:ilvl w:val="0"/>
          <w:numId w:val="1013"/>
        </w:numPr>
      </w:pPr>
      <w:r>
        <w:rPr/>
        <w:t xml:space="preserve">[x] Revisión de congruencia jurídica de los documentos 02 a 18 contra los textos oficiales vigentes y aplicación de sus correcciones (9 de octubre de 2026; ver </w:t>
      </w:r>
      <w:r>
        <w:rPr>
          <w:rFonts w:ascii="Consolas" w:hAnsi="Consolas"/>
        </w:rPr>
        <w:t>verificacion/REVISION-JURIDICA.md</w:t>
      </w:r>
      <w:r>
        <w:rPr/>
        <w:t xml:space="preserve"> y </w:t>
      </w:r>
      <w:r>
        <w:rPr>
          <w:rFonts w:ascii="Consolas" w:hAnsi="Consolas"/>
        </w:rPr>
        <w:t>verificacion/EVALUACION-RIESGO-LEGAL.md</w:t>
      </w:r>
      <w:r>
        <w:rPr/>
        <w:t>)</w:t>
      </w:r>
    </w:p>
    <w:p>
      <w:pPr>
        <w:pStyle w:val="Compact"/>
        <w:numPr>
          <w:ilvl w:val="0"/>
          <w:numId w:val="1013"/>
        </w:numPr>
      </w:pPr>
      <w:r>
        <w:rPr/>
        <w:t>[ ] Dictamen de un abogado mexicano sobre los temas de la sección 6 de la revisión jurídica (reglamento de 2011, requisito de egreso en instituciones públicas, vía de contratación con cada tipo de institución, servicios especializados, contratos tipo, avisos de privacidad, menores de edad)</w:t>
      </w:r>
    </w:p>
    <w:p>
      <w:pPr>
        <w:pStyle w:val="Compact"/>
        <w:numPr>
          <w:ilvl w:val="0"/>
          <w:numId w:val="1013"/>
        </w:numPr>
      </w:pPr>
      <w:r>
        <w:rPr/>
        <w:t>[ ] Revisión jurídica: las definiciones de "dato personal" y "dato personal sensible" se transcribieron de la ley de datos de 2025 (última reforma DOF del 14 de noviembre de 2025); falta la revisión de un especialista de la definición de vulneración (la ley para particulares no la define), el deber de informar vulneraciones, derechos de autor e imagen</w:t>
      </w:r>
    </w:p>
    <w:p>
      <w:pPr>
        <w:pStyle w:val="Compact"/>
        <w:numPr>
          <w:ilvl w:val="0"/>
          <w:numId w:val="1013"/>
        </w:numPr>
      </w:pPr>
      <w:r>
        <w:rPr/>
        <w:t xml:space="preserve">[x] Verificar en estándares publicados el texto de los niveles Dos y Cuatro, y las frases de desempeños, productos, conocimientos, situaciones emergentes y actitudes (verificación del 9 de octubre de 2026; ver </w:t>
      </w:r>
      <w:r>
        <w:rPr>
          <w:rFonts w:ascii="Consolas" w:hAnsi="Consolas"/>
        </w:rPr>
        <w:t>verificacion/INFORME-VERIFICACION.md</w:t>
      </w:r>
      <w:r>
        <w:rPr/>
        <w:t>)</w:t>
      </w:r>
    </w:p>
    <w:p>
      <w:pPr>
        <w:pStyle w:val="Compact"/>
        <w:numPr>
          <w:ilvl w:val="0"/>
          <w:numId w:val="1013"/>
        </w:numPr>
      </w:pPr>
      <w:r>
        <w:rPr/>
        <w:t>[ ] Confirmar con el CONOCER: que la plantilla F21-COOPYD-01 versión 08 siga vigente, que el SCIAN propuesto (561110 y 541610, verificados en el SCIAN 2023 del INEGI) sea el que acepte, umbrales de los cuestionarios (20 de 24 y 23 de 28), condiciones críticas y evaluación a distancia</w:t>
      </w:r>
    </w:p>
    <w:p>
      <w:pPr>
        <w:pStyle w:val="Compact"/>
        <w:numPr>
          <w:ilvl w:val="0"/>
          <w:numId w:val="1013"/>
        </w:numPr>
      </w:pPr>
      <w:r>
        <w:rPr/>
        <w:t>[ ] Decidir el registro como EC o como Estándar de Competencia de Marca (ECM) (análisis y recomendación preliminar: documento 18)</w:t>
      </w:r>
    </w:p>
    <w:p>
      <w:pPr>
        <w:pStyle w:val="BodyText"/>
      </w:pPr>
      <w:r>
        <w:rPr>
          <w:b/>
        </w:rPr>
        <w:t>D. Aprobación</w:t>
      </w:r>
    </w:p>
    <w:p>
      <w:pPr>
        <w:pStyle w:val="Compact"/>
        <w:numPr>
          <w:ilvl w:val="0"/>
          <w:numId w:val="1013"/>
        </w:numPr>
      </w:pPr>
      <w:r>
        <w:rPr/>
        <w:t>[ ] Presentación al Comité Técnico del CONOCER</w:t>
      </w:r>
    </w:p>
    <w:p>
      <w:pPr>
        <w:pStyle w:val="Compact"/>
        <w:numPr>
          <w:ilvl w:val="0"/>
          <w:numId w:val="1013"/>
        </w:numPr>
      </w:pPr>
      <w:r>
        <w:rPr/>
        <w:t>[ ] Publicación en el DOF e inscripción en el RENEC</w:t>
      </w:r>
    </w:p>
    <w:p>
      <w:pPr>
        <w:pStyle w:val="BodyText"/>
      </w:pPr>
      <w:r>
        <w:rPr>
          <w:b/>
        </w:rPr>
        <w:t>E. Operación (después de la publicación)</w:t>
      </w:r>
    </w:p>
    <w:p>
      <w:pPr>
        <w:pStyle w:val="Compact"/>
        <w:numPr>
          <w:ilvl w:val="0"/>
          <w:numId w:val="1013"/>
        </w:numPr>
      </w:pPr>
      <w:r>
        <w:rPr/>
        <w:t>[ ] Acreditar la solución de evaluación en el centro de evaluación</w:t>
      </w:r>
    </w:p>
    <w:p>
      <w:pPr>
        <w:pStyle w:val="Compact"/>
        <w:numPr>
          <w:ilvl w:val="0"/>
          <w:numId w:val="1013"/>
        </w:numPr>
      </w:pPr>
      <w:r>
        <w:rPr/>
        <w:t>[ ] Contar con evaluadores certificados en el EC0076 (Evaluación de la competencia de candidatos con base en Estándares de Competencia)</w:t>
      </w:r>
    </w:p>
    <w:p>
      <w:pPr>
        <w:pStyle w:val="Compact"/>
        <w:numPr>
          <w:ilvl w:val="0"/>
          <w:numId w:val="1013"/>
        </w:numPr>
      </w:pPr>
      <w:r>
        <w:rPr/>
        <w:t>[ ] Confirmar la clave de área temática de la DC-3 y el registro como agente capacitador externo ante la STPS</w:t>
      </w:r>
    </w:p>
    <w:p>
      <w:pPr>
        <w:pStyle w:val="Compact"/>
        <w:numPr>
          <w:ilvl w:val="0"/>
          <w:numId w:val="1013"/>
        </w:numPr>
      </w:pPr>
      <w:r>
        <w:rPr/>
        <w:t>[x] Curso de alineación y guía de estudio del EC-A (borrador 1.0)</w:t>
      </w:r>
    </w:p>
    <w:p>
      <w:pPr>
        <w:pStyle w:val="Compact"/>
        <w:numPr>
          <w:ilvl w:val="0"/>
          <w:numId w:val="1013"/>
        </w:numPr>
      </w:pPr>
      <w:r>
        <w:rPr/>
        <w:t>[x] Curso de alineación y guía de estudio del EC-B (borrador 1.0)</w:t>
      </w:r>
    </w:p>
    <w:p>
      <w:pPr>
        <w:pStyle w:val="Compact"/>
        <w:numPr>
          <w:ilvl w:val="0"/>
          <w:numId w:val="1013"/>
        </w:numPr>
      </w:pPr>
      <w:r>
        <w:rPr/>
        <w:t>[x] Paquete empresarial: diagnóstico de uso de IA y plantilla de política de uso (borrador 1.0)</w:t>
      </w:r>
    </w:p>
    <w:p>
      <w:pPr>
        <w:pStyle w:val="Compact"/>
        <w:numPr>
          <w:ilvl w:val="0"/>
          <w:numId w:val="1013"/>
        </w:numPr>
      </w:pPr>
      <w:r>
        <w:rPr/>
        <w:t>[x] Convenio tipo con universidades (borrador 1.0 para revisión jurídica)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Documentos por elaborar</w:t>
      </w:r>
    </w:p>
    <w:p>
      <w:pPr>
        <w:pStyle w:val="FirstParagraph"/>
      </w:pPr>
      <w:r>
        <w:rPr/>
        <w:t>Revisión del paquete del 9 de octubre de 2026. En orden de prioridad:</w:t>
      </w:r>
    </w:p>
    <w:p>
      <w:pPr>
        <w:pStyle w:val="BodyText"/>
      </w:pPr>
      <w:r>
        <w:rPr>
          <w:b/>
        </w:rPr>
        <w:t>1. Para aplicar la evaluación</w:t>
      </w:r>
    </w:p>
    <w:p>
      <w:pPr>
        <w:pStyle w:val="Compact"/>
        <w:numPr>
          <w:ilvl w:val="0"/>
          <w:numId w:val="1013"/>
        </w:numPr>
      </w:pPr>
      <w:r>
        <w:rPr/>
        <w:t>Segunda versión paralela del caso de evaluación del EC-A y del EC-B (caso, anexos, cuestionario y claves), para que el caso no circule entre candidatos.</w:t>
      </w:r>
    </w:p>
    <w:p>
      <w:pPr>
        <w:pStyle w:val="Compact"/>
        <w:numPr>
          <w:ilvl w:val="0"/>
          <w:numId w:val="1013"/>
        </w:numPr>
      </w:pPr>
      <w:r>
        <w:rPr/>
        <w:t>Insumos de producción del IEC del EC-A: nota de voz y mensajes grabados de la Parte C, y especificación del entorno que simula la herramienta de IA.</w:t>
      </w:r>
    </w:p>
    <w:p>
      <w:pPr>
        <w:pStyle w:val="Compact"/>
        <w:numPr>
          <w:ilvl w:val="0"/>
          <w:numId w:val="1013"/>
        </w:numPr>
      </w:pPr>
      <w:r>
        <w:rPr/>
        <w:t>Formatos de registro: hoja de respuestas del cuestionario, bitácora de tiempos y bitácora de incidencias.</w:t>
      </w:r>
    </w:p>
    <w:p>
      <w:pPr>
        <w:pStyle w:val="BodyText"/>
      </w:pPr>
      <w:r>
        <w:rPr>
          <w:b/>
        </w:rPr>
        <w:t>2. Para impartir los cursos</w:t>
      </w:r>
    </w:p>
    <w:p>
      <w:pPr>
        <w:pStyle w:val="Compact"/>
        <w:numPr>
          <w:ilvl w:val="0"/>
          <w:numId w:val="1013"/>
        </w:numPr>
      </w:pPr>
      <w:r>
        <w:rPr/>
        <w:t>Presentaciones del instructor del EC-A y del EC-B.</w:t>
      </w:r>
    </w:p>
    <w:p>
      <w:pPr>
        <w:pStyle w:val="Compact"/>
        <w:numPr>
          <w:ilvl w:val="0"/>
          <w:numId w:val="1013"/>
        </w:numPr>
      </w:pPr>
      <w:r>
        <w:rPr/>
        <w:t>Banco de ejemplos del instructor que piden las cartas descriptivas (ejemplos para clasificar, fuentes, suplantaciones en audio, video y texto, declaraciones incompletas; sistemas, controles, cláusulas e incidente para el análisis de causa raíz).</w:t>
      </w:r>
    </w:p>
    <w:p>
      <w:pPr>
        <w:pStyle w:val="Compact"/>
        <w:numPr>
          <w:ilvl w:val="0"/>
          <w:numId w:val="1013"/>
        </w:numPr>
      </w:pPr>
      <w:r>
        <w:rPr/>
        <w:t>Encuesta de satisfacción de cinco preguntas (cursos y prueba piloto).</w:t>
      </w:r>
    </w:p>
    <w:p>
      <w:pPr>
        <w:pStyle w:val="Compact"/>
        <w:numPr>
          <w:ilvl w:val="0"/>
          <w:numId w:val="1013"/>
        </w:numPr>
      </w:pPr>
      <w:r>
        <w:rPr/>
        <w:t>Plantilla del programa de capacitación (Producto 4 del Elemento 3 del EC-B).</w:t>
      </w:r>
    </w:p>
    <w:p>
      <w:pPr>
        <w:pStyle w:val="BodyText"/>
      </w:pPr>
      <w:r>
        <w:rPr>
          <w:b/>
        </w:rPr>
        <w:t>3. Para la prueba piloto</w:t>
      </w:r>
    </w:p>
    <w:p>
      <w:pPr>
        <w:pStyle w:val="Compact"/>
        <w:numPr>
          <w:ilvl w:val="0"/>
          <w:numId w:val="1013"/>
        </w:numPr>
      </w:pPr>
      <w:r>
        <w:rPr/>
        <w:t>Carta o convenio de participación en la piloto con instituciones y empresas (el documento 15 supone un estándar publicado).</w:t>
      </w:r>
    </w:p>
    <w:p>
      <w:pPr>
        <w:pStyle w:val="Compact"/>
        <w:numPr>
          <w:ilvl w:val="0"/>
          <w:numId w:val="1013"/>
        </w:numPr>
      </w:pPr>
      <w:r>
        <w:rPr/>
        <w:t>Constancia de participación.</w:t>
      </w:r>
    </w:p>
    <w:p>
      <w:pPr>
        <w:pStyle w:val="Compact"/>
        <w:numPr>
          <w:ilvl w:val="0"/>
          <w:numId w:val="1013"/>
        </w:numPr>
      </w:pPr>
      <w:r>
        <w:rPr/>
        <w:t>Programa de capacitación de los evaluadores en los instrumentos.</w:t>
      </w:r>
    </w:p>
    <w:p>
      <w:pPr>
        <w:pStyle w:val="Compact"/>
        <w:numPr>
          <w:ilvl w:val="0"/>
          <w:numId w:val="1013"/>
        </w:numPr>
      </w:pPr>
      <w:r>
        <w:rPr/>
        <w:t>~~Aviso de privacidad de la empresa para candidatos, participantes y convenios~~ Hecho como borrador (documento 19); falta la revisión jurídica y designar el departamento de datos personales.</w:t>
      </w:r>
    </w:p>
    <w:p>
      <w:pPr>
        <w:pStyle w:val="BodyText"/>
      </w:pPr>
      <w:r>
        <w:rPr>
          <w:b/>
        </w:rPr>
        <w:t>4. Para la consultoría y los convenios</w:t>
      </w:r>
    </w:p>
    <w:p>
      <w:pPr>
        <w:pStyle w:val="Compact"/>
        <w:numPr>
          <w:ilvl w:val="0"/>
          <w:numId w:val="1013"/>
        </w:numPr>
      </w:pPr>
      <w:r>
        <w:rPr/>
        <w:t>~~Contrato de servicios con los clientes del diagnóstico y contrato de encargo de tratamiento de datos~~ Hechos como borrador (documento 20), junto con la cesión de derechos de autor y los términos para participantes; falta la revisión jurídica.</w:t>
      </w:r>
    </w:p>
    <w:p>
      <w:pPr>
        <w:pStyle w:val="Compact"/>
        <w:numPr>
          <w:ilvl w:val="0"/>
          <w:numId w:val="1013"/>
        </w:numPr>
      </w:pPr>
      <w:r>
        <w:rPr/>
        <w:t>Registro como agente capacitador externo ante la STPS, antes de expedir constancias DC-3.</w:t>
      </w:r>
    </w:p>
    <w:p>
      <w:pPr>
        <w:pStyle w:val="Compact"/>
        <w:numPr>
          <w:ilvl w:val="0"/>
          <w:numId w:val="1013"/>
        </w:numPr>
      </w:pPr>
      <w:r>
        <w:rPr/>
        <w:t>Firma de las cesiones de derechos (documento 20, modelo C) con quienes elaboraron los materiales, y registro de obras y marcas.</w:t>
      </w:r>
    </w:p>
    <w:p>
      <w:pPr>
        <w:pStyle w:val="Compact"/>
        <w:numPr>
          <w:ilvl w:val="0"/>
          <w:numId w:val="1013"/>
        </w:numPr>
      </w:pPr>
      <w:r>
        <w:rPr/>
        <w:t>Formato del informe periódico de resultados a las instituciones (documento 15).</w:t>
      </w:r>
    </w:p>
    <w:p>
      <w:pPr>
        <w:pStyle w:val="Compact"/>
        <w:numPr>
          <w:ilvl w:val="0"/>
          <w:numId w:val="1013"/>
        </w:numPr>
      </w:pPr>
      <w:r>
        <w:rPr/>
        <w:t>Descripción del servicio de seguimiento trimestral (documento 13).</w:t>
      </w:r>
    </w:p>
    <w:p>
      <w:pPr>
        <w:pStyle w:val="Compact"/>
        <w:numPr>
          <w:ilvl w:val="0"/>
          <w:numId w:val="1013"/>
        </w:numPr>
      </w:pPr>
      <w:r>
        <w:rPr/>
        <w:t>Convenio general (marco) con instituciones, cuando la institución lo pida.</w:t>
      </w:r>
    </w:p>
    <w:p>
      <w:pPr>
        <w:pStyle w:val="BodyText"/>
      </w:pPr>
      <w:r>
        <w:rPr>
          <w:b/>
        </w:rPr>
        <w:t>Dependen de terceros:</w:t>
      </w:r>
      <w:r>
        <w:rPr/>
        <w:t xml:space="preserve"> plantilla oficial en Word del CONOCER, acta del Comité de Gestión por Competencias, resultados de la prueba piloto, dictamen jurídico y expediente de acreditación de la solución de evaluación.</w:t>
      </w:r>
    </w:p>
    <w:p>
      <w:pPr>
        <w:pStyle w:val="BodyText"/>
        <w:pBdr>
          <w:bottom w:val="single" w:sz="4" w:space="1" w:color="BFC0C0"/>
        </w:pBdr>
      </w:pPr>
    </w:p>
    <w:p>
      <w:pPr>
        <w:pStyle w:val="Heading2"/>
      </w:pPr>
      <w:r>
        <w:rPr/>
        <w:t>Decisiones pendientes</w:t>
      </w:r>
    </w:p>
    <w:p>
      <w:pPr>
        <w:pStyle w:val="Compact"/>
        <w:numPr>
          <w:ilvl w:val="0"/>
          <w:numId w:val="1015"/>
        </w:numPr>
      </w:pPr>
      <w:r>
        <w:rPr/>
        <w:t>Registro como EC o como ECM: alcance de cada opción sobre quién puede evaluar y certificar. Recomendación preliminar: EC público (documento 18), por confirmar con el CONOCER.</w:t>
      </w:r>
    </w:p>
    <w:p>
      <w:pPr>
        <w:pStyle w:val="Compact"/>
        <w:numPr>
          <w:ilvl w:val="0"/>
          <w:numId w:val="1015"/>
        </w:numPr>
      </w:pPr>
      <w:r>
        <w:rPr/>
        <w:t>Integración del Comité de Gestión por Competencias: comité nuevo o adhesión a uno existente (documento 17).</w:t>
      </w:r>
    </w:p>
    <w:p>
      <w:pPr>
        <w:pStyle w:val="Compact"/>
        <w:numPr>
          <w:ilvl w:val="0"/>
          <w:numId w:val="1015"/>
        </w:numPr>
      </w:pPr>
      <w:r>
        <w:rPr/>
        <w:t>Universidades y empresas para la prueba piloto.</w:t>
      </w:r>
    </w:p>
    <w:p>
      <w:pPr>
        <w:pStyle w:val="Compact"/>
        <w:numPr>
          <w:ilvl w:val="0"/>
          <w:numId w:val="1015"/>
        </w:numPr>
      </w:pPr>
      <w:r>
        <w:rPr/>
        <w:t>Evaluación a distancia del EC-A (clave para evaluar generaciones completas).</w:t>
      </w:r>
    </w:p>
    <w:sectPr>
      <w:footerReference w:type="default" r:id="rId9"/>
      <w:pgSz w:w="12240" w:h="15840"/>
      <w:pgMar w:top="1304" w:left="1304" w:right="1304" w:bottom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Índice y estado del proyecto · 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claude.ai/code/artifact/71df6896-f000-44f3-bf53-ef54f1417a0c" TargetMode="External"/><Relationship Id="rId21" Type="http://schemas.openxmlformats.org/officeDocument/2006/relationships/hyperlink" Target="https://drive.google.com/drive/folders/1UVEkFJ_GA7fd-w1_kA7MqKXrHWS-O3OP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claude.ai/code/artifact/71df6896-f000-44f3-bf53-ef54f1417a0c" TargetMode="External"/><Relationship Id="rId21" Type="http://schemas.openxmlformats.org/officeDocument/2006/relationships/hyperlink" Target="https://drive.google.com/drive/folders/1UVEkFJ_GA7fd-w1_kA7MqKXrHWS-O3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Familia de Estándares de Competencia en Inteligencia Artificial</dc:title>
  <dc:creator>Proyecto Estándares de Competencia en IA</dc:creator>
  <cp:keywords/>
  <dcterms:created xsi:type="dcterms:W3CDTF">2026-10-09T15:04:45Z</dcterms:created>
  <dcterms:modified xsi:type="dcterms:W3CDTF">2026-10-09T15:04:45Z</dcterms:modified>
  <dc:description>Generado desde Markdown el 9 de octubre de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