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Resumen ejecutivo para los socios: Estándares de Competencia en IA</w:t>
      </w:r>
    </w:p>
    <w:p>
      <w:pPr>
        <w:pStyle w:val="FirstParagraph"/>
      </w:pPr>
      <w:r>
        <w:rPr/>
        <w:t>9 de octubre de 2026</w:t>
      </w:r>
    </w:p>
    <w:p>
      <w:pPr>
        <w:pStyle w:val="Heading2"/>
      </w:pPr>
      <w:r>
        <w:rPr/>
        <w:t>Qué hicimos</w:t>
      </w:r>
    </w:p>
    <w:p>
      <w:pPr>
        <w:pStyle w:val="FirstParagraph"/>
      </w:pPr>
      <w:r>
        <w:rPr/>
        <w:t>Diseñamos dos Estándares de Competencia sobre el uso seguro de la inteligencia artificial (IA) para proponerlos al CONOCER. Los acompañamos con todo lo necesario para operarlos: exámenes, cursos, guías de estudio, un servicio de consultoría y los documentos legales. Todo está en borrador listo para una prueba piloto, verificado contra las fuentes oficiales y revisado contra la ley mexicana vigente.</w:t>
      </w:r>
    </w:p>
    <w:p>
      <w:pPr>
        <w:pStyle w:val="Heading2"/>
      </w:pPr>
      <w:r>
        <w:rPr/>
        <w:t>El problema y la oportunidad</w:t>
      </w:r>
    </w:p>
    <w:p>
      <w:pPr>
        <w:pStyle w:val="FirstParagraph"/>
      </w:pPr>
      <w:r>
        <w:rPr/>
        <w:t>La IA ya se usa a diario en oficinas, escuelas y dependencias, casi siempre sin reglas. Basta con que alguien pegue una lista de clientes en un asistente gratuito para exponer datos personales. También crecen los fraudes con voces y videos falsos hechos con IA.</w:t>
      </w:r>
    </w:p>
    <w:p>
      <w:pPr>
        <w:pStyle w:val="BodyText"/>
      </w:pPr>
      <w:r>
        <w:rPr/>
        <w:t>Las empresas ya tienen dos obligaciones que este riesgo toca:</w:t>
      </w:r>
    </w:p>
    <w:p>
      <w:pPr>
        <w:pStyle w:val="Compact"/>
        <w:numPr>
          <w:ilvl w:val="0"/>
          <w:numId w:val="1015"/>
        </w:numPr>
      </w:pPr>
      <w:r>
        <w:rPr>
          <w:b/>
        </w:rPr>
        <w:t>Proteger los datos personales</w:t>
      </w:r>
      <w:r>
        <w:rPr/>
        <w:t xml:space="preserve"> que manejan e informar a las personas si se filtran (ley de datos personales de 2025).</w:t>
      </w:r>
    </w:p>
    <w:p>
      <w:pPr>
        <w:pStyle w:val="Compact"/>
        <w:numPr>
          <w:ilvl w:val="0"/>
          <w:numId w:val="1015"/>
        </w:numPr>
      </w:pPr>
      <w:r>
        <w:rPr>
          <w:b/>
        </w:rPr>
        <w:t>Capacitar a su personal</w:t>
      </w:r>
      <w:r>
        <w:rPr/>
        <w:t xml:space="preserve"> (Ley Federal del Trabajo).</w:t>
      </w:r>
    </w:p>
    <w:p>
      <w:pPr>
        <w:pStyle w:val="BodyText"/>
      </w:pPr>
      <w:r>
        <w:rPr/>
        <w:t>Ninguno de los siete estándares de IA que hoy existen en el registro del CONOCER enseña a proteger la información al usar IA ni a controlar sus riesgos en una organización. Ese hueco es nuestra oportunidad.</w:t>
      </w:r>
    </w:p>
    <w:p>
      <w:pPr>
        <w:pStyle w:val="Heading2"/>
      </w:pPr>
      <w:r>
        <w:rPr/>
        <w:t>Los dos estándares que escogimos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422"/>
        <w:gridCol w:w="4065"/>
        <w:gridCol w:w="4143"/>
      </w:tblGrid>
      <w:tr>
        <w:trPr>
          <w:tblHeader w:val="true"/>
          <w:cantSplit/>
        </w:trPr>
        <w:tc>
          <w:tcPr>
            <w:tcW w:w="1422" w:type="dxa"/>
            <w:shd w:val="clear" w:color="auto" w:fill="ECECEC"/>
          </w:tcPr>
          <w:p>
            <w:pPr>
              <w:pStyle w:val="Compact"/>
              <w:spacing w:before="20" w:after="20"/>
            </w:pPr>
          </w:p>
        </w:tc>
        <w:tc>
          <w:tcPr>
            <w:tcW w:w="4065" w:type="dxa"/>
            <w:shd w:val="clear" w:color="auto" w:fill="ECECEC"/>
          </w:tcPr>
          <w:p>
            <w:pPr>
              <w:pStyle w:val="Compact"/>
              <w:spacing w:before="20" w:after="20"/>
            </w:pPr>
            <w:r>
              <w:rPr>
                <w:b/>
                <w:sz w:val="17"/>
              </w:rPr>
              <w:t>EC-A · Usuario de IA</w:t>
            </w:r>
          </w:p>
        </w:tc>
        <w:tc>
          <w:tcPr>
            <w:tcW w:w="4143" w:type="dxa"/>
            <w:shd w:val="clear" w:color="auto" w:fill="ECECEC"/>
          </w:tcPr>
          <w:p>
            <w:pPr>
              <w:pStyle w:val="Compact"/>
              <w:spacing w:before="20" w:after="20"/>
            </w:pPr>
            <w:r>
              <w:rPr>
                <w:b/>
                <w:sz w:val="17"/>
              </w:rPr>
              <w:t>EC-B · Responsable de la IA</w:t>
            </w:r>
          </w:p>
        </w:tc>
      </w:tr>
      <w:tr>
        <w:tc>
          <w:tcPr>
            <w:tcW w:w="1422" w:type="dxa"/>
          </w:tcPr>
          <w:p>
            <w:pPr>
              <w:pStyle w:val="Compact"/>
              <w:spacing w:before="20" w:after="20"/>
            </w:pPr>
            <w:r>
              <w:rPr>
                <w:sz w:val="17"/>
              </w:rPr>
              <w:t>Nombre completo</w:t>
            </w:r>
          </w:p>
        </w:tc>
        <w:tc>
          <w:tcPr>
            <w:tcW w:w="4065" w:type="dxa"/>
          </w:tcPr>
          <w:p>
            <w:pPr>
              <w:pStyle w:val="Compact"/>
              <w:spacing w:before="20" w:after="20"/>
            </w:pPr>
            <w:r>
              <w:rPr>
                <w:sz w:val="17"/>
              </w:rPr>
              <w:t>Protección de la información y verificación de resultados en el uso de herramientas de IA generativa</w:t>
            </w:r>
          </w:p>
        </w:tc>
        <w:tc>
          <w:tcPr>
            <w:tcW w:w="4143" w:type="dxa"/>
          </w:tcPr>
          <w:p>
            <w:pPr>
              <w:pStyle w:val="Compact"/>
              <w:spacing w:before="20" w:after="20"/>
            </w:pPr>
            <w:r>
              <w:rPr>
                <w:sz w:val="17"/>
              </w:rPr>
              <w:t>Gestión de riesgos y controles en el uso de sistemas de IA en la organización</w:t>
            </w:r>
          </w:p>
        </w:tc>
      </w:tr>
      <w:tr>
        <w:tc>
          <w:tcPr>
            <w:tcW w:w="1422" w:type="dxa"/>
          </w:tcPr>
          <w:p>
            <w:pPr>
              <w:pStyle w:val="Compact"/>
              <w:spacing w:before="20" w:after="20"/>
            </w:pPr>
            <w:r>
              <w:rPr>
                <w:sz w:val="17"/>
              </w:rPr>
              <w:t>Para quién</w:t>
            </w:r>
          </w:p>
        </w:tc>
        <w:tc>
          <w:tcPr>
            <w:tcW w:w="4065" w:type="dxa"/>
          </w:tcPr>
          <w:p>
            <w:pPr>
              <w:pStyle w:val="Compact"/>
              <w:spacing w:before="20" w:after="20"/>
            </w:pPr>
            <w:r>
              <w:rPr>
                <w:sz w:val="17"/>
              </w:rPr>
              <w:t>Cualquier persona que usa IA en su trabajo o escuela: personal de oficina, mandos medios, estudiantes por egresar</w:t>
            </w:r>
          </w:p>
        </w:tc>
        <w:tc>
          <w:tcPr>
            <w:tcW w:w="4143" w:type="dxa"/>
          </w:tcPr>
          <w:p>
            <w:pPr>
              <w:pStyle w:val="Compact"/>
              <w:spacing w:before="20" w:after="20"/>
            </w:pPr>
            <w:r>
              <w:rPr>
                <w:sz w:val="17"/>
              </w:rPr>
              <w:t>Quien responde por la IA en la empresa: tecnología, seguridad de la información, cumplimiento, datos personales, recursos humanos</w:t>
            </w:r>
          </w:p>
        </w:tc>
      </w:tr>
      <w:tr>
        <w:tc>
          <w:tcPr>
            <w:tcW w:w="1422" w:type="dxa"/>
          </w:tcPr>
          <w:p>
            <w:pPr>
              <w:pStyle w:val="Compact"/>
              <w:spacing w:before="20" w:after="20"/>
            </w:pPr>
            <w:r>
              <w:rPr>
                <w:sz w:val="17"/>
              </w:rPr>
              <w:t>Qué demuestra la persona</w:t>
            </w:r>
          </w:p>
        </w:tc>
        <w:tc>
          <w:tcPr>
            <w:tcW w:w="4065" w:type="dxa"/>
          </w:tcPr>
          <w:p>
            <w:pPr>
              <w:pStyle w:val="Compact"/>
              <w:spacing w:before="20" w:after="20"/>
            </w:pPr>
            <w:r>
              <w:rPr>
                <w:sz w:val="17"/>
              </w:rPr>
              <w:t>Que sabe qué información puede meter a la herramienta y cuál no; que revisa lo que la IA le entrega antes de usarlo, y que reconoce y reporta un engaño, como una voz falsa del jefe</w:t>
            </w:r>
          </w:p>
        </w:tc>
        <w:tc>
          <w:tcPr>
            <w:tcW w:w="4143" w:type="dxa"/>
          </w:tcPr>
          <w:p>
            <w:pPr>
              <w:pStyle w:val="Compact"/>
              <w:spacing w:before="20" w:after="20"/>
            </w:pPr>
            <w:r>
              <w:rPr>
                <w:sz w:val="17"/>
              </w:rPr>
              <w:t>Que sabe hacer la lista de las herramientas de IA que usa la empresa, medir sus riesgos, escribir la política de uso, revisar a los proveedores y atender un incidente</w:t>
            </w:r>
          </w:p>
        </w:tc>
      </w:tr>
      <w:tr>
        <w:tc>
          <w:tcPr>
            <w:tcW w:w="1422" w:type="dxa"/>
          </w:tcPr>
          <w:p>
            <w:pPr>
              <w:pStyle w:val="Compact"/>
              <w:spacing w:before="20" w:after="20"/>
            </w:pPr>
            <w:r>
              <w:rPr>
                <w:sz w:val="17"/>
              </w:rPr>
              <w:t>Nivel en el CONOCER</w:t>
            </w:r>
          </w:p>
        </w:tc>
        <w:tc>
          <w:tcPr>
            <w:tcW w:w="4065" w:type="dxa"/>
          </w:tcPr>
          <w:p>
            <w:pPr>
              <w:pStyle w:val="Compact"/>
              <w:spacing w:before="20" w:after="20"/>
            </w:pPr>
            <w:r>
              <w:rPr>
                <w:sz w:val="17"/>
              </w:rPr>
              <w:t>2 (operativo)</w:t>
            </w:r>
          </w:p>
        </w:tc>
        <w:tc>
          <w:tcPr>
            <w:tcW w:w="4143" w:type="dxa"/>
          </w:tcPr>
          <w:p>
            <w:pPr>
              <w:pStyle w:val="Compact"/>
              <w:spacing w:before="20" w:after="20"/>
            </w:pPr>
            <w:r>
              <w:rPr>
                <w:sz w:val="17"/>
              </w:rPr>
              <w:t>4 (de gestión)</w:t>
            </w:r>
          </w:p>
        </w:tc>
      </w:tr>
      <w:tr>
        <w:tc>
          <w:tcPr>
            <w:tcW w:w="1422" w:type="dxa"/>
          </w:tcPr>
          <w:p>
            <w:pPr>
              <w:pStyle w:val="Compact"/>
              <w:spacing w:before="20" w:after="20"/>
            </w:pPr>
            <w:r>
              <w:rPr>
                <w:sz w:val="17"/>
              </w:rPr>
              <w:t>Cómo se evalúa</w:t>
            </w:r>
          </w:p>
        </w:tc>
        <w:tc>
          <w:tcPr>
            <w:tcW w:w="4065" w:type="dxa"/>
          </w:tcPr>
          <w:p>
            <w:pPr>
              <w:pStyle w:val="Compact"/>
              <w:spacing w:before="20" w:after="20"/>
            </w:pPr>
            <w:r>
              <w:rPr>
                <w:sz w:val="17"/>
              </w:rPr>
              <w:t>Caso práctico de 2 horas y media con datos ficticios</w:t>
            </w:r>
          </w:p>
        </w:tc>
        <w:tc>
          <w:tcPr>
            <w:tcW w:w="4143" w:type="dxa"/>
          </w:tcPr>
          <w:p>
            <w:pPr>
              <w:pStyle w:val="Compact"/>
              <w:spacing w:before="20" w:after="20"/>
            </w:pPr>
            <w:r>
              <w:rPr>
                <w:sz w:val="17"/>
              </w:rPr>
              <w:t>Caso práctico de 5 horas con datos ficticios</w:t>
            </w:r>
          </w:p>
        </w:tc>
      </w:tr>
    </w:tbl>
    <w:p>
      <w:pPr>
        <w:pStyle w:val="BodyText"/>
      </w:pPr>
    </w:p>
    <w:p>
      <w:pPr>
        <w:pStyle w:val="BodyText"/>
      </w:pPr>
      <w:r>
        <w:rPr/>
        <w:t>Ambos son neutrales: no obligan a usar ninguna marca de IA y siguen los marcos internacionales más usados (NIST de Estados Unidos e ISO/IEC 42001).</w:t>
      </w:r>
    </w:p>
    <w:p>
      <w:pPr>
        <w:pStyle w:val="Heading2"/>
      </w:pPr>
      <w:r>
        <w:rPr/>
        <w:t>Por qué son dos y no uno</w:t>
      </w:r>
    </w:p>
    <w:p>
      <w:pPr>
        <w:pStyle w:val="FirstParagraph"/>
      </w:pPr>
      <w:r>
        <w:rPr/>
        <w:t>Porque atienden a dos compradores distintos y uno alimenta al otro:</w:t>
      </w:r>
    </w:p>
    <w:p>
      <w:pPr>
        <w:pStyle w:val="Compact"/>
        <w:numPr>
          <w:ilvl w:val="0"/>
          <w:numId w:val="1015"/>
        </w:numPr>
      </w:pPr>
      <w:r>
        <w:rPr>
          <w:b/>
        </w:rPr>
        <w:t>El EC-A es el de volumen.</w:t>
      </w:r>
      <w:r>
        <w:rPr/>
        <w:t xml:space="preserve"> Lo necesita todo el personal que usa IA y los estudiantes por egresar. Es corto, barato de evaluar y se puede aplicar a muchas personas a la vez.</w:t>
      </w:r>
    </w:p>
    <w:p>
      <w:pPr>
        <w:pStyle w:val="Compact"/>
        <w:numPr>
          <w:ilvl w:val="0"/>
          <w:numId w:val="1015"/>
        </w:numPr>
      </w:pPr>
      <w:r>
        <w:rPr>
          <w:b/>
        </w:rPr>
        <w:t>El EC-B es el de alto valor.</w:t>
      </w:r>
      <w:r>
        <w:rPr/>
        <w:t xml:space="preserve"> Lo necesita una o pocas personas por organización, con una evaluación más larga, y se vende junto con consultoría.</w:t>
      </w:r>
    </w:p>
    <w:p>
      <w:pPr>
        <w:pStyle w:val="Compact"/>
        <w:numPr>
          <w:ilvl w:val="0"/>
          <w:numId w:val="1015"/>
        </w:numPr>
      </w:pPr>
      <w:r>
        <w:rPr>
          <w:b/>
        </w:rPr>
        <w:t>Se jalan entre sí.</w:t>
      </w:r>
      <w:r>
        <w:rPr/>
        <w:t xml:space="preserve"> La persona certificada en el EC-B diseña la política y el programa de capacitación de su empresa; ese programa se acredita con el EC-A en el personal. Así la empresa demuestra sus controles y también la preparación de su gente.</w:t>
      </w:r>
    </w:p>
    <w:p>
      <w:pPr>
        <w:pStyle w:val="BodyText"/>
      </w:pPr>
      <w:r>
        <w:rPr/>
        <w:t>Un solo estándar sería demasiado largo para el personal operativo o demasiado básico para quien gestiona los riesgos. Además, no se enciman con el estándar más parecido que ya existe (EC1705, que enseña a crear contenido con IA): lo revisamos renglón por renglón.</w:t>
      </w:r>
    </w:p>
    <w:p>
      <w:pPr>
        <w:pStyle w:val="Heading2"/>
      </w:pPr>
      <w:r>
        <w:rPr/>
        <w:t>Qué documentos creamos</w:t>
      </w:r>
    </w:p>
    <w:p>
      <w:pPr>
        <w:pStyle w:val="FirstParagraph"/>
      </w:pPr>
      <w:r>
        <w:rPr/>
        <w:t>Veinte documentos más el índice, en Word y en PDF para imprimir:</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120"/>
        <w:gridCol w:w="7511"/>
      </w:tblGrid>
      <w:tr>
        <w:trPr>
          <w:tblHeader w:val="true"/>
          <w:cantSplit/>
        </w:trPr>
        <w:tc>
          <w:tcPr>
            <w:tcW w:w="2120" w:type="dxa"/>
            <w:shd w:val="clear" w:color="auto" w:fill="ECECEC"/>
          </w:tcPr>
          <w:p>
            <w:pPr>
              <w:pStyle w:val="Compact"/>
              <w:spacing w:before="20" w:after="20"/>
            </w:pPr>
            <w:r>
              <w:rPr>
                <w:b/>
                <w:sz w:val="17"/>
              </w:rPr>
              <w:t>Para qué sirven</w:t>
            </w:r>
          </w:p>
        </w:tc>
        <w:tc>
          <w:tcPr>
            <w:tcW w:w="7511" w:type="dxa"/>
            <w:shd w:val="clear" w:color="auto" w:fill="ECECEC"/>
          </w:tcPr>
          <w:p>
            <w:pPr>
              <w:pStyle w:val="Compact"/>
              <w:spacing w:before="20" w:after="20"/>
            </w:pPr>
            <w:r>
              <w:rPr>
                <w:b/>
                <w:sz w:val="17"/>
              </w:rPr>
              <w:t>Documentos</w:t>
            </w:r>
          </w:p>
        </w:tc>
      </w:tr>
      <w:tr>
        <w:tc>
          <w:tcPr>
            <w:tcW w:w="2120" w:type="dxa"/>
          </w:tcPr>
          <w:p>
            <w:pPr>
              <w:pStyle w:val="Compact"/>
              <w:spacing w:before="20" w:after="20"/>
            </w:pPr>
            <w:r>
              <w:rPr>
                <w:sz w:val="17"/>
              </w:rPr>
              <w:t>Los estándares mismos</w:t>
            </w:r>
          </w:p>
        </w:tc>
        <w:tc>
          <w:tcPr>
            <w:tcW w:w="7511" w:type="dxa"/>
          </w:tcPr>
          <w:p>
            <w:pPr>
              <w:pStyle w:val="Compact"/>
              <w:spacing w:before="20" w:after="20"/>
            </w:pPr>
            <w:r>
              <w:rPr>
                <w:sz w:val="17"/>
              </w:rPr>
              <w:t>02 EC-A y 03 EC-B, en el formato oficial del CONOCER</w:t>
            </w:r>
          </w:p>
        </w:tc>
      </w:tr>
      <w:tr>
        <w:tc>
          <w:tcPr>
            <w:tcW w:w="2120" w:type="dxa"/>
          </w:tcPr>
          <w:p>
            <w:pPr>
              <w:pStyle w:val="Compact"/>
              <w:spacing w:before="20" w:after="20"/>
            </w:pPr>
            <w:r>
              <w:rPr>
                <w:sz w:val="17"/>
              </w:rPr>
              <w:t>Convencer y presentar al CONOCER</w:t>
            </w:r>
          </w:p>
        </w:tc>
        <w:tc>
          <w:tcPr>
            <w:tcW w:w="7511" w:type="dxa"/>
          </w:tcPr>
          <w:p>
            <w:pPr>
              <w:pStyle w:val="Compact"/>
              <w:spacing w:before="20" w:after="20"/>
            </w:pPr>
            <w:r>
              <w:rPr>
                <w:sz w:val="17"/>
              </w:rPr>
              <w:t>01 Mapa de funciones, 04 Exposición de motivos con diagramas, 16 Plan de la prueba piloto, 17 Comité y grupo de expertos, 18 Análisis de registro como estándar público o de marca</w:t>
            </w:r>
          </w:p>
        </w:tc>
      </w:tr>
      <w:tr>
        <w:tc>
          <w:tcPr>
            <w:tcW w:w="2120" w:type="dxa"/>
          </w:tcPr>
          <w:p>
            <w:pPr>
              <w:pStyle w:val="Compact"/>
              <w:spacing w:before="20" w:after="20"/>
            </w:pPr>
            <w:r>
              <w:rPr>
                <w:sz w:val="17"/>
              </w:rPr>
              <w:t>Evaluar y certificar</w:t>
            </w:r>
          </w:p>
        </w:tc>
        <w:tc>
          <w:tcPr>
            <w:tcW w:w="7511" w:type="dxa"/>
          </w:tcPr>
          <w:p>
            <w:pPr>
              <w:pStyle w:val="Compact"/>
              <w:spacing w:before="20" w:after="20"/>
            </w:pPr>
            <w:r>
              <w:rPr>
                <w:sz w:val="17"/>
              </w:rPr>
              <w:t>05 a 08: guías del evaluador (confidenciales, con las respuestas) y materiales de la persona evaluada, para cada estándar</w:t>
            </w:r>
          </w:p>
        </w:tc>
      </w:tr>
      <w:tr>
        <w:tc>
          <w:tcPr>
            <w:tcW w:w="2120" w:type="dxa"/>
          </w:tcPr>
          <w:p>
            <w:pPr>
              <w:pStyle w:val="Compact"/>
              <w:spacing w:before="20" w:after="20"/>
            </w:pPr>
            <w:r>
              <w:rPr>
                <w:sz w:val="17"/>
              </w:rPr>
              <w:t>Capacitar</w:t>
            </w:r>
          </w:p>
        </w:tc>
        <w:tc>
          <w:tcPr>
            <w:tcW w:w="7511" w:type="dxa"/>
          </w:tcPr>
          <w:p>
            <w:pPr>
              <w:pStyle w:val="Compact"/>
              <w:spacing w:before="20" w:after="20"/>
            </w:pPr>
            <w:r>
              <w:rPr>
                <w:sz w:val="17"/>
              </w:rPr>
              <w:t>09 y 11 Cursos de 8 y 20 horas; 10 y 12 Guías de estudio con casos y ejercicios</w:t>
            </w:r>
          </w:p>
        </w:tc>
      </w:tr>
      <w:tr>
        <w:tc>
          <w:tcPr>
            <w:tcW w:w="2120" w:type="dxa"/>
          </w:tcPr>
          <w:p>
            <w:pPr>
              <w:pStyle w:val="Compact"/>
              <w:spacing w:before="20" w:after="20"/>
            </w:pPr>
            <w:r>
              <w:rPr>
                <w:sz w:val="17"/>
              </w:rPr>
              <w:t>Vender a empresas</w:t>
            </w:r>
          </w:p>
        </w:tc>
        <w:tc>
          <w:tcPr>
            <w:tcW w:w="7511" w:type="dxa"/>
          </w:tcPr>
          <w:p>
            <w:pPr>
              <w:pStyle w:val="Compact"/>
              <w:spacing w:before="20" w:after="20"/>
            </w:pPr>
            <w:r>
              <w:rPr>
                <w:sz w:val="17"/>
              </w:rPr>
              <w:t>13 Diagnóstico de uso de IA (servicio de consultoría) y 14 Plantilla de política de uso de IA</w:t>
            </w:r>
          </w:p>
        </w:tc>
      </w:tr>
      <w:tr>
        <w:tc>
          <w:tcPr>
            <w:tcW w:w="2120" w:type="dxa"/>
          </w:tcPr>
          <w:p>
            <w:pPr>
              <w:pStyle w:val="Compact"/>
              <w:spacing w:before="20" w:after="20"/>
            </w:pPr>
            <w:r>
              <w:rPr>
                <w:sz w:val="17"/>
              </w:rPr>
              <w:t>Proteger a la empresa</w:t>
            </w:r>
          </w:p>
        </w:tc>
        <w:tc>
          <w:tcPr>
            <w:tcW w:w="7511" w:type="dxa"/>
          </w:tcPr>
          <w:p>
            <w:pPr>
              <w:pStyle w:val="Compact"/>
              <w:spacing w:before="20" w:after="20"/>
            </w:pPr>
            <w:r>
              <w:rPr>
                <w:sz w:val="17"/>
              </w:rPr>
              <w:t>15 Convenio con universidades, 19 Avisos de privacidad, 20 Contratos tipo (consultoría, datos, derechos de autor y términos para participantes)</w:t>
            </w:r>
          </w:p>
        </w:tc>
      </w:tr>
      <w:tr>
        <w:tc>
          <w:tcPr>
            <w:tcW w:w="2120" w:type="dxa"/>
          </w:tcPr>
          <w:p>
            <w:pPr>
              <w:pStyle w:val="Compact"/>
              <w:spacing w:before="20" w:after="20"/>
            </w:pPr>
            <w:r>
              <w:rPr>
                <w:sz w:val="17"/>
              </w:rPr>
              <w:t>Control del proyecto</w:t>
            </w:r>
          </w:p>
        </w:tc>
        <w:tc>
          <w:tcPr>
            <w:tcW w:w="7511" w:type="dxa"/>
          </w:tcPr>
          <w:p>
            <w:pPr>
              <w:pStyle w:val="Compact"/>
              <w:spacing w:before="20" w:after="20"/>
            </w:pPr>
            <w:r>
              <w:rPr>
                <w:sz w:val="17"/>
              </w:rPr>
              <w:t>00 Índice y pendientes, informe de verificación, revisión jurídica y evaluación de riesgos</w:t>
            </w:r>
          </w:p>
        </w:tc>
      </w:tr>
    </w:tbl>
    <w:p>
      <w:pPr>
        <w:pStyle w:val="BodyText"/>
      </w:pPr>
    </w:p>
    <w:p>
      <w:pPr>
        <w:pStyle w:val="Heading2"/>
      </w:pPr>
      <w:r>
        <w:rPr/>
        <w:t>Cómo genera ingresos y qué cuidar</w:t>
      </w:r>
    </w:p>
    <w:p>
      <w:pPr>
        <w:pStyle w:val="FirstParagraph"/>
      </w:pPr>
      <w:r>
        <w:rPr/>
        <w:t>Hay cuatro fuentes de ingreso: cursos de preparación, evaluación y certificación en nuestro centro evaluador, consultoría (diagnóstico y política de uso de IA) y convenios con universidades. Los precios se definen aparte; las cifras comentadas hasta ahora son hipotéticas.</w:t>
      </w:r>
    </w:p>
    <w:p>
      <w:pPr>
        <w:pStyle w:val="BodyText"/>
      </w:pPr>
      <w:r>
        <w:rPr/>
        <w:t>La revisión jurídica dejó cinco reglas para cuidarnos:</w:t>
      </w:r>
    </w:p>
    <w:p>
      <w:pPr>
        <w:pStyle w:val="Compact"/>
        <w:numPr>
          <w:ilvl w:val="0"/>
          <w:numId w:val="1016"/>
        </w:numPr>
      </w:pPr>
      <w:r>
        <w:rPr>
          <w:b/>
        </w:rPr>
        <w:t>No prometer que la certificación es obligatoria por ley.</w:t>
      </w:r>
      <w:r>
        <w:rPr/>
        <w:t xml:space="preserve"> No lo es. Sí podemos decir que ayuda a cumplir obligaciones que ya existen.</w:t>
      </w:r>
    </w:p>
    <w:p>
      <w:pPr>
        <w:pStyle w:val="Compact"/>
        <w:numPr>
          <w:ilvl w:val="0"/>
          <w:numId w:val="1016"/>
        </w:numPr>
      </w:pPr>
      <w:r>
        <w:rPr>
          <w:b/>
        </w:rPr>
        <w:t>Universidades públicas:</w:t>
      </w:r>
      <w:r>
        <w:rPr/>
        <w:t xml:space="preserve"> que pague cada estudiante, de forma voluntaria, o que la universidad cubra el costo. Si la universidad paga, se necesita un contrato por la vía de adquisiciones, no un convenio. Un requisito obligatorio de egreso con costo para el estudiante puede chocar con la gratuidad de la educación pública.</w:t>
      </w:r>
    </w:p>
    <w:p>
      <w:pPr>
        <w:pStyle w:val="Compact"/>
        <w:numPr>
          <w:ilvl w:val="0"/>
          <w:numId w:val="1016"/>
        </w:numPr>
      </w:pPr>
      <w:r>
        <w:rPr>
          <w:b/>
        </w:rPr>
        <w:t>Datos personales:</w:t>
      </w:r>
      <w:r>
        <w:rPr/>
        <w:t xml:space="preserve"> publicar nuestro aviso de privacidad antes de registrar a la primera persona.</w:t>
      </w:r>
    </w:p>
    <w:p>
      <w:pPr>
        <w:pStyle w:val="Compact"/>
        <w:numPr>
          <w:ilvl w:val="0"/>
          <w:numId w:val="1016"/>
        </w:numPr>
      </w:pPr>
      <w:r>
        <w:rPr>
          <w:b/>
        </w:rPr>
        <w:t>Constancias DC-3:</w:t>
      </w:r>
      <w:r>
        <w:rPr/>
        <w:t xml:space="preserve"> registrarnos antes ante la Secretaría del Trabajo como agente capacitador, y darlas solo a trabajadores, no a estudiantes.</w:t>
      </w:r>
    </w:p>
    <w:p>
      <w:pPr>
        <w:pStyle w:val="Compact"/>
        <w:numPr>
          <w:ilvl w:val="0"/>
          <w:numId w:val="1016"/>
        </w:numPr>
      </w:pPr>
      <w:r>
        <w:rPr>
          <w:b/>
        </w:rPr>
        <w:t>Trato con el CONOCER:</w:t>
      </w:r>
      <w:r>
        <w:rPr/>
        <w:t xml:space="preserve"> siempre por escrito y por los canales oficiales, para proteger la relación y a la empresa.</w:t>
      </w:r>
    </w:p>
    <w:p>
      <w:pPr>
        <w:pStyle w:val="Heading2"/>
      </w:pPr>
      <w:r>
        <w:rPr/>
        <w:t>Decisiones y próximos pasos</w:t>
      </w:r>
    </w:p>
    <w:p>
      <w:pPr>
        <w:pStyle w:val="FirstParagraph"/>
      </w:pPr>
      <w:r>
        <w:rPr/>
        <w:t>Para arrancar necesitamos que los socios decidan tres cosas y pongamos en marcha cuatro tareas:</w:t>
      </w:r>
    </w:p>
    <w:p>
      <w:pPr>
        <w:pStyle w:val="Compact"/>
        <w:numPr>
          <w:ilvl w:val="0"/>
          <w:numId w:val="1015"/>
        </w:numPr>
      </w:pPr>
      <w:r>
        <w:rPr/>
        <w:t xml:space="preserve">☐ </w:t>
      </w:r>
      <w:r>
        <w:rPr>
          <w:b/>
        </w:rPr>
        <w:t>Decidir:</w:t>
      </w:r>
      <w:r>
        <w:rPr/>
        <w:t xml:space="preserve"> presentar los estándares con un comité nuevo de IA o sumarnos a uno que ya existe en el CONOCER.</w:t>
      </w:r>
    </w:p>
    <w:p>
      <w:pPr>
        <w:pStyle w:val="Compact"/>
        <w:numPr>
          <w:ilvl w:val="0"/>
          <w:numId w:val="1015"/>
        </w:numPr>
      </w:pPr>
      <w:r>
        <w:rPr/>
        <w:t xml:space="preserve">☐ </w:t>
      </w:r>
      <w:r>
        <w:rPr>
          <w:b/>
        </w:rPr>
        <w:t>Decidir:</w:t>
      </w:r>
      <w:r>
        <w:rPr/>
        <w:t xml:space="preserve"> registrarlos como estándares públicos (recomendado: más fáciles de exigir por universidades y empresas) o como estándares de marca.</w:t>
      </w:r>
    </w:p>
    <w:p>
      <w:pPr>
        <w:pStyle w:val="Compact"/>
        <w:numPr>
          <w:ilvl w:val="0"/>
          <w:numId w:val="1015"/>
        </w:numPr>
      </w:pPr>
      <w:r>
        <w:rPr/>
        <w:t xml:space="preserve">☐ </w:t>
      </w:r>
      <w:r>
        <w:rPr>
          <w:b/>
        </w:rPr>
        <w:t>Decidir:</w:t>
      </w:r>
      <w:r>
        <w:rPr/>
        <w:t xml:space="preserve"> con qué dos universidades y dos o tres empresas hacer la prueba piloto.</w:t>
      </w:r>
    </w:p>
    <w:p>
      <w:pPr>
        <w:pStyle w:val="Compact"/>
        <w:numPr>
          <w:ilvl w:val="0"/>
          <w:numId w:val="1015"/>
        </w:numPr>
      </w:pPr>
      <w:r>
        <w:rPr/>
        <w:t>☐ Pedir a un abogado el dictamen de los puntos abiertos (avisos de privacidad, contratos, convenio con universidades públicas).</w:t>
      </w:r>
    </w:p>
    <w:p>
      <w:pPr>
        <w:pStyle w:val="Compact"/>
        <w:numPr>
          <w:ilvl w:val="0"/>
          <w:numId w:val="1015"/>
        </w:numPr>
      </w:pPr>
      <w:r>
        <w:rPr/>
        <w:t>☐ Publicar el aviso de privacidad y registrarnos ante la Secretaría del Trabajo como agente capacitador.</w:t>
      </w:r>
    </w:p>
    <w:p>
      <w:pPr>
        <w:pStyle w:val="Compact"/>
        <w:numPr>
          <w:ilvl w:val="0"/>
          <w:numId w:val="1015"/>
        </w:numPr>
      </w:pPr>
      <w:r>
        <w:rPr/>
        <w:t>☐ Firmar con quienes elaboraron los materiales la cesión de derechos, para que sean de la empresa.</w:t>
      </w:r>
    </w:p>
    <w:p>
      <w:pPr>
        <w:pStyle w:val="Compact"/>
        <w:numPr>
          <w:ilvl w:val="0"/>
          <w:numId w:val="1015"/>
        </w:numPr>
      </w:pPr>
      <w:r>
        <w:rPr/>
        <w:t>☐ Correr la prueba piloto (unas 10 semanas) y ajustar los documentos antes de presentarlos al CONOCER.</w:t>
      </w:r>
    </w:p>
    <w:p>
      <w:pPr>
        <w:pStyle w:val="Heading2"/>
      </w:pPr>
      <w:r>
        <w:rPr/>
        <w:t>Cómo se venden: estrategia de monetización</w:t>
      </w:r>
    </w:p>
    <w:p>
      <w:pPr>
        <w:pStyle w:val="FirstParagraph"/>
      </w:pPr>
      <w:r>
        <w:rPr/>
        <w:t>La idea es vender por tres canales, empezar siempre por un servicio de entrada barato o gratuito y llevar al cliente a la certificación, que se renueva cada dos años.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685"/>
        <w:gridCol w:w="3215"/>
        <w:gridCol w:w="2237"/>
        <w:gridCol w:w="2492"/>
      </w:tblGrid>
      <w:tr>
        <w:trPr>
          <w:tblHeader w:val="true"/>
          <w:cantSplit/>
        </w:trPr>
        <w:tc>
          <w:tcPr>
            <w:tcW w:w="1685" w:type="dxa"/>
            <w:shd w:val="clear" w:color="auto" w:fill="ECECEC"/>
          </w:tcPr>
          <w:p>
            <w:pPr>
              <w:pStyle w:val="Compact"/>
              <w:spacing w:before="20" w:after="20"/>
            </w:pPr>
            <w:r>
              <w:rPr>
                <w:b/>
                <w:sz w:val="17"/>
              </w:rPr>
              <w:t>Canal</w:t>
            </w:r>
          </w:p>
        </w:tc>
        <w:tc>
          <w:tcPr>
            <w:tcW w:w="3215" w:type="dxa"/>
            <w:shd w:val="clear" w:color="auto" w:fill="ECECEC"/>
          </w:tcPr>
          <w:p>
            <w:pPr>
              <w:pStyle w:val="Compact"/>
              <w:spacing w:before="20" w:after="20"/>
            </w:pPr>
            <w:r>
              <w:rPr>
                <w:b/>
                <w:sz w:val="17"/>
              </w:rPr>
              <w:t>Qué se vende</w:t>
            </w:r>
          </w:p>
        </w:tc>
        <w:tc>
          <w:tcPr>
            <w:tcW w:w="2237" w:type="dxa"/>
            <w:shd w:val="clear" w:color="auto" w:fill="ECECEC"/>
          </w:tcPr>
          <w:p>
            <w:pPr>
              <w:pStyle w:val="Compact"/>
              <w:spacing w:before="20" w:after="20"/>
            </w:pPr>
            <w:r>
              <w:rPr>
                <w:b/>
                <w:sz w:val="17"/>
              </w:rPr>
              <w:t>Quién paga</w:t>
            </w:r>
          </w:p>
        </w:tc>
        <w:tc>
          <w:tcPr>
            <w:tcW w:w="2492" w:type="dxa"/>
            <w:shd w:val="clear" w:color="auto" w:fill="ECECEC"/>
          </w:tcPr>
          <w:p>
            <w:pPr>
              <w:pStyle w:val="Compact"/>
              <w:spacing w:before="20" w:after="20"/>
            </w:pPr>
            <w:r>
              <w:rPr>
                <w:b/>
                <w:sz w:val="17"/>
              </w:rPr>
              <w:t>Cómo llegamos</w:t>
            </w:r>
          </w:p>
        </w:tc>
      </w:tr>
      <w:tr>
        <w:tc>
          <w:tcPr>
            <w:tcW w:w="1685" w:type="dxa"/>
          </w:tcPr>
          <w:p>
            <w:pPr>
              <w:pStyle w:val="Compact"/>
              <w:spacing w:before="20" w:after="20"/>
            </w:pPr>
            <w:r>
              <w:rPr>
                <w:sz w:val="17"/>
              </w:rPr>
              <w:t>Empresas</w:t>
            </w:r>
          </w:p>
        </w:tc>
        <w:tc>
          <w:tcPr>
            <w:tcW w:w="3215" w:type="dxa"/>
          </w:tcPr>
          <w:p>
            <w:pPr>
              <w:pStyle w:val="Compact"/>
              <w:spacing w:before="20" w:after="20"/>
            </w:pPr>
            <w:r>
              <w:rPr>
                <w:sz w:val="17"/>
              </w:rPr>
              <w:t>Diagnóstico de uso de IA, política de uso, curso y certificación EC-B para el responsable, curso y certificación EC-A para el personal, seguimiento trimestral</w:t>
            </w:r>
          </w:p>
        </w:tc>
        <w:tc>
          <w:tcPr>
            <w:tcW w:w="2237" w:type="dxa"/>
          </w:tcPr>
          <w:p>
            <w:pPr>
              <w:pStyle w:val="Compact"/>
              <w:spacing w:before="20" w:after="20"/>
            </w:pPr>
            <w:r>
              <w:rPr>
                <w:sz w:val="17"/>
              </w:rPr>
              <w:t>La empresa</w:t>
            </w:r>
          </w:p>
        </w:tc>
        <w:tc>
          <w:tcPr>
            <w:tcW w:w="2492" w:type="dxa"/>
          </w:tcPr>
          <w:p>
            <w:pPr>
              <w:pStyle w:val="Compact"/>
              <w:spacing w:before="20" w:after="20"/>
            </w:pPr>
            <w:r>
              <w:rPr>
                <w:sz w:val="17"/>
              </w:rPr>
              <w:t>Autodiagnóstico gratuito de 20 preguntas con la dirección; cámaras empresariales</w:t>
            </w:r>
          </w:p>
        </w:tc>
      </w:tr>
      <w:tr>
        <w:tc>
          <w:tcPr>
            <w:tcW w:w="1685" w:type="dxa"/>
          </w:tcPr>
          <w:p>
            <w:pPr>
              <w:pStyle w:val="Compact"/>
              <w:spacing w:before="20" w:after="20"/>
            </w:pPr>
            <w:r>
              <w:rPr>
                <w:sz w:val="17"/>
              </w:rPr>
              <w:t>Universidades</w:t>
            </w:r>
          </w:p>
        </w:tc>
        <w:tc>
          <w:tcPr>
            <w:tcW w:w="3215" w:type="dxa"/>
          </w:tcPr>
          <w:p>
            <w:pPr>
              <w:pStyle w:val="Compact"/>
              <w:spacing w:before="20" w:after="20"/>
            </w:pPr>
            <w:r>
              <w:rPr>
                <w:sz w:val="17"/>
              </w:rPr>
              <w:t>Curso y certificación EC-A para estudiantes por egresar, como opción voluntaria de titulación; capacitación de su personal; la universidad como sede de evaluación</w:t>
            </w:r>
          </w:p>
        </w:tc>
        <w:tc>
          <w:tcPr>
            <w:tcW w:w="2237" w:type="dxa"/>
          </w:tcPr>
          <w:p>
            <w:pPr>
              <w:pStyle w:val="Compact"/>
              <w:spacing w:before="20" w:after="20"/>
            </w:pPr>
            <w:r>
              <w:rPr>
                <w:sz w:val="17"/>
              </w:rPr>
              <w:t>Cada estudiante (públicas); estudiante o universidad (particulares)</w:t>
            </w:r>
          </w:p>
        </w:tc>
        <w:tc>
          <w:tcPr>
            <w:tcW w:w="2492" w:type="dxa"/>
          </w:tcPr>
          <w:p>
            <w:pPr>
              <w:pStyle w:val="Compact"/>
              <w:spacing w:before="20" w:after="20"/>
            </w:pPr>
            <w:r>
              <w:rPr>
                <w:sz w:val="17"/>
              </w:rPr>
              <w:t>Convenio tipo, empezando por subsistemas tecnológicos y universidades particulares</w:t>
            </w:r>
          </w:p>
        </w:tc>
      </w:tr>
      <w:tr>
        <w:tc>
          <w:tcPr>
            <w:tcW w:w="1685" w:type="dxa"/>
          </w:tcPr>
          <w:p>
            <w:pPr>
              <w:pStyle w:val="Compact"/>
              <w:spacing w:before="20" w:after="20"/>
            </w:pPr>
            <w:r>
              <w:rPr>
                <w:sz w:val="17"/>
              </w:rPr>
              <w:t>Gobierno y sus proveedores</w:t>
            </w:r>
          </w:p>
        </w:tc>
        <w:tc>
          <w:tcPr>
            <w:tcW w:w="3215" w:type="dxa"/>
          </w:tcPr>
          <w:p>
            <w:pPr>
              <w:pStyle w:val="Compact"/>
              <w:spacing w:before="20" w:after="20"/>
            </w:pPr>
            <w:r>
              <w:rPr>
                <w:sz w:val="17"/>
              </w:rPr>
              <w:t>Capacitación y certificación de servidores públicos y del personal de sus proveedores</w:t>
            </w:r>
          </w:p>
        </w:tc>
        <w:tc>
          <w:tcPr>
            <w:tcW w:w="2237" w:type="dxa"/>
          </w:tcPr>
          <w:p>
            <w:pPr>
              <w:pStyle w:val="Compact"/>
              <w:spacing w:before="20" w:after="20"/>
            </w:pPr>
            <w:r>
              <w:rPr>
                <w:sz w:val="17"/>
              </w:rPr>
              <w:t>La dependencia, por contratación formal, o el proveedor</w:t>
            </w:r>
          </w:p>
        </w:tc>
        <w:tc>
          <w:tcPr>
            <w:tcW w:w="2492" w:type="dxa"/>
          </w:tcPr>
          <w:p>
            <w:pPr>
              <w:pStyle w:val="Compact"/>
              <w:spacing w:before="20" w:after="20"/>
            </w:pPr>
            <w:r>
              <w:rPr>
                <w:sz w:val="17"/>
              </w:rPr>
              <w:t>Programas de capacitación de cada dependencia</w:t>
            </w:r>
          </w:p>
        </w:tc>
      </w:tr>
    </w:tbl>
    <w:p>
      <w:pPr>
        <w:pStyle w:val="BodyText"/>
      </w:pPr>
    </w:p>
    <w:p>
      <w:pPr>
        <w:pStyle w:val="BodyText"/>
      </w:pPr>
      <w:r>
        <w:rPr>
          <w:b/>
        </w:rPr>
        <w:t>El recorrido con una empresa:</w:t>
      </w:r>
    </w:p>
    <w:p>
      <w:pPr>
        <w:pStyle w:val="Compact"/>
        <w:numPr>
          <w:ilvl w:val="0"/>
          <w:numId w:val="1017"/>
        </w:numPr>
      </w:pPr>
      <w:r>
        <w:rPr>
          <w:b/>
        </w:rPr>
        <w:t>Autodiagnóstico gratuito</w:t>
      </w:r>
      <w:r>
        <w:rPr/>
        <w:t xml:space="preserve"> (30 minutos): la dirección ve su semáforo de riesgo.</w:t>
      </w:r>
    </w:p>
    <w:p>
      <w:pPr>
        <w:pStyle w:val="Compact"/>
        <w:numPr>
          <w:ilvl w:val="0"/>
          <w:numId w:val="1017"/>
        </w:numPr>
      </w:pPr>
      <w:r>
        <w:rPr>
          <w:b/>
        </w:rPr>
        <w:t>Diagnóstico pagado</w:t>
      </w:r>
      <w:r>
        <w:rPr/>
        <w:t xml:space="preserve"> (2 a 4 semanas): inventario de sus herramientas de IA, riesgos y una hoja de ruta de 90 días.</w:t>
      </w:r>
    </w:p>
    <w:p>
      <w:pPr>
        <w:pStyle w:val="Compact"/>
        <w:numPr>
          <w:ilvl w:val="0"/>
          <w:numId w:val="1017"/>
        </w:numPr>
      </w:pPr>
      <w:r>
        <w:rPr>
          <w:b/>
        </w:rPr>
        <w:t>Política de uso de IA</w:t>
      </w:r>
      <w:r>
        <w:rPr/>
        <w:t xml:space="preserve"> a partir de nuestra plantilla.</w:t>
      </w:r>
    </w:p>
    <w:p>
      <w:pPr>
        <w:pStyle w:val="Compact"/>
        <w:numPr>
          <w:ilvl w:val="0"/>
          <w:numId w:val="1017"/>
        </w:numPr>
      </w:pPr>
      <w:r>
        <w:rPr>
          <w:b/>
        </w:rPr>
        <w:t>Certificación EC-B</w:t>
      </w:r>
      <w:r>
        <w:rPr/>
        <w:t xml:space="preserve"> de la persona responsable, que queda a cargo de la política.</w:t>
      </w:r>
    </w:p>
    <w:p>
      <w:pPr>
        <w:pStyle w:val="Compact"/>
        <w:numPr>
          <w:ilvl w:val="0"/>
          <w:numId w:val="1017"/>
        </w:numPr>
      </w:pPr>
      <w:r>
        <w:rPr>
          <w:b/>
        </w:rPr>
        <w:t>Curso y certificación EC-A</w:t>
      </w:r>
      <w:r>
        <w:rPr/>
        <w:t xml:space="preserve"> de todo el personal que usa IA, con su constancia de capacitación DC-3.</w:t>
      </w:r>
    </w:p>
    <w:p>
      <w:pPr>
        <w:pStyle w:val="Compact"/>
        <w:numPr>
          <w:ilvl w:val="0"/>
          <w:numId w:val="1017"/>
        </w:numPr>
      </w:pPr>
      <w:r>
        <w:rPr>
          <w:b/>
        </w:rPr>
        <w:t>Seguimiento trimestral</w:t>
      </w:r>
      <w:r>
        <w:rPr/>
        <w:t xml:space="preserve"> y recertificación cada dos años.</w:t>
      </w:r>
    </w:p>
    <w:p>
      <w:pPr>
        <w:pStyle w:val="BodyText"/>
      </w:pPr>
      <w:r>
        <w:rPr>
          <w:b/>
        </w:rPr>
        <w:t>Qué nos da ventaja aunque el estándar sea público:</w:t>
      </w:r>
    </w:p>
    <w:p>
      <w:pPr>
        <w:pStyle w:val="Compact"/>
        <w:numPr>
          <w:ilvl w:val="0"/>
          <w:numId w:val="1015"/>
        </w:numPr>
      </w:pPr>
      <w:r>
        <w:rPr/>
        <w:t>Ser el primer centro evaluador listo el día en que se publique, con exámenes ya probados en la piloto.</w:t>
      </w:r>
    </w:p>
    <w:p>
      <w:pPr>
        <w:pStyle w:val="Compact"/>
        <w:numPr>
          <w:ilvl w:val="0"/>
          <w:numId w:val="1015"/>
        </w:numPr>
      </w:pPr>
      <w:r>
        <w:rPr/>
        <w:t>Ser dueños de los cursos, guías, diagnóstico y plantilla: otros evaluadores tendrían que hacer los suyos.</w:t>
      </w:r>
    </w:p>
    <w:p>
      <w:pPr>
        <w:pStyle w:val="Compact"/>
        <w:numPr>
          <w:ilvl w:val="0"/>
          <w:numId w:val="1015"/>
        </w:numPr>
      </w:pPr>
      <w:r>
        <w:rPr/>
        <w:t>Firmar convenios con universidades y empresas antes de que lleguen otros.</w:t>
      </w:r>
    </w:p>
    <w:p>
      <w:pPr>
        <w:pStyle w:val="Compact"/>
        <w:numPr>
          <w:ilvl w:val="0"/>
          <w:numId w:val="1015"/>
        </w:numPr>
      </w:pPr>
      <w:r>
        <w:rPr/>
        <w:t>Formar a los futuros evaluadores e instructores de estos estándares.</w:t>
      </w:r>
    </w:p>
    <w:p>
      <w:pPr>
        <w:pStyle w:val="BodyText"/>
      </w:pPr>
      <w:r>
        <w:rPr/>
        <w:t>El mensaje de venta es que la certificación ayuda a cumplir obligaciones que ya existen: proteger datos personales y capacitar al personal. Nunca decimos que sea obligatoria por ley, ni garantizamos empleos o ausencia de multas.</w:t>
      </w:r>
    </w:p>
    <w:sectPr>
      <w:footerReference w:type="default" r:id="rId9"/>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Resumen ejecutivo para los socios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ejecutivo para los socios: Estándares de Competencia en IA</dc:title>
  <dc:creator>Proyecto Estándares de Competencia en IA</dc:creator>
  <cp:keywords/>
  <dcterms:created xsi:type="dcterms:W3CDTF">2026-10-09T15:04:46Z</dcterms:created>
  <dcterms:modified xsi:type="dcterms:W3CDTF">2026-10-09T15:04:46Z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