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DENUNCIANTE</w:t>
        <w:tab/>
        <w:t>:</w:t>
        <w:tab/>
        <w:t xml:space="preserve">[DENUNCIANTE] ([APELLIDO]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 xml:space="preserve">11 de febrero de 2026</w:t>
      </w:r>
      <w:r w:rsidR="00287905" w:rsidRPr="00E902D0">
        <w:rPr>
          <w:rFonts w:ascii="Arial Narrow" w:eastAsia="Arial Narrow" w:hAnsi="Arial Narrow" w:cs="Arial Narrow"/>
          <w:sz w:val="22"/>
          <w:szCs w:val="22"/>
        </w:rPr>
        <w:t xml:space="preserve"/>
      </w:r>
      <w:r w:rsidR="00D05BB2">
        <w:rPr>
          <w:rFonts w:ascii="Arial Narrow" w:eastAsia="Arial Narrow" w:hAnsi="Arial Narrow" w:cs="Arial Narrow"/>
          <w:sz w:val="22"/>
          <w:szCs w:val="22"/>
        </w:rPr>
        <w:t xml:space="preserve"/>
      </w:r>
      <w:r w:rsidR="000E6F8B" w:rsidRPr="000E6F8B">
        <w:rPr>
          <w:rFonts w:ascii="Arial Narrow" w:eastAsia="Arial Narrow" w:hAnsi="Arial Narrow" w:cs="Arial Narrow"/>
          <w:sz w:val="22"/>
          <w:szCs w:val="22"/>
        </w:rPr>
        <w:t xml:space="preserve"/>
      </w:r>
      <w:r w:rsidR="000E6F8B" w:rsidRPr="00D05BB2">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 xml:space="preserve">El 16 de setiembre de 2025, remitió un nuevo correo electrónico reiterando la solicitud de información, sin recibir documentación técnica.</w:t>
      </w:r>
    </w:p>
    <w:p w14:paraId="13C46AF1" w14:textId="77777777" w:rsidR="00CE6C0F" w:rsidRPr="00CE6C0F" w:rsidRDefault="00CE6C0F" w:rsidP="00475AA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spacing w:before="0" w:after="0" w:line="240" w:lineRule="auto"/>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eastAsia="Arial Narrow" w:hAnsi="Arial Narrow" w:cs="Arial Narrow"/>
          <w:sz w:val="22"/>
          <w:szCs w:val="22"/>
          <w:lang w:eastAsia="es-ES"/>
        </w:rPr>
        <w:t xml:space="preserve"/>
      </w:r>
      <w:r w:rsidR="008E1B6A" w:rsidRPr="00CC5F52">
        <w:rPr>
          <w:rFonts w:ascii="Arial Narrow" w:eastAsia="Arial Narrow" w:hAnsi="Arial Narrow" w:cs="Arial Narrow"/>
          <w:sz w:val="22"/>
          <w:szCs w:val="22"/>
          <w:lang w:eastAsia="es-ES"/>
        </w:rPr>
        <w:t/>
      </w:r>
      <w:r w:rsidR="00EE34DA" w:rsidRPr="00CC5F52">
        <w:rPr>
          <w:rFonts w:ascii="Arial Narrow" w:eastAsia="Arial Narrow" w:hAnsi="Arial Narrow" w:cs="Arial Narrow"/>
          <w:sz w:val="22"/>
          <w:szCs w:val="22"/>
          <w:lang w:eastAsia="es-ES"/>
        </w:rPr>
        <w:t xml:space="preserve"/>
      </w:r>
      <w:r w:rsidR="005F229F" w:rsidRPr="00CC5F52">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0C3A43" w:rsidRPr="00087AA3">
        <w:rPr>
          <w:rFonts w:ascii="Arial Narrow" w:eastAsia="Arial Narrow" w:hAnsi="Arial Narrow" w:cs="Arial Narrow"/>
          <w:sz w:val="22"/>
          <w:szCs w:val="22"/>
          <w:lang w:eastAsia="es-ES"/>
        </w:rPr>
        <w:t/>
      </w:r>
      <w:r w:rsidR="000C3A43" w:rsidRPr="00087AA3">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5A426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w:r>
    </w:p>
    <w:p w14:paraId="3160E6B1" w14:textId="77777777" w:rsidR="008D28AC" w:rsidRDefault="008D28AC" w:rsidP="008D28AC">
      <w:pPr>
        <w:pStyle w:val="Prrafodelista"/>
        <w:spacing w:before="0" w:after="0" w:line="240" w:lineRule="auto"/>
        <w:ind w:left="567"/>
        <w:jc w:val="both"/>
        <w:rPr>
          <w:rFonts w:ascii="Arial Narrow" w:eastAsia="Arial Narrow" w:hAnsi="Arial Narrow" w:cs="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eastAsia="Arial Narrow" w:hAnsi="Arial Narrow" w:cs="Arial Narrow"/>
          <w:sz w:val="22"/>
          <w:szCs w:val="22"/>
        </w:rPr>
        <w:t xml:space="preserve"/>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00A23BA3" w:rsidRPr="00E902D0">
        <w:rPr>
          <w:rFonts w:ascii="Arial Narrow" w:eastAsia="Arial Narrow" w:hAnsi="Arial Narrow" w:cs="Arial Narrow"/>
          <w:sz w:val="22"/>
          <w:szCs w:val="22"/>
          <w:lang w:eastAsia="en-US"/>
        </w:rPr>
        <w:t xml:space="preserve"/>
      </w:r>
      <w:r w:rsidR="00A23BA3"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00A23BA3"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xml:space="preserve"/>
      </w:r>
      <w:r w:rsidR="00A5424D" w:rsidRPr="00DB6F71">
        <w:rPr>
          <w:rFonts w:ascii="Arial Narrow" w:eastAsia="Arial Narrow" w:hAnsi="Arial Narrow" w:cs="Arial Narrow"/>
          <w:bCs/>
          <w:spacing w:val="-3"/>
          <w:sz w:val="22"/>
          <w:szCs w:val="22"/>
        </w:rPr>
        <w:t xml:space="preserve"/>
      </w:r>
      <w:r w:rsidR="00B46C78"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B46C78" w:rsidRPr="00DB6F71">
        <w:rPr>
          <w:rFonts w:ascii="Arial Narrow" w:eastAsia="Arial Narrow" w:hAnsi="Arial Narrow" w:cs="Arial Narrow"/>
          <w:sz w:val="22"/>
          <w:szCs w:val="22"/>
        </w:rPr>
        <w:t/>
      </w:r>
      <w:r w:rsidR="00A5424D"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r w:rsidR="006608F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6608F1"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w:r>
      <w:r w:rsidR="00A5424D" w:rsidRPr="00DB6F71">
        <w:rPr>
          <w:rFonts w:ascii="Arial Narrow" w:eastAsia="Arial Narrow" w:hAnsi="Arial Narrow" w:cs="Arial Narrow"/>
          <w:bCs/>
          <w:spacing w:val="-3"/>
          <w:sz w:val="22"/>
          <w:szCs w:val="22"/>
        </w:rPr>
        <w:t xml:space="preserve"/>
      </w:r>
      <w:r w:rsidR="006608F1" w:rsidRPr="00DB6F71">
        <w:rPr>
          <w:rFonts w:ascii="Arial Narrow" w:eastAsia="Arial Narrow" w:hAnsi="Arial Narrow" w:cs="Arial Narrow"/>
          <w:sz w:val="22"/>
          <w:szCs w:val="22"/>
        </w:rPr>
        <w:t xml:space="preserve"/>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0E208EA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eastAsia="Arial Narrow" w:hAnsi="Arial Narrow" w:cs="Arial Narrow"/>
          <w:sz w:val="22"/>
          <w:szCs w:val="22"/>
        </w:rPr>
        <w:t>La Secretaría Técnica de la Comisión de Protección al Consumidor </w:t>
      </w:r>
      <w:proofErr w:type="spellStart"/>
      <w:r w:rsidRPr="00FF314F">
        <w:rPr>
          <w:rFonts w:ascii="Arial Narrow" w:eastAsia="Arial Narrow" w:hAnsi="Arial Narrow" w:cs="Arial Narrow"/>
          <w:sz w:val="22"/>
          <w:szCs w:val="22"/>
        </w:rPr>
        <w:t/>
      </w:r>
      <w:proofErr w:type="spellEnd"/>
      <w:r w:rsidRPr="00FF314F">
        <w:rPr>
          <w:rFonts w:ascii="Arial Narrow" w:eastAsia="Arial Narrow" w:hAnsi="Arial Narrow" w:cs="Arial Narrow"/>
          <w:sz w:val="22"/>
          <w:szCs w:val="22"/>
        </w:rPr>
        <w:t> 1 (en adelante, Secretaría Técnica), en ejercicio de sus facultades</w:t>
      </w:r>
      <w:r w:rsidRPr="00FF314F">
        <w:rPr>
          <w:rStyle w:val="Refdenotaalpie"/>
          <w:rFonts w:ascii="Arial Narrow" w:eastAsia="Arial Narrow" w:hAnsi="Arial Narrow" w:cs="Arial Narrow"/>
          <w:sz w:val="22"/>
          <w:szCs w:val="22"/>
          <w:vertAlign w:val="superscript"/>
        </w:rPr>
        <w:footnoteReference w:id="7"/>
      </w:r>
      <w:r w:rsidRPr="00FF314F">
        <w:rPr>
          <w:rFonts w:ascii="Arial Narrow" w:eastAsia="Arial Narrow" w:hAnsi="Arial Narrow" w:cs="Arial Narrow"/>
          <w:sz w:val="22"/>
          <w:szCs w:val="22"/>
          <w:vertAlign w:val="superscript"/>
        </w:rPr>
        <w:t>,</w:t>
      </w:r>
      <w:r w:rsidRPr="00FF314F">
        <w:rPr>
          <w:rFonts w:ascii="Arial Narrow" w:eastAsia="Arial Narrow" w:hAnsi="Arial Narrow" w:cs="Arial Narrow"/>
          <w:sz w:val="22"/>
          <w:szCs w:val="22"/>
        </w:rPr>
        <w:t xml:space="preserve"> considera que el hecho </w:t>
      </w:r>
      <w:bookmarkEnd w:id="2"/>
      <w:r w:rsidRPr="00FF314F">
        <w:rPr>
          <w:rFonts w:ascii="Arial Narrow" w:eastAsia="Arial Narrow" w:hAnsi="Arial Narrow" w:cs="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7E5A55" w:rsidRPr="00A00E07">
        <w:rPr>
          <w:rFonts w:ascii="Arial Narrow" w:eastAsia="Arial Narrow" w:hAnsi="Arial Narrow" w:cs="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cs="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spacing w:before="0" w:after="0" w:line="240" w:lineRule="auto"/>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eastAsia="Arial Narrow" w:hAnsi="Arial Narrow" w:cs="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57AFA312"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eastAsia="Arial Narrow" w:hAnsi="Arial Narrow" w:cs="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3E75C5CC"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eastAsia="Arial Narrow" w:hAnsi="Arial Narrow" w:cs="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03441AEE"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eastAsia="Arial Narrow" w:hAnsi="Arial Narrow" w:cs="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eastAsia="Arial Narrow" w:hAnsi="Arial Narrow" w:cs="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B31154E" w14:textId="77777777" w:rsidR="003A2210" w:rsidRPr="003A2210" w:rsidRDefault="003A2210" w:rsidP="003A2210">
      <w:pPr>
        <w:pStyle w:val="Prrafodelista"/>
        <w:spacing w:before="0" w:after="0" w:line="240" w:lineRule="auto"/>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657FB62" w14:textId="77777777" w:rsidR="00B465B6" w:rsidRPr="00A00E07" w:rsidRDefault="00B465B6" w:rsidP="00B465B6">
      <w:pPr>
        <w:spacing w:before="0" w:after="0" w:line="240" w:lineRule="auto"/>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eastAsia="Arial Narrow" w:hAnsi="Arial Narrow" w:cs="Arial Narrow"/>
          <w:color w:val="000000"/>
          <w:sz w:val="22"/>
          <w:szCs w:val="22"/>
        </w:rPr>
        <w:t xml:space="preserve">Además, </w:t>
      </w:r>
      <w:bookmarkStart w:id="7" w:name="_Hlk212623477"/>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Narrow"/>
          <w:bCs/>
          <w:color w:val="000000"/>
          <w:sz w:val="22"/>
          <w:szCs w:val="22"/>
        </w:rPr>
        <w:t xml:space="preserve">. </w:t>
      </w:r>
      <w:bookmarkStart w:id="8" w:name="_Hlk212737581"/>
      <w:bookmarkStart w:id="9" w:name="_Hlk212035520"/>
      <w:r w:rsidRPr="00A00E07">
        <w:rPr>
          <w:rFonts w:ascii="Arial Narrow" w:eastAsia="Arial Narrow" w:hAnsi="Arial Narrow" w:cs="Arial Narrow"/>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Narrow"/>
          <w:bCs/>
          <w:color w:val="000000"/>
          <w:sz w:val="22"/>
          <w:szCs w:val="22"/>
        </w:rPr>
        <w:t xml:space="preserve">artículo 1, numeral 1, literal b) </w:t>
      </w:r>
      <w:bookmarkEnd w:id="10"/>
      <w:r w:rsidRPr="00A00E07">
        <w:rPr>
          <w:rFonts w:ascii="Arial Narrow" w:eastAsia="Arial Narrow" w:hAnsi="Arial Narrow" w:cs="Arial Narrow"/>
          <w:bCs/>
          <w:color w:val="000000"/>
          <w:sz w:val="22"/>
          <w:szCs w:val="22"/>
        </w:rPr>
        <w:t>y al artículo 2 del Código</w:t>
      </w:r>
      <w:bookmarkStart w:id="11" w:name="_Hlk212737551"/>
      <w:bookmarkEnd w:id="8"/>
      <w:r w:rsidRPr="00A00E07">
        <w:rPr>
          <w:rStyle w:val="Refdenotaalpie"/>
          <w:rFonts w:ascii="Arial Narrow" w:eastAsia="Arial Narrow" w:hAnsi="Arial Narrow" w:cs="Arial Narrow"/>
          <w:bCs/>
          <w:color w:val="000000"/>
          <w:sz w:val="22"/>
          <w:szCs w:val="22"/>
          <w:vertAlign w:val="superscript"/>
        </w:rPr>
        <w:footnoteReference w:id="9"/>
      </w:r>
      <w:bookmarkEnd w:id="11"/>
      <w:r w:rsidRPr="00A00E07">
        <w:rPr>
          <w:rFonts w:ascii="Arial Narrow" w:eastAsia="Arial Narrow" w:hAnsi="Arial Narrow" w:cs="Arial Narrow"/>
          <w:bCs/>
          <w:color w:val="000000"/>
          <w:sz w:val="22"/>
          <w:szCs w:val="22"/>
        </w:rPr>
        <w:t xml:space="preserve">. </w:t>
      </w:r>
      <w:bookmarkEnd w:id="7"/>
      <w:bookmarkEnd w:id="9"/>
    </w:p>
    <w:p w14:paraId="28E497CE" w14:textId="77777777" w:rsidR="00B465B6" w:rsidRPr="00A00E07" w:rsidRDefault="00B465B6" w:rsidP="00B465B6">
      <w:pPr>
        <w:pStyle w:val="Prrafodelista"/>
        <w:spacing w:before="0" w:after="0" w:line="240" w:lineRule="auto"/>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bCs/>
          <w:color w:val="000000"/>
          <w:sz w:val="22"/>
          <w:szCs w:val="22"/>
        </w:rPr>
        <w:t xml:space="preserve">Asimismo,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spacing w:before="0" w:after="0" w:line="240" w:lineRule="auto"/>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setiembre de 2025</w:t>
      </w:r>
      <w:r w:rsidR="003A2210" w:rsidRPr="003A2210">
        <w:rPr>
          <w:rFonts w:ascii="Arial Narrow" w:eastAsia="Arial Narrow" w:hAnsi="Arial Narrow" w:cs="Arial Narrow"/>
          <w:sz w:val="22"/>
          <w:szCs w:val="22"/>
        </w:rPr>
        <w:lastRenderedPageBreak/>
        <w:t xml:space="preserve">, mediante los cuales solicitó información sobre el estado del vehículo de Placa de Rodaje CPU-682 e informes técnicos sobre el daño del vehículo</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spacing w:before="0" w:after="0" w:line="240" w:lineRule="auto"/>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Narrow"/>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spacing w:before="0" w:after="0" w:line="240" w:lineRule="auto"/>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w:t>
      </w:r>
      <w:r w:rsidRPr="00F10CC7">
        <w:rPr>
          <w:rFonts w:ascii="Arial Narrow" w:eastAsia="Arial Narrow" w:hAnsi="Arial Narrow" w:cs="Arial Narrow"/>
          <w:sz w:val="22"/>
          <w:szCs w:val="22"/>
        </w:rPr>
        <w:t xml:space="preserve"> </w:t>
      </w:r>
      <w:r w:rsidR="002B6B18" w:rsidRPr="00F10CC7">
        <w:rPr>
          <w:rFonts w:ascii="Arial Narrow" w:eastAsia="Arial Narrow" w:hAnsi="Arial Narrow" w:cs="Arial Narrow"/>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spacing w:before="0" w:after="0" w:line="240" w:lineRule="auto"/>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spacing w:before="0" w:after="0" w:line="240" w:lineRule="auto"/>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spacing w:before="0" w:after="0" w:line="240" w:lineRule="auto"/>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w:t>
      </w:r>
      <w:r>
        <w:rPr>
          <w:rFonts w:ascii="Arial Narrow" w:eastAsia="Arial Narrow" w:hAnsi="Arial Narrow" w:cs="Arial Narrow"/>
          <w:sz w:val="22"/>
          <w:szCs w:val="22"/>
        </w:rPr>
        <w:t xml:space="preserve">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AB1BE3" w:rsidRPr="00B465B6">
        <w:rPr>
          <w:rFonts w:ascii="Arial Narrow" w:eastAsia="Arial Narrow" w:hAnsi="Arial Narrow" w:cs="Arial Narrow"/>
          <w:spacing w:val="-3"/>
          <w:sz w:val="22"/>
          <w:szCs w:val="22"/>
        </w:rPr>
        <w:t xml:space="preserve"/>
      </w:r>
      <w:r w:rsidR="00115282" w:rsidRPr="00B465B6">
        <w:rPr>
          <w:rFonts w:ascii="Arial Narrow" w:eastAsia="Arial Narrow" w:hAnsi="Arial Narrow" w:cs="Arial Narrow"/>
          <w:sz w:val="22"/>
          <w:szCs w:val="22"/>
        </w:rPr>
        <w:t xml:space="preserve"/>
      </w:r>
      <w:r w:rsidR="00A84D46" w:rsidRPr="00B465B6">
        <w:rPr>
          <w:rFonts w:ascii="Arial Narrow" w:eastAsia="Arial Narrow" w:hAnsi="Arial Narrow" w:cs="Arial Narrow"/>
          <w:sz w:val="22"/>
          <w:szCs w:val="22"/>
        </w:rPr>
        <w:t/>
      </w:r>
      <w:r w:rsidR="00294A2E" w:rsidRPr="00B465B6">
        <w:rPr>
          <w:rFonts w:ascii="Arial Narrow" w:eastAsia="Arial Narrow" w:hAnsi="Arial Narrow" w:cs="Arial Narrow"/>
          <w:sz w:val="22"/>
          <w:szCs w:val="22"/>
        </w:rPr>
        <w:t xml:space="preserve"/>
      </w:r>
      <w:r w:rsidR="000C091D" w:rsidRPr="00B465B6">
        <w:rPr>
          <w:rFonts w:ascii="Arial Narrow" w:eastAsia="Arial Narrow" w:hAnsi="Arial Narrow" w:cs="Arial Narrow"/>
          <w:sz w:val="22"/>
          <w:szCs w:val="22"/>
        </w:rPr>
        <w:t/>
      </w:r>
      <w:r w:rsidR="000C091D" w:rsidRPr="00B465B6">
        <w:rPr>
          <w:rStyle w:val="normaltextrun"/>
          <w:rFonts w:ascii="Arial Narrow" w:eastAsia="Arial Narrow" w:hAnsi="Arial Narrow" w:cs="Arial Narrow"/>
          <w:sz w:val="22"/>
          <w:szCs w:val="22"/>
          <w:shd w:val="clear" w:color="auto" w:fill="FFFFFF"/>
        </w:rPr>
        <w:t/>
      </w:r>
      <w:r w:rsidR="000C091D" w:rsidRPr="00B465B6">
        <w:rPr>
          <w:rFonts w:ascii="Arial Narrow" w:eastAsia="Arial Narrow" w:hAnsi="Arial Narrow" w:cs="Arial Narrow"/>
          <w:sz w:val="22"/>
          <w:szCs w:val="22"/>
          <w:lang w:val="es-ES" w:eastAsia="es-ES"/>
        </w:rPr>
        <w:t xml:space="preserve"/>
      </w:r>
      <w:r w:rsidR="000C091D" w:rsidRPr="00B465B6">
        <w:rPr>
          <w:rFonts w:ascii="Arial Narrow" w:eastAsia="Arial Narrow" w:hAnsi="Arial Narrow" w:cs="Arial Narrow"/>
          <w:sz w:val="22"/>
          <w:szCs w:val="22"/>
        </w:rPr>
        <w:t/>
      </w:r>
      <w:r w:rsidR="002B6B18" w:rsidRPr="00B465B6">
        <w:rPr>
          <w:rStyle w:val="normaltextrun"/>
          <w:rFonts w:ascii="Arial Narrow" w:eastAsia="Arial Narrow" w:hAnsi="Arial Narrow" w:cs="Arial Narrow"/>
          <w:sz w:val="22"/>
          <w:szCs w:val="22"/>
          <w:shd w:val="clear" w:color="auto" w:fill="FFFFFF"/>
        </w:rPr>
        <w:t xml:space="preserve"/>
      </w:r>
      <w:r w:rsidR="00A84D46" w:rsidRPr="00B465B6">
        <w:rPr>
          <w:rFonts w:ascii="Arial Narrow" w:eastAsia="Arial Narrow" w:hAnsi="Arial Narrow" w:cs="Arial Narrow"/>
          <w:sz w:val="22"/>
          <w:szCs w:val="22"/>
        </w:rPr>
        <w:t/>
      </w:r>
    </w:p>
    <w:p w14:paraId="117416CC" w14:textId="77777777" w:rsidR="00BF4466" w:rsidRPr="00B465B6" w:rsidRDefault="00BF4466" w:rsidP="007D4AA8">
      <w:pPr>
        <w:spacing w:before="0" w:after="0" w:line="240" w:lineRule="auto"/>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8B7114">
        <w:rPr>
          <w:rFonts w:ascii="Arial Narrow" w:eastAsia="Arial Narrow" w:hAnsi="Arial Narrow" w:cs="Arial Narrow"/>
          <w:sz w:val="22"/>
          <w:szCs w:val="22"/>
          <w:lang w:eastAsia="es-ES"/>
        </w:rPr>
        <w:t>.</w:t>
      </w:r>
    </w:p>
    <w:p w14:paraId="7211CF06" w14:textId="77777777" w:rsidR="00EC1B2B" w:rsidRPr="00B465B6" w:rsidRDefault="00EC1B2B" w:rsidP="00D41306">
      <w:pPr>
        <w:spacing w:before="0" w:after="0" w:line="240" w:lineRule="auto"/>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spacing w:before="0" w:after="0" w:line="240" w:lineRule="auto"/>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spacing w:before="0" w:after="0" w:line="240" w:lineRule="auto"/>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spacing w:before="0" w:after="0" w:line="240" w:lineRule="auto"/>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spacing w:before="0" w:after="0" w:line="240" w:lineRule="auto"/>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spacing w:before="0" w:after="0" w:line="240" w:lineRule="auto"/>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spacing w:before="0" w:after="0" w:line="240" w:lineRule="auto"/>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spacing w:before="0" w:after="0" w:line="240" w:lineRule="auto"/>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no habría atendido de manera clara y completa los correos electrónicos remitidos por el denunciante el 3 y 16 de setiembre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spacing w:before="0" w:after="0" w:line="240" w:lineRule="auto"/>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eastAsia="Arial Narrow" w:hAnsi="Arial Narrow" w:cs="Arial Narrow"/>
          <w:b/>
          <w:bCs/>
          <w:sz w:val="22"/>
          <w:szCs w:val="22"/>
        </w:rPr>
        <w:t>CUARTO</w:t>
      </w:r>
      <w:r w:rsidR="00DD7734" w:rsidRPr="00B465B6">
        <w:rPr>
          <w:rFonts w:ascii="Arial Narrow" w:eastAsia="Arial Narrow" w:hAnsi="Arial Narrow" w:cs="Arial Narrow"/>
          <w:b/>
          <w:sz w:val="22"/>
          <w:szCs w:val="22"/>
        </w:rPr>
        <w:t xml:space="preserve">:</w:t>
      </w:r>
      <w:r w:rsidR="00DD7734" w:rsidRPr="00B465B6">
        <w:rPr>
          <w:rFonts w:ascii="Arial Narrow" w:eastAsia="Arial Narrow" w:hAnsi="Arial Narrow" w:cs="Arial Narrow"/>
          <w:sz w:val="22"/>
          <w:szCs w:val="22"/>
        </w:rPr>
        <w:t xml:space="preserve"> </w:t>
      </w:r>
      <w:r w:rsidR="00A27BCD" w:rsidRPr="00B465B6">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eastAsia="Arial Narrow" w:hAnsi="Arial Narrow" w:cs="Arial Narrow"/>
          <w:sz w:val="22"/>
          <w:szCs w:val="22"/>
        </w:rPr>
      </w:pPr>
      <w:r>
        <w:rPr>
          <w:rFonts w:ascii="Arial Narrow" w:eastAsia="Arial Narrow" w:hAnsi="Arial Narrow" w:cs="Arial Narrow"/>
          <w:b/>
          <w:bCs/>
          <w:sz w:val="22"/>
          <w:szCs w:val="22"/>
        </w:rPr>
        <w:t>QUINTO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1C6505" w:rsidRPr="001C6505">
        <w:rPr>
          <w:rFonts w:ascii="Arial Narrow" w:eastAsia="Arial Narrow" w:hAnsi="Arial Narrow" w:cs="Arial Narrow"/>
          <w:sz w:val="22"/>
          <w:szCs w:val="22"/>
        </w:rPr>
        <w:t>Rímac Seguros y Reaseguros S.A.</w:t>
      </w:r>
      <w:r w:rsidR="001C6505" w:rsidRPr="001C6505">
        <w:rPr>
          <w:rStyle w:val="normaltextrun"/>
          <w:rFonts w:ascii="Arial Narrow" w:eastAsia="Arial Narrow" w:hAnsi="Arial Narrow" w:cs="Arial Narrow"/>
          <w:sz w:val="22"/>
          <w:szCs w:val="22"/>
          <w:shd w:val="clear" w:color="auto" w:fill="FFFFFF"/>
        </w:rPr>
        <w:t>,</w:t>
      </w:r>
      <w:r w:rsidR="001C6505" w:rsidRPr="001C6505">
        <w:rPr>
          <w:rFonts w:ascii="Arial Narrow" w:eastAsia="Arial Narrow" w:hAnsi="Arial Narrow" w:cs="Arial Narrow"/>
          <w:sz w:val="22"/>
          <w:szCs w:val="22"/>
          <w:lang w:val="es-ES" w:eastAsia="es-ES"/>
        </w:rPr>
        <w:t xml:space="preserve"> </w:t>
      </w:r>
      <w:r w:rsidR="00D457D4" w:rsidRPr="001C6505">
        <w:rPr>
          <w:rFonts w:ascii="Arial Narrow" w:eastAsia="Arial Narrow" w:hAnsi="Arial Narrow" w:cs="Arial Narrow"/>
          <w:sz w:val="22"/>
          <w:szCs w:val="22"/>
        </w:rPr>
        <w:t xml:space="preserve">y </w:t>
      </w:r>
      <w:r w:rsidR="001C6505" w:rsidRPr="001C6505">
        <w:rPr>
          <w:rFonts w:ascii="Arial Narrow" w:eastAsia="Arial Narrow" w:hAnsi="Arial Narrow" w:cs="Arial Narrow"/>
          <w:sz w:val="22"/>
          <w:szCs w:val="22"/>
        </w:rPr>
        <w:t>Maquinaria Nacional S.A.C. Perú</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3"/>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15"/>
    </w:p>
    <w:bookmarkEnd w:id="14"/>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SEXTO: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Maquinaria Nacional S.A.C. Perú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D165C9B" w:rsidR="00294A2E" w:rsidRPr="00E902D0" w:rsidRDefault="006608F1"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SETIMO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C6505" w:rsidRPr="001C6505">
        <w:rPr>
          <w:rFonts w:ascii="Arial Narrow" w:eastAsia="Arial Narrow" w:hAnsi="Arial Narrow" w:cs="Arial Narrow"/>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spacing w:before="0" w:after="0" w:line="240" w:lineRule="auto"/>
        <w:jc w:val="both"/>
        <w:rPr>
          <w:rFonts w:ascii="Arial Narrow" w:eastAsia="Arial Narrow" w:hAnsi="Arial Narrow" w:cs="Arial Narrow"/>
          <w:b/>
          <w:bCs/>
          <w:sz w:val="22"/>
          <w:szCs w:val="22"/>
          <w:lang w:eastAsia="es-ES"/>
        </w:rPr>
      </w:pPr>
    </w:p>
    <w:p w14:paraId="5852701F" w14:textId="6D085294" w:rsidR="00D457D4" w:rsidRPr="00E902D0" w:rsidRDefault="006608F1" w:rsidP="007D4AA8">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1C6505" w:rsidRPr="001C6505">
        <w:rPr>
          <w:rFonts w:ascii="Arial Narrow" w:eastAsia="Arial Narrow" w:hAnsi="Arial Narrow" w:cs="Arial Narrow"/>
          <w:sz w:val="22"/>
          <w:szCs w:val="22"/>
        </w:rPr>
        <w:t>Maquinaria Nacional S.A.C. Perú</w:t>
      </w:r>
      <w:r w:rsidR="00D457D4" w:rsidRPr="001C6505">
        <w:rPr>
          <w:rStyle w:val="normaltextrun"/>
          <w:rFonts w:ascii="Arial Narrow" w:eastAsia="Arial Narrow" w:hAnsi="Arial Narrow" w:cs="Arial Narrow"/>
          <w:sz w:val="22"/>
          <w:szCs w:val="22"/>
          <w:shd w:val="clear" w:color="auto" w:fill="FFFFFF"/>
        </w:rPr>
        <w:t xml:space="preserve">, </w:t>
      </w:r>
      <w:r w:rsidR="00D457D4" w:rsidRPr="00AB1BE3">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w:t>
      </w:r>
      <w:r w:rsidR="00D457D4"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8"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8"/>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TERCERO: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6608F1"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002B27CF">
        <w:rPr>
          <w:rFonts w:ascii="Arial Narrow" w:eastAsia="Arial Narrow" w:hAnsi="Arial Narrow" w:cs="Arial Narrow"/>
          <w:spacing w:val="-3"/>
          <w:sz w:val="22"/>
          <w:szCs w:val="22"/>
        </w:rPr>
        <w:t xml:space="preserve"/>
      </w:r>
      <w:r w:rsidR="002B27CF" w:rsidRPr="002B27CF">
        <w:rPr>
          <w:rFonts w:ascii="Arial Narrow" w:eastAsia="Arial Narrow" w:hAnsi="Arial Narrow" w:cs="Arial Narrow"/>
          <w:spacing w:val="-3"/>
          <w:sz w:val="22"/>
          <w:szCs w:val="22"/>
        </w:rPr>
        <w:t xml:space="preserve"/>
      </w:r>
      <w:r w:rsidRPr="002B27CF">
        <w:rPr>
          <w:rFonts w:ascii="Arial Narrow" w:eastAsia="Arial Narrow" w:hAnsi="Arial Narrow" w:cs="Arial Narrow"/>
          <w:color w:val="000000"/>
          <w:sz w:val="22"/>
          <w:szCs w:val="22"/>
          <w:shd w:val="clear" w:color="auto" w:fill="FFFFFF"/>
        </w:rPr>
        <w:t xml:space="preserve"/>
      </w:r>
      <w:r w:rsidRPr="002B27CF">
        <w:rPr>
          <w:rFonts w:ascii="Arial Narrow" w:eastAsia="Arial Narrow" w:hAnsi="Arial Narrow" w:cs="Arial Narrow"/>
          <w:color w:val="000000"/>
          <w:sz w:val="22"/>
          <w:szCs w:val="22"/>
        </w:rPr>
        <w:t/>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76ACA17B" w14:textId="691AA6BC"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eastAsia="Arial Narrow" w:hAnsi="Arial Narrow" w:cs="Arial Narrow"/>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37191B" w:rsidRPr="0037191B">
        <w:rPr>
          <w:rFonts w:ascii="Arial Narrow" w:eastAsia="Arial Narrow" w:hAnsi="Arial Narrow" w:cs="Arial Narrow"/>
          <w:sz w:val="22"/>
          <w:szCs w:val="22"/>
        </w:rPr>
        <w:t xml:space="preserve">Maquinaria Nacional S.A.C. Perú </w:t>
      </w:r>
      <w:r w:rsidRPr="001A65A2">
        <w:rPr>
          <w:rFonts w:ascii="Arial Narrow" w:eastAsia="Arial Narrow" w:hAnsi="Arial Narrow" w:cs="Arial Narrow"/>
          <w:sz w:val="22"/>
          <w:szCs w:val="22"/>
          <w:shd w:val="clear" w:color="auto" w:fill="FFFFFF"/>
        </w:rPr>
        <w:t xml:space="preserve">para </w:t>
      </w:r>
      <w:r w:rsidRPr="0037191B">
        <w:rPr>
          <w:rFonts w:ascii="Arial Narrow" w:eastAsia="Arial Narrow" w:hAnsi="Arial Narrow" w:cs="Arial Narrow"/>
          <w:sz w:val="22"/>
          <w:szCs w:val="22"/>
          <w:shd w:val="clear" w:color="auto" w:fill="FFFFFF"/>
        </w:rPr>
        <w:t xml:space="preserve">que </w:t>
      </w:r>
      <w:r w:rsidRPr="0037191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Arial Narrow" w:hAnsi="Arial Narrow" w:cs="Arial Narrow"/>
          <w:sz w:val="22"/>
          <w:szCs w:val="22"/>
        </w:rPr>
        <w:t xml:space="preserv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B6D97BE" w:rsidR="00516218" w:rsidRPr="00FB5804" w:rsidRDefault="00FB5804" w:rsidP="007D4AA8">
      <w:pPr>
        <w:shd w:val="clear" w:color="auto" w:fill="FFFFFF"/>
        <w:jc w:val="center"/>
        <w:rPr>
          <w:rFonts w:ascii="Arial Narrow" w:eastAsia="Arial Narrow" w:hAnsi="Arial Narrow" w:cs="Arial Narrow"/>
          <w:b/>
          <w:bCs/>
          <w:sz w:val="22"/>
          <w:szCs w:val="22"/>
          <w:lang w:val="pt-PT"/>
        </w:rPr>
      </w:pPr>
      <w:r w:rsidRPr="00FB5804">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LUISA ANALÍ SILVA MALPARTIDA</w:t>
      </w:r>
      <w:r w:rsidRPr="00FB5804">
        <w:rPr>
          <w:rStyle w:val="eop"/>
          <w:rFonts w:ascii="Arial Narrow" w:eastAsia="Arial Narrow" w:hAnsi="Arial Narrow" w:cs="Arial Narrow"/>
          <w:sz w:val="22"/>
          <w:szCs w:val="22"/>
          <w:lang w:val="pt-PT"/>
        </w:rPr>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Secretaria Técnica Ad Hoc</w:t>
      </w:r>
      <w:r w:rsidRPr="00FB5804">
        <w:rPr>
          <w:rStyle w:val="eop"/>
          <w:rFonts w:ascii="Arial Narrow" w:eastAsia="Arial Narrow" w:hAnsi="Arial Narrow" w:cs="Arial Narrow"/>
          <w:sz w:val="22"/>
          <w:szCs w:val="22"/>
          <w:lang w:val="pt-PT"/>
        </w:rPr>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8AAD385" w:rsidR="00DD7734" w:rsidRPr="00063D70" w:rsidRDefault="00FB580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sidRPr="00087AA3">
        <w:rPr>
          <w:rFonts w:ascii="Arial Narrow" w:eastAsia="Arial Narrow" w:hAnsi="Arial Narrow" w:cs="Arial Narrow"/>
          <w:color w:val="000000" w:themeColor="text1"/>
          <w:sz w:val="16"/>
          <w:szCs w:val="16"/>
        </w:rPr>
        <w:tab/>
        <w:t xml:space="preserve">Representada por el señor [APELLIDO] . </w:t>
      </w:r>
      <w:r w:rsidR="00087AA3" w:rsidRPr="00087AA3">
        <w:rPr>
          <w:rFonts w:ascii="Arial Narrow" w:eastAsia="Arial Narrow" w:hAnsi="Arial Narrow" w:cs="Arial Narrow"/>
          <w:color w:val="000000" w:themeColor="text1"/>
          <w:sz w:val="16"/>
          <w:szCs w:val="16"/>
        </w:rPr>
        <w:t/>
      </w:r>
      <w:r w:rsidR="00D755C6" w:rsidRPr="00087AA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473D776"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1116EFA"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eastAsia="Arial Narrow" w:hAnsi="Arial Narrow" w:cs="Arial Narrow"/>
          <w:bCs/>
          <w:sz w:val="16"/>
          <w:szCs w:val="16"/>
        </w:rPr>
        <w:t>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37191B" w:rsidRDefault="00A81E02" w:rsidP="00A81E02">
      <w:pPr>
        <w:pStyle w:val="Textonotapie"/>
        <w:tabs>
          <w:tab w:val="left" w:pos="567"/>
        </w:tabs>
        <w:ind w:left="567" w:hanging="567"/>
        <w:jc w:val="both"/>
        <w:rPr>
          <w:rFonts w:ascii="Arial Narrow" w:eastAsia="Arial Narrow" w:hAnsi="Arial Narrow" w:cs="Arial Narrow"/>
          <w:sz w:val="16"/>
          <w:szCs w:val="16"/>
        </w:rPr>
      </w:pPr>
      <w:r w:rsidRPr="0037191B">
        <w:rPr>
          <w:rStyle w:val="Refdenotaalpie"/>
          <w:rFonts w:ascii="Arial Narrow" w:eastAsia="Arial Narrow" w:hAnsi="Arial Narrow" w:cs="Arial Narrow"/>
          <w:sz w:val="16"/>
          <w:szCs w:val="16"/>
          <w:vertAlign w:val="superscript"/>
        </w:rPr>
        <w:footnoteRef/>
      </w:r>
      <w:r w:rsidRPr="0037191B">
        <w:rPr>
          <w:rFonts w:ascii="Arial Narrow" w:eastAsia="Arial Narrow" w:hAnsi="Arial Narrow" w:cs="Arial Narrow"/>
          <w:sz w:val="16"/>
          <w:szCs w:val="16"/>
        </w:rPr>
        <w:t xml:space="preserve"/>
      </w:r>
      <w:r w:rsidRPr="0037191B">
        <w:rPr>
          <w:rFonts w:ascii="Arial Narrow" w:eastAsia="Arial Narrow" w:hAnsi="Arial Narrow" w:cs="Arial Narrow"/>
          <w:sz w:val="16"/>
          <w:szCs w:val="16"/>
        </w:rPr>
      </w:r>
      <w:r w:rsidRPr="0037191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7191B">
        <w:rPr>
          <w:rFonts w:ascii="Arial Narrow" w:eastAsia="Arial Narrow" w:hAnsi="Arial Narrow" w:cs="Arial Narrow"/>
          <w:b/>
          <w:sz w:val="16"/>
          <w:szCs w:val="16"/>
        </w:rPr>
        <w:t/>
      </w:r>
      <w:proofErr w:type="spellEnd"/>
      <w:r w:rsidRPr="0037191B">
        <w:rPr>
          <w:rFonts w:ascii="Arial Narrow" w:eastAsia="Arial Narrow" w:hAnsi="Arial Narrow" w:cs="Arial Narrow"/>
          <w:b/>
          <w:sz w:val="16"/>
          <w:szCs w:val="16"/>
        </w:rPr>
        <w:t xml:space="preserve">006-2026-JUS y publicado el 30 de abril de 2026</w:t>
      </w:r>
    </w:p>
    <w:p w14:paraId="6A9F36C9" w14:textId="77777777" w:rsidR="00A81E02" w:rsidRPr="0037191B" w:rsidRDefault="00A81E02" w:rsidP="00A81E02">
      <w:pPr>
        <w:pStyle w:val="Textonotapie"/>
        <w:ind w:left="1134"/>
        <w:jc w:val="both"/>
        <w:rPr>
          <w:rFonts w:ascii="Arial Narrow" w:eastAsia="Arial Narrow" w:hAnsi="Arial Narrow" w:cs="Arial Narrow"/>
          <w:b/>
          <w:bCs/>
          <w:sz w:val="16"/>
          <w:szCs w:val="16"/>
        </w:rPr>
      </w:pPr>
      <w:r w:rsidRPr="0037191B">
        <w:rPr>
          <w:rFonts w:ascii="Arial Narrow" w:eastAsia="Arial Narrow" w:hAnsi="Arial Narrow" w:cs="Arial Narrow"/>
          <w:b/>
          <w:bCs/>
          <w:sz w:val="16"/>
          <w:szCs w:val="16"/>
        </w:rPr>
        <w:t>Artículo 20.- Modalidades de notificación</w:t>
      </w:r>
    </w:p>
    <w:p w14:paraId="7905B6A0" w14:textId="77777777" w:rsidR="00A81E02" w:rsidRPr="0037191B" w:rsidRDefault="00A81E02" w:rsidP="00A81E02">
      <w:pPr>
        <w:pStyle w:val="Textonotapie"/>
        <w:ind w:left="1134" w:hanging="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20.4. </w:t>
      </w:r>
      <w:r w:rsidRPr="003719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