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D79937" w14:textId="77777777" w:rsidR="00AC5DE1" w:rsidRPr="0026598E" w:rsidRDefault="00AC5DE1" w:rsidP="007315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6A7D">
        <w:rPr>
          <w:rFonts w:ascii="Arial Narrow" w:eastAsia="Arial Narrow" w:hAnsi="Arial Narrow" w:cs="Arial Narrow"/>
          <w:b/>
          <w:bCs/>
          <w:color w:val="000000"/>
          <w:kern w:val="0"/>
          <w:sz w:val="22"/>
          <w:szCs w:val="22"/>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DENUNCIADO</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r>
      <w:bookmarkStart w:id="1" w:name="_Hlk202354592"/>
      <w:r w:rsidRPr="000F6A7D">
        <w:rPr>
          <w:rFonts w:ascii="Arial Narrow" w:eastAsia="Arial Narrow" w:hAnsi="Arial Narrow" w:cs="Arial Narrow"/>
          <w:b/>
          <w:color w:val="000000"/>
          <w:kern w:val="0"/>
          <w:sz w:val="22"/>
          <w:szCs w:val="22"/>
          <w:lang w:eastAsia="es-PE"/>
          <w14:ligatures w14:val="none"/>
        </w:rPr>
        <w:t>RÍMAC SEGUROS Y REASEGUROS S.A.</w:t>
      </w:r>
      <w:bookmarkEnd w:id="1"/>
      <w:r w:rsidRPr="000F6A7D">
        <w:rPr>
          <w:rFonts w:ascii="Arial Narrow" w:eastAsia="Arial Narrow" w:hAnsi="Arial Narrow" w:cs="Arial Narrow"/>
          <w:b/>
          <w:color w:val="000000"/>
          <w:kern w:val="0"/>
          <w:sz w:val="22"/>
          <w:szCs w:val="22"/>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MATERIAS</w:t>
      </w:r>
      <w:r w:rsidRPr="000F6A7D">
        <w:rPr>
          <w:rFonts w:ascii="Arial Narrow" w:eastAsia="Arial Narrow" w:hAnsi="Arial Narrow" w:cs="Arial Narrow"/>
          <w:b/>
          <w:color w:val="000000"/>
          <w:kern w:val="0"/>
          <w:sz w:val="22"/>
          <w:szCs w:val="22"/>
          <w:lang w:eastAsia="es-PE"/>
          <w14:ligatures w14:val="none"/>
        </w:rPr>
        <w:tab/>
        <w:t xml:space="preserve">: </w:t>
      </w:r>
      <w:r w:rsidRPr="000F6A7D">
        <w:rPr>
          <w:rFonts w:ascii="Arial Narrow" w:eastAsia="Arial Narrow" w:hAnsi="Arial Narrow" w:cs="Arial Narrow"/>
          <w:b/>
          <w:color w:val="000000"/>
          <w:kern w:val="0"/>
          <w:sz w:val="22"/>
          <w:szCs w:val="22"/>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RESOLUCIÓN </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6A7D">
        <w:rPr>
          <w:rFonts w:ascii="Arial Narrow" w:eastAsia="Arial Narrow" w:hAnsi="Arial Narrow" w:cs="Arial Narrow"/>
          <w:color w:val="000000"/>
          <w:kern w:val="0"/>
          <w:sz w:val="22"/>
          <w:szCs w:val="22"/>
          <w:shd w:val="clear" w:color="auto" w:fill="FFFFFF"/>
          <w:lang w:eastAsia="es-PE"/>
          <w14:ligatures w14:val="none"/>
        </w:rPr>
        <w:t xml:space="preserve">Lima, </w:t>
      </w:r>
      <w:r w:rsidR="00B027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0F6A7D">
        <w:rPr>
          <w:rFonts w:ascii="Arial Narrow" w:eastAsia="Arial Narrow" w:hAnsi="Arial Narrow" w:cs="Arial Narrow"/>
          <w:color w:val="000000"/>
          <w:kern w:val="0"/>
          <w:sz w:val="22"/>
          <w:szCs w:val="22"/>
          <w:shd w:val="clear" w:color="auto" w:fill="FFFFFF"/>
          <w:lang w:eastAsia="es-PE"/>
          <w14:ligatures w14:val="none"/>
        </w:rPr>
        <w:t xml:space="preserve"/>
      </w:r>
    </w:p>
    <w:p w14:paraId="626AF93F"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HECHOS </w:t>
      </w:r>
    </w:p>
    <w:p w14:paraId="49B6A13B"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3F7">
        <w:rPr>
          <w:rFonts w:ascii="Arial Narrow" w:eastAsia="Arial Narrow" w:hAnsi="Arial Narrow" w:cs="Arial Narrow"/>
          <w:color w:val="000000"/>
          <w:kern w:val="0"/>
          <w:sz w:val="22"/>
          <w:szCs w:val="22"/>
          <w:lang w:val="es-ES" w:eastAsia="es-ES"/>
          <w14:ligatures w14:val="none"/>
        </w:rPr>
        <w:t xml:space="preserve">Mediante el escrito del 17 de marzo de 2025</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53F7">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853F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C7DF0">
        <w:rPr>
          <w:rFonts w:ascii="Arial Narrow" w:eastAsia="Arial Narrow" w:hAnsi="Arial Narrow" w:cs="Arial Narrow"/>
          <w:color w:val="000000"/>
          <w:kern w:val="0"/>
          <w:sz w:val="22"/>
          <w:szCs w:val="22"/>
          <w:lang w:val="es-ES" w:eastAsia="es-ES"/>
          <w14:ligatures w14:val="none"/>
        </w:rPr>
        <w:t/>
      </w:r>
      <w:r w:rsidRPr="003C7DF0">
        <w:rPr>
          <w:rFonts w:ascii="Arial Narrow" w:eastAsia="Arial Narrow" w:hAnsi="Arial Narrow" w:cs="Arial Narrow"/>
          <w:kern w:val="0"/>
          <w14:ligatures w14:val="none"/>
          <w:sz w:val="22"/>
          <w:szCs w:val="22"/>
        </w:rPr>
        <w:t xml:space="preserve"/>
      </w:r>
      <w:r w:rsidRPr="003C7DF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7FA25809" w14:textId="77777777" w:rsidR="00AC5DE1" w:rsidRPr="0026598E" w:rsidRDefault="00AC5DE1" w:rsidP="007315B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941">
        <w:rPr>
          <w:rFonts w:ascii="Arial Narrow" w:eastAsia="Arial Narrow" w:hAnsi="Arial Narrow" w:cs="Arial Narrow"/>
          <w:color w:val="000000"/>
          <w:kern w:val="0"/>
          <w:sz w:val="22"/>
          <w:szCs w:val="22"/>
          <w:lang w:eastAsia="es-ES"/>
          <w14:ligatures w14:val="none"/>
        </w:rPr>
        <w:t xml:space="preserve">Laboraba en el Banco Interamericano de Finanzas (en adelante, BANBIF) desde el 5 de octubre de 2020. Durante el </w:t>
      </w:r>
      <w:r w:rsidRPr="001A3752">
        <w:rPr>
          <w:rFonts w:ascii="Arial Narrow" w:eastAsia="Arial Narrow" w:hAnsi="Arial Narrow" w:cs="Arial Narrow"/>
          <w:color w:val="000000"/>
          <w:kern w:val="0"/>
          <w:sz w:val="22"/>
          <w:szCs w:val="22"/>
          <w:lang w:eastAsia="es-ES"/>
          <w14:ligatures w14:val="none"/>
        </w:rPr>
        <w:t xml:space="preserve">tiempo que prestaba servicios, se encontraba cubierto por el Seguro de Vida Ley – Póliza </w:t>
      </w:r>
      <w:r w:rsidRPr="00A27CE3">
        <w:rPr>
          <w:rFonts w:ascii="Arial Narrow" w:eastAsia="Arial Narrow" w:hAnsi="Arial Narrow" w:cs="Arial Narrow"/>
          <w:color w:val="000000"/>
          <w:kern w:val="0"/>
          <w:sz w:val="22"/>
          <w:szCs w:val="22"/>
          <w:lang w:eastAsia="es-ES"/>
          <w14:ligatures w14:val="none"/>
        </w:rPr>
        <w:t xml:space="preserve">59936319 </w:t>
      </w:r>
      <w:r w:rsidRPr="001A3752">
        <w:rPr>
          <w:rFonts w:ascii="Arial Narrow" w:eastAsia="Arial Narrow" w:hAnsi="Arial Narrow" w:cs="Arial Narrow"/>
          <w:color w:val="000000"/>
          <w:kern w:val="0"/>
          <w:sz w:val="22"/>
          <w:szCs w:val="22"/>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 xml:space="preserve">El 11 de setiembre de 2024, el COMAFP emitió el Dictamen 02301-2024, </w:t>
      </w:r>
      <w:r>
        <w:rPr>
          <w:rFonts w:ascii="Arial Narrow" w:eastAsia="Arial Narrow" w:hAnsi="Arial Narrow" w:cs="Arial Narrow"/>
          <w:color w:val="000000"/>
          <w:kern w:val="0"/>
          <w:sz w:val="22"/>
          <w:szCs w:val="22"/>
          <w:lang w:eastAsia="es-ES"/>
          <w14:ligatures w14:val="none"/>
        </w:rPr>
        <w:t>que lo calificaba con</w:t>
      </w:r>
      <w:r w:rsidRPr="001A3752">
        <w:rPr>
          <w:rFonts w:ascii="Arial Narrow" w:eastAsia="Arial Narrow" w:hAnsi="Arial Narrow" w:cs="Arial Narrow"/>
          <w:color w:val="000000"/>
          <w:kern w:val="0"/>
          <w:sz w:val="22"/>
          <w:szCs w:val="22"/>
          <w:lang w:eastAsia="es-ES"/>
          <w14:ligatures w14:val="none"/>
        </w:rPr>
        <w:t xml:space="preserve"> Invalidez Definitiva, Total y Permanente, con un menoscabo del 89,19 %</w:t>
      </w:r>
      <w:r w:rsidRPr="004E1242">
        <w:rPr>
          <w:rFonts w:ascii="Arial Narrow" w:eastAsia="Arial Narrow" w:hAnsi="Arial Narrow" w:cs="Arial Narrow"/>
          <w:color w:val="000000"/>
          <w:kern w:val="0"/>
          <w:sz w:val="22"/>
          <w:szCs w:val="22"/>
          <w:lang w:eastAsia="es-ES"/>
          <w14:ligatures w14:val="none"/>
        </w:rPr>
        <w:t>.</w:t>
      </w:r>
    </w:p>
    <w:p w14:paraId="0C10961A" w14:textId="77777777" w:rsidR="00AC5DE1" w:rsidRPr="004E1242" w:rsidRDefault="00AC5DE1" w:rsidP="007315B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 xml:space="preserve">El 19 de setiembre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Arial Narrow" w:hAnsi="Arial Narrow" w:cs="Arial Narrow"/>
          <w:color w:val="000000"/>
          <w:kern w:val="0"/>
          <w:sz w:val="22"/>
          <w:szCs w:val="22"/>
          <w:lang w:eastAsia="es-ES"/>
          <w14:ligatures w14:val="none"/>
        </w:rPr>
        <w:t xml:space="preserve"> </w:t>
      </w:r>
      <w:r w:rsidRPr="004E1242">
        <w:rPr>
          <w:rFonts w:ascii="Arial Narrow" w:eastAsia="Arial Narrow" w:hAnsi="Arial Narrow" w:cs="Arial Narrow"/>
          <w:color w:val="000000"/>
          <w:kern w:val="0"/>
          <w:sz w:val="22"/>
          <w:szCs w:val="22"/>
          <w:lang w:eastAsia="es-ES"/>
          <w14:ligatures w14:val="none"/>
        </w:rPr>
        <w:t xml:space="preserve">El rechazo de </w:t>
      </w:r>
      <w:r w:rsidRPr="00807F3D">
        <w:rPr>
          <w:rFonts w:ascii="Arial Narrow" w:eastAsia="Arial Narrow" w:hAnsi="Arial Narrow" w:cs="Arial Narrow"/>
          <w:color w:val="000000"/>
          <w:kern w:val="0"/>
          <w:sz w:val="22"/>
          <w:szCs w:val="22"/>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7F3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Arial Narrow" w:hAnsi="Arial Narrow" w:cs="Arial Narrow"/>
          <w:kern w:val="0"/>
          <w14:ligatures w14:val="none"/>
          <w:sz w:val="22"/>
          <w:szCs w:val="22"/>
        </w:rPr>
        <w:t xml:space="preserve"/>
      </w:r>
      <w:r w:rsidRPr="00807F3D">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807F3D">
        <w:rPr>
          <w:rFonts w:ascii="Arial Narrow" w:eastAsia="Arial Narrow" w:hAnsi="Arial Narrow" w:cs="Arial Narrow"/>
          <w:color w:val="000000"/>
          <w:kern w:val="0"/>
          <w:sz w:val="22"/>
          <w:szCs w:val="22"/>
          <w:lang w:val="es-ES" w:eastAsia="es-ES"/>
          <w14:ligatures w14:val="none"/>
        </w:rPr>
        <w:t xml:space="preserve"/>
      </w:r>
    </w:p>
    <w:p w14:paraId="5989C786" w14:textId="77777777" w:rsidR="00AC5DE1" w:rsidRPr="0026598E" w:rsidRDefault="00AC5DE1" w:rsidP="007315B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7DF70D9" w14:textId="77777777" w:rsidR="00AC5DE1" w:rsidRPr="0026598E" w:rsidRDefault="00AC5DE1" w:rsidP="007315B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F40C05" w:rsidRPr="00F40C05">
        <w:rPr>
          <w:rFonts w:ascii="Arial Narrow" w:eastAsia="Arial Narrow" w:hAnsi="Arial Narrow" w:cs="Arial Narrow"/>
          <w:color w:val="000000"/>
          <w:kern w:val="0"/>
          <w:sz w:val="22"/>
          <w:szCs w:val="22"/>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y 19</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del Código</w:t>
      </w:r>
      <w:r w:rsidRPr="006439A4">
        <w:rPr>
          <w:rStyle w:val="Refdenotaalpie"/>
          <w:rFonts w:ascii="Arial Narrow" w:eastAsia="Arial Narrow" w:hAnsi="Arial Narrow" w:cs="Arial Narrow"/>
          <w:kern w:val="0"/>
          <w:sz w:val="22"/>
          <w:szCs w:val="22"/>
          <w:vertAlign w:val="superscript"/>
          <w14:ligatures w14:val="none"/>
        </w:rPr>
        <w:footnoteReference w:id="4"/>
      </w:r>
      <w:r w:rsidRPr="006439A4">
        <w:rPr>
          <w:rFonts w:ascii="Arial Narrow" w:eastAsia="Arial Narrow" w:hAnsi="Arial Narrow" w:cs="Arial Narrow"/>
          <w:kern w:val="0"/>
          <w14:ligatures w14:val="none"/>
          <w:sz w:val="22"/>
          <w:szCs w:val="22"/>
        </w:rPr>
        <w:t>.</w:t>
      </w:r>
    </w:p>
    <w:p w14:paraId="3DDF49B0" w14:textId="77777777" w:rsidR="00AC5DE1" w:rsidRPr="0026598E" w:rsidRDefault="00AC5DE1" w:rsidP="007315B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D553E24" w14:textId="77777777" w:rsidR="00AC5DE1" w:rsidRPr="0026598E" w:rsidRDefault="00AC5DE1" w:rsidP="007315B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D428DDA"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836A63">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Arial Narrow" w:hAnsi="Arial Narrow" w:cs="Arial Narrow"/>
          <w:color w:val="000000"/>
          <w:kern w:val="0"/>
          <w:sz w:val="22"/>
          <w:szCs w:val="22"/>
          <w:lang w:val="es-ES" w:eastAsia="es-ES"/>
          <w14:ligatures w14:val="none"/>
        </w:rPr>
        <w:t>.</w:t>
      </w:r>
    </w:p>
    <w:p w14:paraId="6029F1E7" w14:textId="77777777" w:rsidR="00AC5DE1" w:rsidRPr="0026598E" w:rsidRDefault="00AC5DE1" w:rsidP="007315B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23A469E" w14:textId="77777777" w:rsidR="00AC5DE1" w:rsidRPr="0026598E" w:rsidRDefault="00AC5DE1" w:rsidP="007315B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lang w:val="es-ES" w:eastAsia="es-ES"/>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shd w:val="clear" w:color="auto" w:fill="FFFFFF"/>
          <w:lang w:eastAsia="es-PE"/>
          <w14:ligatures w14:val="none"/>
        </w:rPr>
        <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r w:rsidR="007315B7">
        <w:rPr>
          <w:rFonts w:ascii="Arial Narrow" w:eastAsia="Arial Narrow" w:hAnsi="Arial Narrow" w:cs="Arial Narrow"/>
          <w:color w:val="000000"/>
          <w:kern w:val="0"/>
          <w:sz w:val="22"/>
          <w:szCs w:val="22"/>
          <w:lang w:val="es-ES"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xml:space="preserve"/>
      </w:r>
      <w:r w:rsidRPr="00A27CE3">
        <w:rPr>
          <w:rFonts w:ascii="Arial Narrow" w:eastAsia="Arial Narrow" w:hAnsi="Arial Narrow" w:cs="Arial Narrow"/>
          <w:color w:val="000000"/>
          <w:kern w:val="0"/>
          <w:sz w:val="22"/>
          <w:szCs w:val="22"/>
          <w:lang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p>
    <w:p w14:paraId="31F0E10D" w14:textId="77777777" w:rsidR="00AC5DE1" w:rsidRPr="0026598E" w:rsidRDefault="00AC5DE1" w:rsidP="007315B7">
      <w:pPr>
        <w:spacing w:before="0" w:after="0" w:line="240" w:lineRule="auto"/>
        <w:jc w:val="both"/>
        <w:rPr>
          <w:rFonts w:ascii="Arial Narrow" w:eastAsia="Arial Narrow" w:hAnsi="Arial Narrow" w:cs="Arial Narrow"/>
          <w:kern w:val="0"/>
          <w14:ligatures w14:val="none"/>
          <w:sz w:val="22"/>
          <w:szCs w:val="22"/>
        </w:rPr>
      </w:pPr>
    </w:p>
    <w:p w14:paraId="00F67569" w14:textId="77777777" w:rsidR="00AC5DE1" w:rsidRPr="0026598E" w:rsidRDefault="00AC5DE1" w:rsidP="007315B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853F7">
        <w:rPr>
          <w:rFonts w:ascii="Arial Narrow" w:eastAsia="Arial Narrow" w:hAnsi="Arial Narrow" w:cs="Arial Narrow"/>
          <w:color w:val="000000"/>
          <w:kern w:val="0"/>
          <w:sz w:val="22"/>
          <w:szCs w:val="22"/>
          <w:lang w:val="es-ES" w:eastAsia="es-ES"/>
          <w14:ligatures w14:val="none"/>
        </w:rPr>
        <w:t xml:space="preserve">17 de marzo de 2025</w:t>
      </w:r>
      <w:r w:rsidRPr="003C7D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A02EDC7" w14:textId="77777777" w:rsidR="00AC5DE1" w:rsidRPr="0026598E" w:rsidRDefault="00AC5DE1" w:rsidP="007315B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127855">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6305F"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53526F2" w14:textId="77777777" w:rsidR="00AC5DE1" w:rsidRPr="0026598E" w:rsidRDefault="00AC5DE1" w:rsidP="007315B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EB17AFD"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9C82EFF"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AA081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Pr="00BC1F2E">
        <w:rPr>
          <w:rFonts w:ascii="Arial Narrow" w:eastAsia="Arial Narrow" w:hAnsi="Arial Narrow" w:cs="Arial Narrow"/>
          <w:color w:val="000000"/>
          <w:kern w:val="0"/>
          <w:sz w:val="22"/>
          <w:szCs w:val="22"/>
          <w:lang w:val="es-ES" w:eastAsia="es-ES"/>
          <w14:ligatures w14:val="none"/>
        </w:rPr>
        <w:t>59936319</w:t>
      </w:r>
      <w:r w:rsidRPr="00AA08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FBFECD8" w14:textId="77777777" w:rsidR="00AC5DE1" w:rsidRPr="0026598E" w:rsidRDefault="00AC5DE1" w:rsidP="007315B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4CCC1C8D" w14:textId="77777777" w:rsidR="00AC5DE1" w:rsidRPr="0026598E" w:rsidRDefault="00AC5DE1" w:rsidP="007315B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pacing w:before="0" w:after="0" w:line="240" w:lineRule="auto"/>
        <w:suppressAutoHyphens/>
        <w:jc w:val="both"/>
        <w:rPr>
          <w:rFonts w:ascii="Arial Narrow" w:eastAsia="Arial Narrow" w:hAnsi="Arial Narrow" w:cs="Arial Narrow"/>
          <w:kern w:val="0"/>
          <w:sz w:val="22"/>
          <w:szCs w:val="22"/>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5DB5B3C" w14:textId="77777777" w:rsidR="00AC5DE1" w:rsidRPr="00A67ADF" w:rsidRDefault="00AC5DE1" w:rsidP="007315B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12785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836A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B47F0F9" w14:textId="77777777" w:rsidR="00AC5DE1" w:rsidRPr="0026598E" w:rsidRDefault="00AC5DE1" w:rsidP="007315B7">
      <w:pPr>
        <w:suppressAutoHyphens/>
        <w:spacing w:after="0" w:line="240" w:lineRule="auto"/>
        <w:jc w:val="both"/>
        <w:rPr>
          <w:rFonts w:ascii="Arial Narrow" w:eastAsia="Arial Narrow" w:hAnsi="Arial Narrow" w:cs="Arial Narrow"/>
          <w:sz w:val="22"/>
          <w:szCs w:val="22"/>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022ADC2"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D70A03A"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4BFBD1C" w14:textId="77777777" w:rsidR="00AC5DE1" w:rsidRPr="0026598E" w:rsidRDefault="00AC5DE1" w:rsidP="007315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6FDC487" w14:textId="77777777" w:rsidR="00AC5DE1" w:rsidRPr="0026598E" w:rsidRDefault="00AC5DE1" w:rsidP="007315B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eastAsia="Arial Narrow" w:hAnsi="Arial Narrow" w:cs="Arial Narrow"/>
          <w:sz w:val="22"/>
          <w:szCs w:val="22"/>
        </w:rPr>
      </w:pPr>
    </w:p>
    <w:p w14:paraId="1E9180A5" w14:textId="77777777" w:rsidR="00AC5DE1" w:rsidRPr="0026598E" w:rsidRDefault="00AC5DE1" w:rsidP="007315B7">
      <w:pPr>
        <w:spacing w:line="240" w:lineRule="auto"/>
        <w:rPr>
          <w:rFonts w:ascii="Arial Narrow" w:eastAsia="Arial Narrow" w:hAnsi="Arial Narrow" w:cs="Arial Narrow"/>
          <w:sz w:val="22"/>
          <w:szCs w:val="22"/>
        </w:rPr>
      </w:pPr>
    </w:p>
    <w:p w14:paraId="4F00EADE" w14:textId="77777777" w:rsidR="00AC5DE1" w:rsidRPr="0026598E" w:rsidRDefault="00AC5DE1" w:rsidP="007315B7">
      <w:pPr>
        <w:spacing w:line="240" w:lineRule="auto"/>
        <w:rPr>
          <w:rFonts w:ascii="Arial Narrow" w:eastAsia="Arial Narrow" w:hAnsi="Arial Narrow" w:cs="Arial Narrow"/>
          <w:sz w:val="22"/>
          <w:szCs w:val="22"/>
        </w:rPr>
      </w:pPr>
    </w:p>
    <w:p w14:paraId="74AAB5F4" w14:textId="77777777" w:rsidR="001B5674" w:rsidRDefault="001B5674" w:rsidP="007315B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tab/>
        <w:t xml:space="preserve">Denuncia remitida a esta Comisión mediante MEMORANDUM 000438-2025-CHT/INDECOPI de fecha 28 de mayo de 2025, recibida el 28 de mayo de 2025.</w:t>
      </w:r>
    </w:p>
    <w:p>
      <w:pPr>
        <w:pStyle w:val="Textonotapie"/>
        <w:ind w:left="567" w:hanging="567"/>
        <w:jc w:val="both"/>
        <w:rPr>
          <w:rFonts w:ascii="Arial Narrow" w:eastAsia="Arial Narrow" w:hAnsi="Arial Narrow" w:cs="Arial Narrow"/>
          <w:sz w:val="16"/>
          <w:szCs w:val="16"/>
        </w:rPr>
      </w:pPr>
    </w:p>
  </w:footnote>
  <w:footnote w:id="2">
    <w:p w14:paraId="5DBBCFDF"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tab/>
        <w:t>Publicado</w:t>
      </w:r>
      <w:r w:rsidRPr="007315B7">
        <w:rPr>
          <w:rFonts w:ascii="Arial Narrow" w:eastAsia="Arial Narrow" w:hAnsi="Arial Narrow" w:cs="Arial Narrow"/>
          <w:b/>
          <w:sz w:val="16"/>
          <w:szCs w:val="16"/>
        </w:rPr>
        <w:t xml:space="preserve"> </w:t>
      </w:r>
      <w:r w:rsidRPr="00731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ab/>
        <w:t>Artículo 27.-</w:t>
      </w:r>
      <w:r w:rsidRPr="007315B7">
        <w:rPr>
          <w:rFonts w:ascii="Arial Narrow" w:eastAsia="Arial Narrow" w:hAnsi="Arial Narrow" w:cs="Arial Narrow"/>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LEY SOBRE FACULTADES, NORMAS Y ORGANIZACIÓN DEL INDECOPI, APROBADA POR DECRETO LEGISLATIVO 807 Artículo 24.-</w:t>
      </w:r>
      <w:r w:rsidRPr="00731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85A9782"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B9D72A3"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5745FA5" w14:textId="77777777" w:rsidR="00AC5DE1" w:rsidRPr="007315B7" w:rsidRDefault="00AC5DE1" w:rsidP="007315B7">
      <w:pPr>
        <w:tabs>
          <w:tab w:val="left" w:pos="567"/>
        </w:tabs>
        <w:spacing w:after="0" w:line="240" w:lineRule="auto"/>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vertAlign w:val="superscript"/>
        </w:rPr>
        <w:t xml:space="preserve"/>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E13DA8" w14:textId="77777777" w:rsidR="00AC5DE1" w:rsidRPr="007315B7" w:rsidRDefault="00AC5DE1" w:rsidP="007315B7">
      <w:pPr>
        <w:tabs>
          <w:tab w:val="left" w:pos="567"/>
        </w:tabs>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r>
      <w:r w:rsidRPr="007315B7">
        <w:rPr>
          <w:rFonts w:ascii="Arial Narrow" w:eastAsia="Arial Narrow" w:hAnsi="Arial Narrow" w:cs="Arial Narrow"/>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Las medidas correctivas complementarias pueden dictarse de oficio o a pedido de parte.</w:t>
      </w:r>
    </w:p>
    <w:p w14:paraId="58C96867"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los supuestos de pagos indebidos o en exceso, devolver estos montos, más los intereses correspondientes.</w:t>
      </w:r>
    </w:p>
    <w:p w14:paraId="13941B2E"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Pagar los gastos incurridos por el consumidor para mitigar las consecuencias de la infracción administrativa.</w:t>
      </w:r>
    </w:p>
    <w:p w14:paraId="33E36BAF"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495057B" w14:textId="77777777" w:rsidR="00AC5DE1" w:rsidRPr="007315B7" w:rsidRDefault="00AC5DE1" w:rsidP="007315B7">
      <w:pPr>
        <w:spacing w:after="0" w:line="240" w:lineRule="auto"/>
        <w:ind w:left="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1F0EDEA"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b/>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9B58EE9" w14:textId="77777777" w:rsidR="00AC5DE1" w:rsidRPr="007315B7" w:rsidRDefault="00AC5DE1" w:rsidP="007315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b/>
          <w:bCs/>
          <w:sz w:val="16"/>
          <w:szCs w:val="16"/>
          <w:vertAlign w:val="superscript"/>
        </w:rPr>
        <w:footnoteRef/>
      </w:r>
      <w:r w:rsidRPr="007315B7">
        <w:rPr>
          <w:rFonts w:ascii="Arial Narrow" w:eastAsia="Arial Narrow" w:hAnsi="Arial Narrow" w:cs="Arial Narrow"/>
          <w:b/>
          <w:bCs/>
          <w:sz w:val="16"/>
          <w:szCs w:val="16"/>
        </w:rPr>
        <w:t xml:space="preserve"/>
      </w:r>
      <w:r w:rsidRPr="007315B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eastAsia="Arial Narrow" w:hAnsi="Arial Narrow" w:cs="Arial Narrow"/>
          <w:bCs/>
          <w:sz w:val="16"/>
          <w:szCs w:val="16"/>
        </w:rPr>
      </w:pPr>
      <w:r w:rsidRPr="007315B7">
        <w:rPr>
          <w:rFonts w:ascii="Arial Narrow" w:eastAsia="Arial Narrow" w:hAnsi="Arial Narrow" w:cs="Arial Narrow"/>
          <w:b/>
          <w:sz w:val="16"/>
          <w:szCs w:val="16"/>
        </w:rPr>
        <w:t xml:space="preserve">Artículo 29.- </w:t>
      </w:r>
      <w:r w:rsidRPr="00731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8E198A9"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20.- Modalidades de notificación</w:t>
      </w:r>
    </w:p>
    <w:p w14:paraId="61E355FE" w14:textId="77777777" w:rsidR="00AC5DE1" w:rsidRPr="007315B7" w:rsidRDefault="00AC5DE1" w:rsidP="007315B7">
      <w:pPr>
        <w:pStyle w:val="Textonotapie"/>
        <w:ind w:left="1134" w:hanging="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20.4. </w:t>
      </w:r>
      <w:r w:rsidRPr="00731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