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F87F6B" w14:textId="77777777" w:rsidR="00CA59A2" w:rsidRPr="00013D9C" w:rsidRDefault="00CA59A2" w:rsidP="00013D9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b/>
          <w:color w:val="000000"/>
        </w:rPr>
        <w:t>EXPEDIENTE</w:t>
      </w:r>
      <w:r w:rsidRPr="00013D9C">
        <w:rPr>
          <w:rFonts w:ascii="Arial Narrow" w:eastAsia="Arial Narrow" w:hAnsi="Arial Narrow"/>
          <w:b/>
          <w:color w:val="000000"/>
        </w:rPr>
        <w:tab/>
        <w:t>:</w:t>
      </w:r>
      <w:r w:rsidRPr="00013D9C">
        <w:rPr>
          <w:rFonts w:ascii="Arial Narrow" w:eastAsia="Arial Narrow" w:hAnsi="Arial Narrow"/>
          <w:b/>
          <w:color w:val="000000"/>
        </w:rPr>
        <w:tab/>
        <w:t>2262-2026/CC1</w:t>
      </w:r>
    </w:p>
    <w:p w14:paraId="413D1AB1"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DENUNCIANTE</w:t>
        <w:tab/>
        <w:t>:</w:t>
        <w:tab/>
        <w:t xml:space="preserve">[DENUNCIANTE] (SEÑOR [APELLIDO])</w:t>
      </w:r>
    </w:p>
    <w:p w14:paraId="6035C4A7"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DENUNCIADO</w:t>
      </w:r>
      <w:r w:rsidRPr="00013D9C">
        <w:rPr>
          <w:rFonts w:ascii="Arial Narrow" w:eastAsia="Arial Narrow" w:hAnsi="Arial Narrow"/>
          <w:b/>
          <w:color w:val="000000"/>
        </w:rPr>
        <w:tab/>
        <w:t>:</w:t>
      </w:r>
      <w:r w:rsidRPr="00013D9C">
        <w:rPr>
          <w:rFonts w:ascii="Arial Narrow" w:eastAsia="Arial Narrow" w:hAnsi="Arial Narrow"/>
          <w:b/>
          <w:color w:val="000000"/>
        </w:rPr>
        <w:tab/>
        <w:t>RÍMAC SEGUROS Y REASEGUROS S.A. (RÍMAC)</w:t>
      </w:r>
    </w:p>
    <w:p w14:paraId="09C61808" w14:textId="4AF49F25"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MATERIAS</w:t>
      </w:r>
      <w:r w:rsidRPr="00013D9C">
        <w:rPr>
          <w:rFonts w:ascii="Arial Narrow" w:eastAsia="Arial Narrow" w:hAnsi="Arial Narrow" w:cs="Arial Narrow"/>
          <w:b/>
          <w:color w:val="000000"/>
          <w:kern w:val="0"/>
          <w:lang w:eastAsia="es-PE"/>
          <w14:ligatures w14:val="none"/>
        </w:rPr>
        <w:tab/>
        <w:t>:</w:t>
      </w:r>
      <w:r w:rsidR="00013D9C" w:rsidRPr="00013D9C">
        <w:rPr>
          <w:rFonts w:ascii="Arial Narrow" w:eastAsia="Arial Narrow" w:hAnsi="Arial Narrow" w:cs="Arial Narrow"/>
          <w:b/>
          <w:color w:val="000000"/>
          <w:kern w:val="0"/>
          <w:lang w:eastAsia="es-PE"/>
          <w14:ligatures w14:val="none"/>
        </w:rPr>
        <w:t xml:space="preserve"> </w:t>
      </w:r>
      <w:r w:rsidRPr="00013D9C">
        <w:rPr>
          <w:rFonts w:ascii="Arial Narrow" w:eastAsia="Arial Narrow" w:hAnsi="Arial Narrow" w:cs="Arial Narrow"/>
          <w:b/>
          <w:color w:val="000000"/>
          <w:kern w:val="0"/>
          <w:lang w:eastAsia="es-PE"/>
          <w14:ligatures w14:val="none"/>
        </w:rPr>
        <w:t xml:space="preserve"> </w:t>
      </w:r>
      <w:r w:rsidRPr="00013D9C">
        <w:rPr>
          <w:rFonts w:ascii="Arial Narrow" w:eastAsia="Arial Narrow" w:hAnsi="Arial Narrow" w:cs="Arial Narrow"/>
          <w:b/>
          <w:color w:val="000000"/>
          <w:kern w:val="0"/>
          <w:lang w:eastAsia="es-PE"/>
          <w14:ligatures w14:val="none"/>
        </w:rPr>
        <w:tab/>
        <w:t>ADMISIÓN A TRÁMITE</w:t>
      </w:r>
    </w:p>
    <w:p w14:paraId="0F94AAD3" w14:textId="77777777" w:rsidR="00CA59A2" w:rsidRPr="00013D9C" w:rsidRDefault="00CA59A2" w:rsidP="00013D9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REQUERIMIENTO DE INFORMACIÓN </w:t>
      </w:r>
    </w:p>
    <w:p w14:paraId="556A11CE" w14:textId="77777777" w:rsidR="00CA59A2" w:rsidRPr="00013D9C" w:rsidRDefault="00CA59A2" w:rsidP="00013D9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RESOLUCIÓN</w:t>
      </w:r>
      <w:r w:rsidRPr="00013D9C">
        <w:rPr>
          <w:rFonts w:ascii="Arial Narrow" w:eastAsia="Arial Narrow" w:hAnsi="Arial Narrow"/>
          <w:b/>
          <w:color w:val="000000"/>
        </w:rPr>
        <w:tab/>
        <w:t>:</w:t>
      </w:r>
      <w:r w:rsidRPr="00013D9C">
        <w:rPr>
          <w:rFonts w:ascii="Arial Narrow" w:eastAsia="Arial Narrow" w:hAnsi="Arial Narrow"/>
          <w:b/>
          <w:color w:val="000000"/>
        </w:rPr>
        <w:tab/>
        <w:t>2</w:t>
      </w:r>
    </w:p>
    <w:p w14:paraId="6139EBAB" w14: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612E52D" w14:textId="35AABE15"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13D9C">
        <w:rPr>
          <w:rFonts w:ascii="Arial Narrow" w:eastAsia="Arial Narrow" w:hAnsi="Arial Narrow"/>
          <w:color w:val="000000"/>
        </w:rPr>
        <w:t xml:space="preserve">Lima, </w:t>
      </w:r>
      <w:r w:rsidR="00706DF2" w:rsidRPr="00706DF2">
        <w:rPr>
          <w:rFonts w:ascii="Arial Narrow" w:eastAsia="Arial Narrow" w:hAnsi="Arial Narrow"/>
          <w:color w:val="000000"/>
        </w:rPr>
        <w:t>16 de julio de 2026</w:t>
      </w:r>
    </w:p>
    <w:p w14:paraId="1DEEB1F6" w14: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2DF033" w14:textId="77777777" w:rsidR="00CA59A2" w:rsidRPr="00013D9C" w:rsidRDefault="00CA59A2" w:rsidP="00013D9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HECHOS </w:t>
      </w:r>
    </w:p>
    <w:p w14:paraId="2264B975" w14: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w14:ligatures w14:val="none"/>
        </w:rPr>
      </w:pPr>
    </w:p>
    <w:p w14:paraId="0D2B8AAF" w14:textId="06C6426B" w:rsidR="00CA59A2" w:rsidRPr="00013D9C" w:rsidRDefault="00CA59A2" w:rsidP="00013D9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 xml:space="preserve">Mediante el escrito del 18 de junio de 2026, el señor [APELLIDO] denunció a Rímac por presuntas infracciones a la Ley 29571, Código de Protección y Defensa del Consumidor (en adelante, el Código), señalando lo siguiente:</w:t>
      </w:r>
      <w:r w:rsidRPr="00013D9C">
        <w:rPr>
          <w:rFonts w:ascii="Arial Narrow" w:eastAsia="Arial Narrow" w:hAnsi="Arial Narrow"/>
          <w:color w:val="000000"/>
        </w:rPr>
        <w:t/>
      </w:r>
      <w:r w:rsidR="00013D9C" w:rsidRPr="00013D9C">
        <w:rPr>
          <w:rStyle w:val="Refdenotaalpie"/>
          <w:rFonts w:ascii="Arial Narrow" w:eastAsia="Arial Narrow" w:hAnsi="Arial Narrow"/>
          <w:color w:val="000000"/>
          <w:vertAlign w:val="superscript"/>
        </w:rPr>
        <w:footnoteReference w:id="2"/>
      </w:r>
      <w:r w:rsidRPr="00013D9C">
        <w:rPr>
          <w:rFonts w:ascii="Arial Narrow" w:eastAsia="Arial Narrow" w:hAnsi="Arial Narrow"/>
          <w:color w:val="000000"/>
        </w:rPr>
        <w:t/>
      </w:r>
    </w:p>
    <w:p w14:paraId="5A74127F" w14:textId="77777777" w:rsidR="00CA59A2" w:rsidRPr="00013D9C" w:rsidRDefault="00CA59A2" w:rsidP="00013D9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1419C8" w14:textId="7930D3D0"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Contrató con Rímac la Póliza de Todo Riesgo Incendio Hipotecario 1314-500304. Con ocasión de un evento sísmico ocurrido el 23 de setiembre de 2025, se reportaron daños en el inmueble, los cuales fueron valorizados en un presupuesto técnico de S/ 47 731,18</w:t>
      </w:r>
      <w:r>
        <w:rPr>
          <w:rFonts w:ascii="Arial Narrow" w:eastAsia="Arial Narrow" w:hAnsi="Arial Narrow"/>
          <w:color w:val="000000"/>
        </w:rPr>
        <w:t>.</w:t>
      </w:r>
    </w:p>
    <w:p w14:paraId="74749E63"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5F583C" w14:textId="2FF8350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S</w:t>
      </w:r>
      <w:r w:rsidRPr="001F0C81">
        <w:rPr>
          <w:rFonts w:ascii="Arial Narrow" w:eastAsia="Arial Narrow" w:hAnsi="Arial Narrow"/>
          <w:color w:val="000000"/>
        </w:rPr>
        <w:t>in embargo, la</w:t>
      </w:r>
      <w:r>
        <w:rPr>
          <w:rFonts w:ascii="Arial Narrow" w:eastAsia="Arial Narrow" w:hAnsi="Arial Narrow"/>
          <w:color w:val="000000"/>
        </w:rPr>
        <w:t xml:space="preserve"> compañía</w:t>
      </w:r>
      <w:r w:rsidRPr="001F0C81">
        <w:rPr>
          <w:rFonts w:ascii="Arial Narrow" w:eastAsia="Arial Narrow" w:hAnsi="Arial Narrow"/>
          <w:color w:val="000000"/>
        </w:rPr>
        <w:t xml:space="preserve"> aseguradora denegó la cobertura del siniestro, sustentando su decisión en el Informe Final 01 elaborado por el ajustador Cooper Brothers Perú S.A.C., el cual calificó los daños como “preexistentes” mediante un análisis visual basado en fotografías del año 2024, sin realizar una verificación técnica in situ.</w:t>
      </w:r>
    </w:p>
    <w:p w14:paraId="4570B649"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883665"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Rímac no efectuó una evaluación estructural adecuada ni un análisis técnico suficiente que permitiera determinar con certeza la causa real de los daños, limitándose a un cotejo fotográfico superficial. Asimismo, se evidenció una contradicción al reconocer el presupuesto de reparación por S/ 47 731,18, pero establecer una indemnización de S/ 0,00, sustentándose en criterios genéricos como mapas de aceleración sísmica, sin considerar las condiciones específicas del inmueble afectado.</w:t>
      </w:r>
    </w:p>
    <w:p w14:paraId="414DB30C"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31AB03"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Adicionalmente, se denunció que Rímac implementó de manera indebida su Libro de Reclamaciones Virtual, al condicionar el registro de reclamos a la aceptación obligatoria de su política de privacidad. Se indicó que dicha condición obligaba al consumidor a autorizar el uso de sus datos personales con fines comerciales, publicitarios y su posible cesión a terceros, desnaturalizando el derecho del consumidor a presentar reclamos de manera libre y sin restricciones.</w:t>
      </w:r>
    </w:p>
    <w:p w14:paraId="6678CC73" w14:textId="77777777" w:rsidR="00CA59A2" w:rsidRPr="00013D9C" w:rsidRDefault="00CA59A2" w:rsidP="00013D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4843D3" w14:textId="611A6F35" w:rsidR="00CA59A2" w:rsidRPr="0095551C" w:rsidRDefault="00CA59A2" w:rsidP="00013D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 xml:space="preserve">El señor [APELLIDO] solicitó, en calidad de medida correctiva, que Rímac cumpla con otorgar la cobertura del siniestro conforme a la póliza contratada, e implementar adecuadamente el Libro de Reclamaciones Virtual sin condicionamientos indebidos. Asimismo, no requirió de manera expresa el pago de costas y costos del presente procedimiento.</w:t>
      </w:r>
    </w:p>
    <w:p w14:paraId="4E29262F" w14:textId="724AF150" w:rsidR="0095551C" w:rsidRDefault="0095551C" w:rsidP="0095551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0186C85" w14:textId="77777777" w:rsidR="00706DF2" w:rsidRPr="00013D9C" w:rsidRDefault="00706DF2" w:rsidP="0095551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65ECCA5" w14:textId="77777777" w:rsidR="00CA59A2" w:rsidRPr="00013D9C" w:rsidRDefault="00CA59A2" w:rsidP="00013D9C">
      <w:pPr>
        <w:spacing w:after="0" w:line="240" w:lineRule="auto"/>
        <w:contextualSpacing/>
        <w:jc w:val="both"/>
        <w:rPr>
          <w:rFonts w:ascii="Arial Narrow" w:eastAsia="Arial Narrow" w:hAnsi="Arial Narrow" w:cs="Arial Narrow"/>
          <w:b/>
          <w:color w:val="000000"/>
          <w:kern w:val="0"/>
          <w:lang w:eastAsia="es-PE"/>
          <w14:ligatures w14:val="none"/>
        </w:rPr>
      </w:pPr>
    </w:p>
    <w:p w14:paraId="4A0748EA" w14:textId="77777777" w:rsidR="002C1184" w:rsidRDefault="002C1184" w:rsidP="002C1184">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3DDDAB5C" w14:textId="2580674A" w:rsidR="00CA59A2" w:rsidRPr="00B53FE3"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DE LA ADMISIÓN A TRÁMITE </w:t>
      </w:r>
      <w:r w:rsidRPr="00B53FE3">
        <w:rPr>
          <w:rFonts w:ascii="Arial Narrow" w:eastAsia="Arial Narrow" w:hAnsi="Arial Narrow" w:cs="Arial Narrow"/>
          <w:b/>
          <w:color w:val="000000"/>
          <w:kern w:val="0"/>
          <w:lang w:eastAsia="es-PE"/>
          <w14:ligatures w14:val="none"/>
        </w:rPr>
        <w:t>DE LA DENUNCIA</w:t>
      </w:r>
    </w:p>
    <w:p w14:paraId="7C03C4F4" w14:textId="77777777" w:rsidR="00CA59A2" w:rsidRPr="00B53FE3" w:rsidRDefault="00CA59A2" w:rsidP="00013D9C">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31B75E05" w14:textId="6CF58A0B" w:rsidR="00D16CA0" w:rsidRPr="00C01911" w:rsidRDefault="00CA59A2"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3FE3">
        <w:rPr>
          <w:rFonts w:ascii="Arial Narrow" w:eastAsia="Arial Narrow" w:hAnsi="Arial Narrow"/>
          <w:color w:val="000000"/>
        </w:rPr>
        <w:t>La Secretaría Técnica de la Comisión de Protección al Consumidor 1</w:t>
      </w:r>
      <w:r w:rsidR="00013D9C" w:rsidRPr="00B53FE3">
        <w:rPr>
          <w:rStyle w:val="Refdenotaalpie"/>
          <w:rFonts w:ascii="Arial Narrow" w:eastAsia="Arial Narrow" w:hAnsi="Arial Narrow"/>
          <w:color w:val="000000"/>
          <w:vertAlign w:val="superscript"/>
        </w:rPr>
        <w:footnoteReference w:id="3"/>
      </w:r>
      <w:r w:rsidRPr="00B53FE3">
        <w:rPr>
          <w:rFonts w:ascii="Arial Narrow" w:eastAsia="Arial Narrow" w:hAnsi="Arial Narrow"/>
          <w:color w:val="000000"/>
        </w:rPr>
        <w:t xml:space="preserve"> (en adelante, la Secretaría Técnica), en ejercicio de sus facultades</w:t>
      </w:r>
      <w:r w:rsidR="00013D9C" w:rsidRPr="00B53FE3">
        <w:rPr>
          <w:rStyle w:val="Refdenotaalpie"/>
          <w:rFonts w:ascii="Arial Narrow" w:eastAsia="Arial Narrow" w:hAnsi="Arial Narrow"/>
          <w:color w:val="000000"/>
          <w:vertAlign w:val="superscript"/>
        </w:rPr>
        <w:footnoteReference w:id="4"/>
      </w:r>
      <w:r w:rsidRPr="00B53FE3">
        <w:rPr>
          <w:rFonts w:ascii="Arial Narrow" w:eastAsia="Arial Narrow" w:hAnsi="Arial Narrow"/>
          <w:color w:val="000000"/>
        </w:rPr>
        <w:t xml:space="preserve">, </w:t>
      </w:r>
      <w:r w:rsidR="00D16CA0" w:rsidRPr="00B53FE3">
        <w:rPr>
          <w:rFonts w:ascii="Arial Narrow" w:eastAsia="Times New Roman" w:hAnsi="Arial Narrow" w:cs="Segoe UI"/>
          <w:color w:val="000000"/>
          <w:kern w:val="0"/>
          <w:lang w:eastAsia="es-PE"/>
          <w14:ligatures w14:val="none"/>
        </w:rPr>
        <w:t xml:space="preserve">considera </w:t>
      </w:r>
      <w:r w:rsidR="00D16CA0" w:rsidRPr="00B53FE3">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4C4221" w:rsidRPr="00B53FE3">
        <w:rPr>
          <w:rFonts w:ascii="Arial Narrow" w:eastAsia="Times New Roman" w:hAnsi="Arial Narrow" w:cs="Times New Roman"/>
          <w:color w:val="000000"/>
          <w:kern w:val="0"/>
          <w:shd w:val="clear" w:color="auto" w:fill="FFFFFF"/>
          <w:lang w:eastAsia="es-PE"/>
          <w14:ligatures w14:val="none"/>
        </w:rPr>
        <w:t>la compañía aseguradora habría denegado de manera injustificada la cobertura de la póliza 1314-500304 por el siniestro del 23 de setiembre de 2025</w:t>
      </w:r>
      <w:r w:rsidR="00D16CA0" w:rsidRPr="00B53FE3">
        <w:rPr>
          <w:rFonts w:ascii="Arial Narrow" w:eastAsia="Arial Narrow" w:hAnsi="Arial Narrow" w:cs="Arial Narrow"/>
          <w:kern w:val="0"/>
          <w14:ligatures w14:val="none"/>
        </w:rPr>
        <w:t xml:space="preserve">; involucraría una presunta afectación a sus expectativas, quien no habría encontrado </w:t>
      </w:r>
      <w:r w:rsidR="00D16CA0" w:rsidRPr="00C01911">
        <w:rPr>
          <w:rFonts w:ascii="Arial Narrow" w:eastAsia="Arial Narrow" w:hAnsi="Arial Narrow" w:cs="Arial Narrow"/>
          <w:kern w:val="0"/>
          <w14:ligatures w14:val="none"/>
        </w:rPr>
        <w:t>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D16CA0" w:rsidRPr="00C01911">
        <w:rPr>
          <w:rStyle w:val="Refdenotaalpie"/>
          <w:rFonts w:ascii="Arial Narrow" w:eastAsia="Arial Narrow" w:hAnsi="Arial Narrow" w:cs="Arial"/>
          <w:kern w:val="0"/>
          <w:vertAlign w:val="superscript"/>
          <w14:ligatures w14:val="none"/>
        </w:rPr>
        <w:footnoteReference w:id="5"/>
      </w:r>
      <w:bookmarkEnd w:id="4"/>
      <w:r w:rsidR="00D16CA0" w:rsidRPr="00C01911">
        <w:rPr>
          <w:rFonts w:ascii="Arial Narrow" w:eastAsia="Arial Narrow" w:hAnsi="Arial Narrow" w:cs="Arial Narrow"/>
          <w:kern w:val="0"/>
          <w14:ligatures w14:val="none"/>
        </w:rPr>
        <w:t>.</w:t>
      </w:r>
      <w:bookmarkEnd w:id="3"/>
    </w:p>
    <w:p w14:paraId="629EB949" w14:textId="77777777" w:rsidR="00D16CA0" w:rsidRPr="00C01911" w:rsidRDefault="00D16CA0" w:rsidP="00D16CA0">
      <w:pPr>
        <w:pStyle w:val="Prrafodelista"/>
        <w:spacing w:after="0" w:line="240" w:lineRule="auto"/>
        <w:ind w:left="567"/>
        <w:jc w:val="both"/>
        <w:rPr>
          <w:rFonts w:ascii="Arial Narrow" w:eastAsia="Arial Narrow" w:hAnsi="Arial Narrow" w:cs="Arial Narrow"/>
          <w:kern w:val="0"/>
          <w14:ligatures w14:val="none"/>
        </w:rPr>
      </w:pPr>
    </w:p>
    <w:p w14:paraId="7E370CB1" w14:textId="070EAC0A" w:rsidR="00D16CA0" w:rsidRPr="00C01911" w:rsidRDefault="00D16CA0"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C01911">
        <w:rPr>
          <w:rFonts w:ascii="Arial Narrow" w:eastAsia="Arial Narrow" w:hAnsi="Arial Narrow" w:cs="Arial Narrow"/>
          <w:kern w:val="0"/>
          <w14:ligatures w14:val="none"/>
        </w:rPr>
        <w:t xml:space="preserve">Así también, la Secretaría Técnica, en ejercicio de sus facultades, </w:t>
      </w:r>
      <w:r w:rsidRPr="00C01911">
        <w:rPr>
          <w:rFonts w:ascii="Arial Narrow" w:eastAsia="Times New Roman" w:hAnsi="Arial Narrow" w:cs="Segoe UI"/>
          <w:color w:val="000000"/>
          <w:kern w:val="0"/>
          <w:lang w:eastAsia="es-PE"/>
          <w14:ligatures w14:val="none"/>
        </w:rPr>
        <w:t xml:space="preserve">considera </w:t>
      </w:r>
      <w:r w:rsidRPr="00C01911">
        <w:rPr>
          <w:rFonts w:ascii="Arial Narrow" w:eastAsia="Arial Narrow" w:hAnsi="Arial Narrow" w:cs="Arial Narrow"/>
          <w:kern w:val="0"/>
          <w14:ligatures w14:val="none"/>
        </w:rPr>
        <w:t xml:space="preserve">que el hecho denunciado, consistente en que </w:t>
      </w:r>
      <w:bookmarkEnd w:id="5"/>
      <w:r w:rsidR="00C01911" w:rsidRPr="00C01911">
        <w:rPr>
          <w:rFonts w:ascii="Arial Narrow" w:eastAsia="Arial Narrow" w:hAnsi="Arial Narrow"/>
          <w:color w:val="000000"/>
        </w:rPr>
        <w:t>la compañía aseguradora habría condicionado el registro de reclamos en su Libro de Reclamaciones Virtual la aceptación obligatoria de su política de privacidad en la página web https://www.rimac.com/</w:t>
      </w:r>
      <w:r w:rsidRPr="00C01911">
        <w:rPr>
          <w:rFonts w:ascii="Arial Narrow" w:eastAsia="Arial Narrow" w:hAnsi="Arial Narrow" w:cs="Arial Narrow"/>
          <w:kern w:val="0"/>
          <w14:ligatures w14:val="none"/>
        </w:rPr>
        <w:t xml:space="preserve">. </w:t>
      </w:r>
      <w:r w:rsidRPr="00C0191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C01911">
        <w:rPr>
          <w:rFonts w:ascii="Arial Narrow" w:eastAsia="Times New Roman" w:hAnsi="Arial Narrow" w:cs="Times New Roman"/>
          <w:color w:val="000000"/>
          <w:kern w:val="0"/>
          <w:shd w:val="clear" w:color="auto" w:fill="FFFFFF"/>
          <w:lang w:eastAsia="es-PE"/>
          <w14:ligatures w14:val="none"/>
        </w:rPr>
        <w:t xml:space="preserve">el artículo 150 </w:t>
      </w:r>
      <w:r w:rsidRPr="00C01911">
        <w:rPr>
          <w:rFonts w:ascii="Arial Narrow" w:eastAsia="Arial Narrow" w:hAnsi="Arial Narrow" w:cs="Arial"/>
          <w:bCs/>
          <w:color w:val="000000"/>
          <w:kern w:val="0"/>
          <w:lang w:eastAsia="es-PE"/>
          <w14:ligatures w14:val="none"/>
        </w:rPr>
        <w:t>del Código</w:t>
      </w:r>
      <w:r w:rsidRPr="00C01911">
        <w:rPr>
          <w:rStyle w:val="Refdenotaalpie"/>
          <w:vertAlign w:val="superscript"/>
          <w:lang w:eastAsia="es-PE"/>
        </w:rPr>
        <w:footnoteReference w:id="6"/>
      </w:r>
      <w:r w:rsidRPr="00C01911">
        <w:rPr>
          <w:rFonts w:ascii="Arial Narrow" w:eastAsia="Arial Narrow" w:hAnsi="Arial Narrow" w:cs="Arial"/>
          <w:bCs/>
          <w:color w:val="000000"/>
          <w:kern w:val="0"/>
          <w:lang w:eastAsia="es-PE"/>
          <w14:ligatures w14:val="none"/>
        </w:rPr>
        <w:t xml:space="preserve">. </w:t>
      </w:r>
    </w:p>
    <w:p w14:paraId="5F99F976" w14:textId="20EEE713" w:rsidR="00121544" w:rsidRPr="00C01911" w:rsidRDefault="00121544" w:rsidP="00D16CA0">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3032517" w14:textId="66F6C0B7" w:rsidR="00CA59A2" w:rsidRPr="002C1184" w:rsidRDefault="00CA59A2" w:rsidP="002C118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01911">
        <w:rPr>
          <w:rFonts w:ascii="Arial Narrow" w:eastAsia="Arial Narrow" w:hAnsi="Arial Narrow" w:cs="Arial"/>
          <w:color w:val="000000"/>
          <w:kern w:val="0"/>
          <w:lang w:eastAsia="es-PE"/>
          <w14:ligatures w14:val="none"/>
        </w:rPr>
        <w:t>En tanto la denuncia reúne los requisitos establecidos</w:t>
      </w:r>
      <w:r w:rsidRPr="00013D9C">
        <w:rPr>
          <w:rFonts w:ascii="Arial Narrow" w:eastAsia="Arial Narrow" w:hAnsi="Arial Narrow" w:cs="Arial"/>
          <w:color w:val="000000"/>
          <w:kern w:val="0"/>
          <w:lang w:eastAsia="es-PE"/>
          <w14:ligatures w14:val="none"/>
        </w:rPr>
        <w:t xml:space="preserve"> por la norma citada, corresponde admitirla a trámite</w:t>
      </w:r>
      <w:r w:rsidRPr="00013D9C">
        <w:rPr>
          <w:rStyle w:val="Refdenotaalpie"/>
          <w:rFonts w:ascii="Arial Narrow" w:eastAsia="Arial Narrow" w:hAnsi="Arial Narrow" w:cs="Arial Narrow"/>
          <w:color w:val="000000"/>
          <w:kern w:val="0"/>
          <w:vertAlign w:val="superscript"/>
          <w14:ligatures w14:val="none"/>
        </w:rPr>
        <w:footnoteReference w:id="7"/>
      </w:r>
      <w:r w:rsidRPr="00013D9C">
        <w:rPr>
          <w:rFonts w:ascii="Arial Narrow" w:eastAsia="Arial Narrow" w:hAnsi="Arial Narrow" w:cs="Arial"/>
          <w:color w:val="000000"/>
          <w:kern w:val="0"/>
          <w:lang w:eastAsia="es-PE"/>
          <w14:ligatures w14:val="none"/>
        </w:rPr>
        <w:t>.</w:t>
      </w:r>
      <w:bookmarkStart w:id="6" w:name="_Hlk214963071"/>
    </w:p>
    <w:p w14:paraId="234C251E" w14:textId="6580E37C"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w14:ligatures w14:val="none"/>
        </w:rPr>
      </w:pPr>
    </w:p>
    <w:p w14:paraId="1CA3F433" w14:textId="58DC0E6F"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w14:ligatures w14:val="none"/>
        </w:rPr>
      </w:pPr>
    </w:p>
    <w:p w14:paraId="5B820180" w14:textId="77777777" w:rsidR="002C1184" w:rsidRPr="002C1184" w:rsidRDefault="002C1184" w:rsidP="002C1184">
      <w:pPr>
        <w:spacing w:after="0" w:line="240" w:lineRule="auto"/>
        <w:jc w:val="both"/>
        <w:rPr>
          <w:rFonts w:ascii="Arial Narrow" w:eastAsia="Calibri" w:hAnsi="Arial Narrow" w:cs="Arial Narrow"/>
          <w:kern w:val="0"/>
          <w:lang w:eastAsia="es-PE"/>
          <w14:ligatures w14:val="none"/>
        </w:rPr>
      </w:pPr>
    </w:p>
    <w:p w14:paraId="2AB2A0F3" w14:textId="77777777"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lastRenderedPageBreak/>
        <w:t>REQUERIMIENTO DE INFORMACIÓN</w:t>
      </w:r>
    </w:p>
    <w:p w14:paraId="21D54999" w14:textId="77777777" w:rsidR="00CA59A2" w:rsidRPr="00013D9C" w:rsidRDefault="00CA59A2" w:rsidP="00013D9C">
      <w:pPr>
        <w:spacing w:after="0" w:line="240" w:lineRule="auto"/>
        <w:jc w:val="both"/>
        <w:rPr>
          <w:rFonts w:ascii="Arial Narrow" w:eastAsia="Times New Roman" w:hAnsi="Arial Narrow" w:cs="Arial"/>
          <w:color w:val="000000"/>
          <w:kern w:val="0"/>
          <w:lang w:val="es-ES" w:eastAsia="es-ES"/>
          <w14:ligatures w14:val="none"/>
        </w:rPr>
      </w:pPr>
    </w:p>
    <w:p w14:paraId="0E75295C" w14:textId="7AF0ABB3" w:rsidR="00CA59A2" w:rsidRPr="00013D9C" w:rsidRDefault="00CA59A2" w:rsidP="00013D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D0E6E"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FD0E6E" w:rsidRPr="00FD0E6E">
        <w:rPr>
          <w:rFonts w:ascii="Arial Narrow" w:eastAsia="Arial Narrow" w:hAnsi="Arial Narrow"/>
          <w:color w:val="000000"/>
        </w:rPr>
        <w:t>, así como el cargo de remisión de la póliza; (</w:t>
      </w:r>
      <w:proofErr w:type="spellStart"/>
      <w:r w:rsidR="00FD0E6E" w:rsidRPr="00FD0E6E">
        <w:rPr>
          <w:rFonts w:ascii="Arial Narrow" w:eastAsia="Arial Narrow" w:hAnsi="Arial Narrow"/>
          <w:color w:val="000000"/>
        </w:rPr>
        <w:t>ii</w:t>
      </w:r>
      <w:proofErr w:type="spellEnd"/>
      <w:r w:rsidR="00FD0E6E"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FD0E6E" w:rsidRPr="00FD0E6E">
        <w:rPr>
          <w:rFonts w:ascii="Arial Narrow" w:eastAsia="Arial Narrow" w:hAnsi="Arial Narrow"/>
          <w:color w:val="000000"/>
        </w:rPr>
        <w:t>; y, (</w:t>
      </w:r>
      <w:proofErr w:type="spellStart"/>
      <w:r w:rsidR="00FD0E6E" w:rsidRPr="00FD0E6E">
        <w:rPr>
          <w:rFonts w:ascii="Arial Narrow" w:eastAsia="Arial Narrow" w:hAnsi="Arial Narrow"/>
          <w:color w:val="000000"/>
        </w:rPr>
        <w:t>iii</w:t>
      </w:r>
      <w:proofErr w:type="spellEnd"/>
      <w:r w:rsidR="00FD0E6E"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r w:rsidR="003F1972">
        <w:rPr>
          <w:rFonts w:ascii="Arial Narrow" w:eastAsia="Arial Narrow" w:hAnsi="Arial Narrow"/>
          <w:color w:val="000000"/>
        </w:rPr>
        <w:t xml:space="preserve"> </w:t>
      </w:r>
    </w:p>
    <w:bookmarkEnd w:id="6"/>
    <w:p w14:paraId="3FC0596E" w14:textId="77777777" w:rsidR="00CA59A2" w:rsidRPr="00013D9C" w:rsidRDefault="00CA59A2" w:rsidP="00013D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33B4D7" w14:textId="40800098"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RESOLUCIÓN DE LA SECRETARÍA TÉCNICA</w:t>
      </w:r>
      <w:r w:rsidR="00013D9C" w:rsidRPr="00013D9C">
        <w:rPr>
          <w:rFonts w:ascii="Arial Narrow" w:eastAsia="Arial Narrow" w:hAnsi="Arial Narrow" w:cs="Arial Narrow"/>
          <w:b/>
          <w:color w:val="000000"/>
          <w:kern w:val="0"/>
          <w:lang w:eastAsia="es-PE"/>
          <w14:ligatures w14:val="none"/>
        </w:rPr>
        <w:t xml:space="preserve"> </w:t>
      </w:r>
    </w:p>
    <w:p w14:paraId="47AD7AD1" w14:textId="77777777" w:rsidR="00CA59A2" w:rsidRPr="00013D9C" w:rsidRDefault="00CA59A2" w:rsidP="00013D9C">
      <w:pPr>
        <w:spacing w:after="0" w:line="240" w:lineRule="auto"/>
        <w:jc w:val="both"/>
        <w:rPr>
          <w:rFonts w:ascii="Arial Narrow" w:eastAsia="Arial Narrow" w:hAnsi="Arial Narrow" w:cs="Arial Narrow"/>
          <w:b/>
          <w:color w:val="000000"/>
          <w:kern w:val="0"/>
          <w:lang w:eastAsia="es-PE"/>
          <w14:ligatures w14:val="none"/>
        </w:rPr>
      </w:pPr>
    </w:p>
    <w:p w14:paraId="654D6E2E" w14:textId="77777777" w:rsidR="00121544" w:rsidRPr="00013D9C" w:rsidRDefault="00CA59A2" w:rsidP="00013D9C">
      <w:pPr>
        <w:spacing w:after="0" w:line="240" w:lineRule="auto"/>
        <w:jc w:val="both"/>
        <w:rPr>
          <w:rFonts w:ascii="Arial Narrow" w:eastAsia="Calibri" w:hAnsi="Arial Narrow" w:cs="Arial Narrow"/>
          <w:color w:val="000000"/>
          <w:kern w:val="0"/>
          <w:lang w:eastAsia="es-PE"/>
          <w14:ligatures w14:val="none"/>
        </w:rPr>
      </w:pPr>
      <w:r w:rsidRPr="00013D9C">
        <w:rPr>
          <w:rFonts w:ascii="Arial Narrow" w:eastAsia="Arial Narrow" w:hAnsi="Arial Narrow"/>
          <w:b/>
          <w:color w:val="000000"/>
        </w:rPr>
        <w:t xml:space="preserve">PRIMERO: admitir a trámite la denuncia del 18 de junio de 2026 interpuesta por [DENUNCIANTE] contra Rímac Seguros y Reaseguros S.A., por lo siguiente:</w:t>
      </w:r>
      <w:r w:rsidRPr="00013D9C">
        <w:rPr>
          <w:rFonts w:ascii="Arial Narrow" w:eastAsia="Arial Narrow" w:hAnsi="Arial Narrow"/>
          <w:color w:val="000000"/>
        </w:rPr>
        <w:t/>
      </w:r>
    </w:p>
    <w:p w14:paraId="6688B4C6" w14:textId="77777777" w:rsidR="00121544" w:rsidRPr="00013D9C" w:rsidRDefault="00121544" w:rsidP="00013D9C">
      <w:pPr>
        <w:spacing w:after="0" w:line="240" w:lineRule="auto"/>
        <w:jc w:val="both"/>
        <w:rPr>
          <w:rFonts w:ascii="Arial Narrow" w:eastAsia="Calibri" w:hAnsi="Arial Narrow" w:cs="Arial Narrow"/>
          <w:color w:val="000000"/>
          <w:kern w:val="0"/>
          <w:lang w:eastAsia="es-PE"/>
          <w14:ligatures w14:val="none"/>
        </w:rPr>
      </w:pPr>
    </w:p>
    <w:p w14:paraId="258BF682" w14:textId="6D876FE0" w:rsidR="00121544" w:rsidRPr="00013D9C" w:rsidRDefault="00711750" w:rsidP="00013D9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9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CC4978" w:rsidRP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denegado </w:t>
      </w:r>
      <w:r w:rsidR="004C4221">
        <w:rPr>
          <w:rFonts w:ascii="Arial Narrow" w:eastAsia="Times New Roman" w:hAnsi="Arial Narrow" w:cs="Times New Roman"/>
          <w:color w:val="000000"/>
          <w:kern w:val="0"/>
          <w:shd w:val="clear" w:color="auto" w:fill="FFFFFF"/>
          <w:lang w:eastAsia="es-PE"/>
          <w14:ligatures w14:val="none"/>
        </w:rPr>
        <w:t xml:space="preserve">de manera injustificada </w:t>
      </w:r>
      <w:r w:rsidRPr="00013D9C">
        <w:rPr>
          <w:rFonts w:ascii="Arial Narrow" w:eastAsia="Arial Narrow" w:hAnsi="Arial Narrow"/>
          <w:color w:val="000000"/>
        </w:rPr>
        <w:t>la cobertura</w:t>
      </w:r>
      <w:r w:rsidR="00CC4978" w:rsidRPr="00CC4978">
        <w:t xml:space="preserve"> </w:t>
      </w:r>
      <w:r w:rsidR="00CC4978">
        <w:rPr>
          <w:rFonts w:ascii="Arial Narrow" w:eastAsia="Arial Narrow" w:hAnsi="Arial Narrow"/>
          <w:color w:val="000000"/>
        </w:rPr>
        <w:t>de</w:t>
      </w:r>
      <w:r w:rsidR="00CC4978" w:rsidRPr="00CC4978">
        <w:rPr>
          <w:rFonts w:ascii="Arial Narrow" w:eastAsia="Arial Narrow" w:hAnsi="Arial Narrow"/>
          <w:color w:val="000000"/>
        </w:rPr>
        <w:t xml:space="preserve"> la póliza 1314-500304</w:t>
      </w:r>
      <w:r w:rsidRPr="00013D9C">
        <w:rPr>
          <w:rFonts w:ascii="Arial Narrow" w:eastAsia="Arial Narrow" w:hAnsi="Arial Narrow"/>
          <w:color w:val="000000"/>
        </w:rPr>
        <w:t xml:space="preserve"> </w:t>
      </w:r>
      <w:r w:rsidR="00CC4978">
        <w:rPr>
          <w:rFonts w:ascii="Arial Narrow" w:eastAsia="Arial Narrow" w:hAnsi="Arial Narrow"/>
          <w:color w:val="000000"/>
        </w:rPr>
        <w:t>por el</w:t>
      </w:r>
      <w:r w:rsidRPr="00013D9C">
        <w:rPr>
          <w:rFonts w:ascii="Arial Narrow" w:eastAsia="Arial Narrow" w:hAnsi="Arial Narrow"/>
          <w:color w:val="000000"/>
        </w:rPr>
        <w:t xml:space="preserve"> siniestro </w:t>
      </w:r>
      <w:r w:rsidR="00CC4978">
        <w:rPr>
          <w:rFonts w:ascii="Arial Narrow" w:eastAsia="Arial Narrow" w:hAnsi="Arial Narrow"/>
          <w:color w:val="000000"/>
        </w:rPr>
        <w:t>d</w:t>
      </w:r>
      <w:r w:rsidRPr="00013D9C">
        <w:rPr>
          <w:rFonts w:ascii="Arial Narrow" w:eastAsia="Arial Narrow" w:hAnsi="Arial Narrow"/>
          <w:color w:val="000000"/>
        </w:rPr>
        <w:t>el 23 de setiembre de 2025.</w:t>
      </w:r>
      <w:r w:rsidR="00CC4978">
        <w:rPr>
          <w:rFonts w:ascii="Arial Narrow" w:eastAsia="Arial Narrow" w:hAnsi="Arial Narrow"/>
          <w:color w:val="000000"/>
        </w:rPr>
        <w:t xml:space="preserve"> </w:t>
      </w:r>
    </w:p>
    <w:p w14:paraId="057CA642" w14:textId="77777777" w:rsidR="008A0E3B" w:rsidRPr="00013D9C" w:rsidRDefault="008A0E3B" w:rsidP="00013D9C">
      <w:pPr>
        <w:spacing w:after="0" w:line="240" w:lineRule="auto"/>
        <w:jc w:val="both"/>
        <w:rPr>
          <w:rFonts w:ascii="Arial Narrow" w:hAnsi="Arial Narrow"/>
        </w:rPr>
      </w:pPr>
    </w:p>
    <w:p w14:paraId="1A02DAF7" w14:textId="3829ABE1" w:rsidR="00121544" w:rsidRPr="00C01911" w:rsidRDefault="00711750" w:rsidP="00C019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9C">
        <w:rPr>
          <w:rFonts w:ascii="Arial Narrow" w:eastAsia="Arial Narrow" w:hAnsi="Arial Narrow"/>
          <w:color w:val="000000"/>
        </w:rPr>
        <w:t xml:space="preserve">Presunta infracción al deber de idoneidad y a las disposiciones sobre Libro de Reclamaciones, tipificada en </w:t>
      </w:r>
      <w:r w:rsidR="0095551C">
        <w:rPr>
          <w:rFonts w:ascii="Arial Narrow" w:eastAsia="Arial Narrow" w:hAnsi="Arial Narrow"/>
          <w:color w:val="000000"/>
        </w:rPr>
        <w:t>el</w:t>
      </w:r>
      <w:r w:rsidRPr="00013D9C">
        <w:rPr>
          <w:rFonts w:ascii="Arial Narrow" w:eastAsia="Arial Narrow" w:hAnsi="Arial Narrow"/>
          <w:color w:val="000000"/>
        </w:rPr>
        <w:t xml:space="preserve"> </w:t>
      </w:r>
      <w:r w:rsidR="0095551C">
        <w:rPr>
          <w:rFonts w:ascii="Arial Narrow" w:eastAsia="Arial Narrow" w:hAnsi="Arial Narrow"/>
          <w:color w:val="000000"/>
        </w:rPr>
        <w:t xml:space="preserve">artículo </w:t>
      </w:r>
      <w:r w:rsidRPr="00013D9C">
        <w:rPr>
          <w:rFonts w:ascii="Arial Narrow" w:eastAsia="Arial Narrow" w:hAnsi="Arial Narrow"/>
          <w:color w:val="000000"/>
        </w:rPr>
        <w:t xml:space="preserve">150 de la Ley 29571, Código de Protección y Defensa del Consumidor, en tanto </w:t>
      </w:r>
      <w:r w:rsid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condicionado el registro de reclamos en su </w:t>
      </w:r>
      <w:r w:rsidR="00B53FE3" w:rsidRPr="00B53FE3">
        <w:rPr>
          <w:rFonts w:ascii="Arial Narrow" w:eastAsia="Arial Narrow" w:hAnsi="Arial Narrow"/>
          <w:color w:val="000000"/>
        </w:rPr>
        <w:t xml:space="preserve">Libro de Reclamaciones Virtual </w:t>
      </w:r>
      <w:r w:rsidR="00C01911" w:rsidRPr="00C01911">
        <w:rPr>
          <w:rFonts w:ascii="Arial Narrow" w:eastAsia="Arial Narrow" w:hAnsi="Arial Narrow"/>
          <w:color w:val="000000"/>
        </w:rPr>
        <w:t>la aceptación obligatoria de su política de privacidad</w:t>
      </w:r>
      <w:r w:rsidR="00C01911" w:rsidRPr="00B53FE3">
        <w:rPr>
          <w:rFonts w:ascii="Arial Narrow" w:eastAsia="Arial Narrow" w:hAnsi="Arial Narrow"/>
          <w:color w:val="000000"/>
        </w:rPr>
        <w:t xml:space="preserve"> </w:t>
      </w:r>
      <w:r w:rsidR="00B53FE3" w:rsidRPr="00B53FE3">
        <w:rPr>
          <w:rFonts w:ascii="Arial Narrow" w:eastAsia="Arial Narrow" w:hAnsi="Arial Narrow"/>
          <w:color w:val="000000"/>
        </w:rPr>
        <w:t xml:space="preserve">en </w:t>
      </w:r>
      <w:r w:rsidR="00C01911">
        <w:rPr>
          <w:rFonts w:ascii="Arial Narrow" w:eastAsia="Arial Narrow" w:hAnsi="Arial Narrow"/>
          <w:color w:val="000000"/>
        </w:rPr>
        <w:t>la</w:t>
      </w:r>
      <w:r w:rsidR="00B53FE3" w:rsidRPr="00B53FE3">
        <w:rPr>
          <w:rFonts w:ascii="Arial Narrow" w:eastAsia="Arial Narrow" w:hAnsi="Arial Narrow"/>
          <w:color w:val="000000"/>
        </w:rPr>
        <w:t xml:space="preserve"> página web https://www.rimac.com/</w:t>
      </w:r>
      <w:r w:rsidRPr="00C01911">
        <w:rPr>
          <w:rFonts w:ascii="Arial Narrow" w:eastAsia="Arial Narrow" w:hAnsi="Arial Narrow"/>
          <w:color w:val="000000"/>
        </w:rPr>
        <w:t>.</w:t>
      </w:r>
    </w:p>
    <w:p w14:paraId="7A96F6EA" w14:textId="77777777" w:rsidR="008A0E3B" w:rsidRPr="00013D9C" w:rsidRDefault="008A0E3B" w:rsidP="00013D9C">
      <w:pPr>
        <w:spacing w:after="0" w:line="240" w:lineRule="auto"/>
        <w:jc w:val="both"/>
        <w:rPr>
          <w:rFonts w:ascii="Arial Narrow" w:hAnsi="Arial Narrow"/>
        </w:rPr>
      </w:pPr>
    </w:p>
    <w:p w14:paraId="0C8B7043" w14:textId="77777777" w:rsidR="00CA59A2" w:rsidRPr="00013D9C" w:rsidRDefault="00CA59A2" w:rsidP="00013D9C">
      <w:pPr>
        <w:spacing w:after="0" w:line="240" w:lineRule="auto"/>
        <w:contextualSpacing/>
        <w:jc w:val="both"/>
        <w:rPr>
          <w:rFonts w:ascii="Arial Narrow" w:eastAsia="Calibri" w:hAnsi="Arial Narrow" w:cs="Arial"/>
          <w:kern w:val="0"/>
          <w14:ligatures w14:val="none"/>
        </w:rPr>
      </w:pPr>
      <w:r w:rsidRPr="00013D9C">
        <w:rPr>
          <w:rFonts w:ascii="Arial Narrow" w:eastAsia="Arial Narrow" w:hAnsi="Arial Narrow"/>
          <w:b/>
          <w:color w:val="000000"/>
        </w:rPr>
        <w:t xml:space="preserve">SEGUNDO: </w:t>
      </w:r>
      <w:r w:rsidRPr="00013D9C">
        <w:rPr>
          <w:rFonts w:ascii="Arial Narrow" w:eastAsia="Arial Narrow" w:hAnsi="Arial Narrow"/>
          <w:color w:val="000000"/>
        </w:rPr>
        <w:t>tener por ofrecidos los medios probatorios presentados en el escrito de denuncia del 18 de junio de 2026.</w:t>
      </w:r>
    </w:p>
    <w:p w14:paraId="5C5E7A8D" w14:textId="77777777" w:rsidR="00CA59A2" w:rsidRPr="00013D9C" w:rsidRDefault="00CA59A2" w:rsidP="00013D9C">
      <w:pPr>
        <w:spacing w:after="0" w:line="240" w:lineRule="auto"/>
        <w:contextualSpacing/>
        <w:jc w:val="both"/>
        <w:rPr>
          <w:rFonts w:ascii="Arial Narrow" w:eastAsia="Times New Roman" w:hAnsi="Arial Narrow" w:cs="Times New Roman"/>
          <w:color w:val="000000"/>
          <w:kern w:val="0"/>
          <w:lang w:eastAsia="es-PE"/>
          <w14:ligatures w14:val="none"/>
        </w:rPr>
      </w:pPr>
    </w:p>
    <w:p w14:paraId="2F90669D"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b/>
          <w:color w:val="000000"/>
        </w:rPr>
        <w:t xml:space="preserve">TERCERO: </w:t>
      </w:r>
      <w:r w:rsidRPr="00013D9C">
        <w:rPr>
          <w:rFonts w:ascii="Arial Narrow" w:eastAsia="Arial Narrow" w:hAnsi="Arial Narrow"/>
          <w:color w:val="000000"/>
        </w:rPr>
        <w:t>requerir a Rímac Seguros y Reaseguros S.A. que cumpla con lo siguiente:</w:t>
      </w:r>
    </w:p>
    <w:p w14:paraId="51BD6462" w14: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w14:ligatures w14:val="none"/>
        </w:rPr>
      </w:pPr>
    </w:p>
    <w:p w14:paraId="69C0EB26"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90A120F"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638998"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consignar el Número de Registro Único de Contribuyentes (RUC); y,</w:t>
      </w:r>
    </w:p>
    <w:p w14:paraId="3FA22BEA" w14: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w14:ligatures w14:val="none"/>
        </w:rPr>
      </w:pPr>
      <w:r w:rsidRPr="00013D9C">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13D9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13D9C">
        <w:rPr>
          <w:rFonts w:ascii="Arial Narrow" w:eastAsia="Arial Narrow" w:hAnsi="Arial Narrow" w:cs="Arial"/>
          <w:color w:val="000000"/>
          <w:kern w:val="0"/>
          <w:lang w:val="es"/>
          <w14:ligatures w14:val="none"/>
        </w:rPr>
        <w:t>;</w:t>
      </w:r>
    </w:p>
    <w:p w14:paraId="4B7B837B" w14: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w14:ligatures w14:val="none"/>
        </w:rPr>
      </w:pPr>
      <w:r w:rsidRPr="00013D9C">
        <w:rPr>
          <w:rFonts w:ascii="Arial Narrow" w:eastAsia="Arial Narrow" w:hAnsi="Arial Narrow" w:cs="Arial"/>
          <w:color w:val="000000"/>
          <w:kern w:val="0"/>
          <w14:ligatures w14:val="none"/>
        </w:rPr>
        <w:t xml:space="preserve">en caso califique como </w:t>
      </w:r>
      <w:proofErr w:type="gramStart"/>
      <w:r w:rsidRPr="00013D9C">
        <w:rPr>
          <w:rFonts w:ascii="Arial Narrow" w:eastAsia="Arial Narrow" w:hAnsi="Arial Narrow" w:cs="Arial"/>
          <w:color w:val="000000"/>
          <w:kern w:val="0"/>
          <w14:ligatures w14:val="none"/>
        </w:rPr>
        <w:t>micro empresa</w:t>
      </w:r>
      <w:proofErr w:type="gramEnd"/>
      <w:r w:rsidRPr="00013D9C">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w:t>
      </w:r>
      <w:r w:rsidRPr="00013D9C">
        <w:rPr>
          <w:rFonts w:ascii="Arial Narrow" w:eastAsia="Arial Narrow" w:hAnsi="Arial Narrow" w:cs="Arial"/>
          <w:color w:val="000000"/>
          <w:kern w:val="0"/>
          <w14:ligatures w14:val="none"/>
        </w:rPr>
        <w:lastRenderedPageBreak/>
        <w:t>económicas y el número de trabajadores con el que cuenta</w:t>
      </w:r>
      <w:r w:rsidRPr="00013D9C">
        <w:rPr>
          <w:rStyle w:val="Refdenotaalpie"/>
          <w:rFonts w:ascii="Arial Narrow" w:eastAsia="Arial Narrow" w:hAnsi="Arial Narrow" w:cs="Arial"/>
          <w:color w:val="000000"/>
          <w:kern w:val="0"/>
          <w:vertAlign w:val="superscript"/>
          <w14:ligatures w14:val="none"/>
        </w:rPr>
        <w:footnoteReference w:id="8"/>
      </w:r>
      <w:r w:rsidRPr="00013D9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13D9C">
        <w:rPr>
          <w:rFonts w:ascii="Arial Narrow" w:eastAsia="Arial Narrow" w:hAnsi="Arial Narrow" w:cs="Arial"/>
          <w:color w:val="000000"/>
          <w:spacing w:val="-2"/>
          <w:kern w:val="0"/>
          <w14:ligatures w14:val="none"/>
        </w:rPr>
        <w:t>Código</w:t>
      </w:r>
      <w:r w:rsidRPr="00013D9C">
        <w:rPr>
          <w:rStyle w:val="Refdenotaalpie"/>
          <w:rFonts w:ascii="Arial Narrow" w:eastAsia="Arial Narrow" w:hAnsi="Arial Narrow" w:cs="Arial"/>
          <w:color w:val="000000"/>
          <w:spacing w:val="-2"/>
          <w:kern w:val="0"/>
          <w:vertAlign w:val="superscript"/>
          <w14:ligatures w14:val="none"/>
        </w:rPr>
        <w:footnoteReference w:id="9"/>
      </w:r>
      <w:r w:rsidRPr="00013D9C">
        <w:rPr>
          <w:rFonts w:ascii="Arial Narrow" w:eastAsia="Arial Narrow" w:hAnsi="Arial Narrow" w:cs="Arial"/>
          <w:color w:val="000000"/>
          <w:spacing w:val="-2"/>
          <w:kern w:val="0"/>
          <w14:ligatures w14:val="none"/>
        </w:rPr>
        <w:t>.</w:t>
      </w:r>
    </w:p>
    <w:p w14:paraId="5C6FDD80" w14:textId="77777777" w:rsidR="00CA59A2" w:rsidRPr="00013D9C" w:rsidRDefault="00CA59A2" w:rsidP="00013D9C">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00013D9C" w:rsidRPr="00013D9C">
        <w:rPr>
          <w:rStyle w:val="Refdenotaalpie"/>
          <w:rFonts w:ascii="Arial Narrow" w:eastAsia="Arial Narrow" w:hAnsi="Arial Narrow"/>
          <w:color w:val="000000"/>
          <w:vertAlign w:val="superscript"/>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13D9C" w:rsidRPr="00013D9C">
        <w:rPr>
          <w:rStyle w:val="Refdenotaalpie"/>
          <w:rFonts w:ascii="Arial Narrow" w:eastAsia="Arial Narrow" w:hAnsi="Arial Narrow"/>
          <w:color w:val="000000"/>
          <w:vertAlign w:val="superscript"/>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433DD009"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p>
    <w:p w14:paraId="3562D3BE" w14:textId="5D115525" w:rsidR="00CA59A2" w:rsidRPr="00013D9C" w:rsidRDefault="00CA59A2" w:rsidP="00013D9C">
      <w:pPr>
        <w:spacing w:after="0" w:line="240" w:lineRule="auto"/>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b/>
          <w:color w:val="000000"/>
        </w:rPr>
        <w:t xml:space="preserve">QUINTO: </w:t>
      </w: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3F1972"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3F1972" w:rsidRPr="00FD0E6E">
        <w:rPr>
          <w:rFonts w:ascii="Arial Narrow" w:eastAsia="Arial Narrow" w:hAnsi="Arial Narrow"/>
          <w:color w:val="000000"/>
        </w:rPr>
        <w:t>, así como el cargo de remisión de la póliza; (</w:t>
      </w:r>
      <w:proofErr w:type="spellStart"/>
      <w:r w:rsidR="003F1972" w:rsidRPr="00FD0E6E">
        <w:rPr>
          <w:rFonts w:ascii="Arial Narrow" w:eastAsia="Arial Narrow" w:hAnsi="Arial Narrow"/>
          <w:color w:val="000000"/>
        </w:rPr>
        <w:t>ii</w:t>
      </w:r>
      <w:proofErr w:type="spellEnd"/>
      <w:r w:rsidR="003F1972"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3F1972" w:rsidRPr="00FD0E6E">
        <w:rPr>
          <w:rFonts w:ascii="Arial Narrow" w:eastAsia="Arial Narrow" w:hAnsi="Arial Narrow"/>
          <w:color w:val="000000"/>
        </w:rPr>
        <w:t>; y, (</w:t>
      </w:r>
      <w:proofErr w:type="spellStart"/>
      <w:r w:rsidR="003F1972" w:rsidRPr="00FD0E6E">
        <w:rPr>
          <w:rFonts w:ascii="Arial Narrow" w:eastAsia="Arial Narrow" w:hAnsi="Arial Narrow"/>
          <w:color w:val="000000"/>
        </w:rPr>
        <w:t>iii</w:t>
      </w:r>
      <w:proofErr w:type="spellEnd"/>
      <w:r w:rsidR="003F1972"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p>
    <w:p w14:paraId="2B61FE23" w14:textId="77777777" w:rsidR="00CA59A2" w:rsidRPr="00013D9C" w:rsidRDefault="00CA59A2" w:rsidP="00013D9C">
      <w:pPr>
        <w:spacing w:after="0" w:line="240" w:lineRule="auto"/>
        <w:jc w:val="both"/>
        <w:rPr>
          <w:rFonts w:ascii="Arial Narrow" w:eastAsia="Arial Narrow" w:hAnsi="Arial Narrow" w:cs="Arial Narrow"/>
          <w:b/>
          <w:color w:val="000000"/>
          <w:kern w:val="0"/>
          <w:lang w:val="es-ES" w:eastAsia="es-PE"/>
          <w14:ligatures w14:val="none"/>
        </w:rPr>
      </w:pPr>
    </w:p>
    <w:p w14:paraId="05CA782A" w14:textId="707E75D3" w:rsidR="00CA59A2"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b/>
          <w:color w:val="000000"/>
          <w:kern w:val="0"/>
          <w:lang w:eastAsia="es-PE"/>
          <w14:ligatures w14:val="none"/>
        </w:rPr>
        <w:t>SEXTO:</w:t>
      </w:r>
      <w:r w:rsidRPr="00013D9C">
        <w:rPr>
          <w:rFonts w:ascii="Arial Narrow" w:eastAsia="Arial Narrow" w:hAnsi="Arial Narrow" w:cs="Arial Narrow"/>
          <w:color w:val="000000"/>
          <w:kern w:val="0"/>
          <w:lang w:eastAsia="es-PE"/>
          <w14:ligatures w14:val="none"/>
        </w:rPr>
        <w:t xml:space="preserve"> </w:t>
      </w:r>
      <w:bookmarkStart w:id="7" w:name="_Hlk188286915"/>
      <w:r w:rsidRPr="00013D9C">
        <w:rPr>
          <w:rFonts w:ascii="Arial Narrow" w:eastAsia="Arial Narrow" w:hAnsi="Arial Narrow" w:cs="Arial Narrow"/>
          <w:color w:val="000000"/>
          <w:kern w:val="0"/>
          <w:lang w:eastAsia="es-PE"/>
          <w14:ligatures w14:val="none"/>
        </w:rPr>
        <w:t xml:space="preserve">informar a las partes que el artículo 110 de la Ley </w:t>
      </w:r>
      <w:r w:rsidR="003A71B1" w:rsidRPr="00013D9C">
        <w:rPr>
          <w:rFonts w:ascii="Arial Narrow" w:eastAsia="Arial Narrow" w:hAnsi="Arial Narrow" w:cs="Times New Roman"/>
          <w:color w:val="000000"/>
          <w:kern w:val="0"/>
          <w:lang w:eastAsia="es-PE"/>
          <w14:ligatures w14:val="none"/>
        </w:rPr>
        <w:t>29571</w:t>
      </w:r>
      <w:r w:rsidRPr="00013D9C">
        <w:rPr>
          <w:rFonts w:ascii="Arial Narrow" w:eastAsia="Arial Narrow" w:hAnsi="Arial Narrow" w:cs="Arial Narrow"/>
          <w:color w:val="000000"/>
          <w:kern w:val="0"/>
          <w:lang w:eastAsia="es-PE"/>
          <w14:ligatures w14:val="none"/>
        </w:rPr>
        <w:t>, Código de Protección y Defensa del Consumidor</w:t>
      </w:r>
      <w:r w:rsidRPr="00013D9C">
        <w:rPr>
          <w:rStyle w:val="Refdenotaalpie"/>
          <w:rFonts w:ascii="Arial Narrow" w:eastAsia="Arial Narrow" w:hAnsi="Arial Narrow" w:cs="Times New Roman"/>
          <w:color w:val="000000"/>
          <w:kern w:val="0"/>
          <w:vertAlign w:val="superscript"/>
          <w:lang w:eastAsia="es-PE"/>
          <w14:ligatures w14:val="none"/>
        </w:rPr>
        <w:footnoteReference w:id="10"/>
      </w:r>
      <w:r w:rsidRPr="00013D9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13D9C">
        <w:rPr>
          <w:rStyle w:val="Refdenotaalpie"/>
          <w:rFonts w:ascii="Arial Narrow" w:eastAsia="Arial Narrow" w:hAnsi="Arial Narrow" w:cs="Times New Roman"/>
          <w:color w:val="000000"/>
          <w:kern w:val="0"/>
          <w:vertAlign w:val="superscript"/>
          <w:lang w:eastAsia="es-PE"/>
          <w14:ligatures w14:val="none"/>
        </w:rPr>
        <w:footnoteReference w:id="11"/>
      </w:r>
      <w:r w:rsidRPr="00013D9C">
        <w:rPr>
          <w:rFonts w:ascii="Arial Narrow" w:eastAsia="Arial Narrow" w:hAnsi="Arial Narrow" w:cs="Arial Narrow"/>
          <w:color w:val="000000"/>
          <w:kern w:val="0"/>
          <w:lang w:eastAsia="es-PE"/>
          <w14:ligatures w14:val="none"/>
        </w:rPr>
        <w:t xml:space="preserve">. </w:t>
      </w:r>
      <w:bookmarkEnd w:id="7"/>
      <w:r w:rsidRPr="00013D9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13D9C">
        <w:rPr>
          <w:rStyle w:val="Refdenotaalpie"/>
          <w:rFonts w:ascii="Arial Narrow" w:eastAsia="Arial Narrow" w:hAnsi="Arial Narrow" w:cs="Times New Roman"/>
          <w:color w:val="000000"/>
          <w:kern w:val="0"/>
          <w:vertAlign w:val="superscript"/>
          <w:lang w:eastAsia="es-PE"/>
          <w14:ligatures w14:val="none"/>
        </w:rPr>
        <w:footnoteReference w:id="12"/>
      </w:r>
      <w:r w:rsidRPr="00013D9C">
        <w:rPr>
          <w:rFonts w:ascii="Arial Narrow" w:eastAsia="Arial Narrow" w:hAnsi="Arial Narrow" w:cs="Arial Narrow"/>
          <w:color w:val="000000"/>
          <w:kern w:val="0"/>
          <w:lang w:eastAsia="es-PE"/>
          <w14:ligatures w14:val="none"/>
        </w:rPr>
        <w:t>.</w:t>
      </w:r>
    </w:p>
    <w:p w14:paraId="3E7B233A" w14:textId="77777777" w:rsidR="00706DF2" w:rsidRPr="00C01911" w:rsidRDefault="00706DF2" w:rsidP="00013D9C">
      <w:pPr>
        <w:spacing w:after="0" w:line="240" w:lineRule="auto"/>
        <w:jc w:val="both"/>
        <w:rPr>
          <w:rFonts w:ascii="Arial Narrow" w:eastAsia="Arial Narrow" w:hAnsi="Arial Narrow" w:cs="Arial Narrow"/>
          <w:color w:val="000000"/>
          <w:kern w:val="0"/>
          <w:lang w:eastAsia="es-PE"/>
          <w14:ligatures w14:val="none"/>
        </w:rPr>
      </w:pPr>
    </w:p>
    <w:p w14:paraId="4370A079"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b/>
          <w:color w:val="000000"/>
          <w:kern w:val="0"/>
          <w:lang w:eastAsia="es-PE"/>
          <w14:ligatures w14:val="none"/>
        </w:rPr>
        <w:t>SÉTIMO:</w:t>
      </w:r>
      <w:r w:rsidRPr="00013D9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2C92B28"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p>
    <w:p w14:paraId="0A897846" w14:textId="67241A13" w:rsidR="00CA59A2" w:rsidRPr="00013D9C" w:rsidRDefault="00CA59A2" w:rsidP="00013D9C">
      <w:pPr>
        <w:suppressAutoHyphens/>
        <w:spacing w:after="0" w:line="240" w:lineRule="auto"/>
        <w:jc w:val="both"/>
        <w:rPr>
          <w:rFonts w:ascii="Arial Narrow" w:eastAsia="Calibri" w:hAnsi="Arial Narrow" w:cs="Arial"/>
          <w:kern w:val="0"/>
          <w:u w:val="single"/>
          <w14:ligatures w14:val="none"/>
        </w:rPr>
      </w:pPr>
      <w:r w:rsidRPr="00013D9C">
        <w:rPr>
          <w:rFonts w:ascii="Arial Narrow" w:eastAsia="Arial Narrow" w:hAnsi="Arial Narrow" w:cs="Arial"/>
          <w:b/>
          <w:bCs/>
          <w:color w:val="000000"/>
          <w:kern w:val="0"/>
          <w14:ligatures w14:val="none"/>
        </w:rPr>
        <w:lastRenderedPageBreak/>
        <w:t>OCTAVO</w:t>
      </w:r>
      <w:r w:rsidRPr="00013D9C">
        <w:rPr>
          <w:rFonts w:ascii="Arial Narrow" w:eastAsia="Arial Narrow" w:hAnsi="Arial Narrow" w:cs="Arial"/>
          <w:b/>
          <w:color w:val="000000"/>
          <w:kern w:val="0"/>
          <w14:ligatures w14:val="none"/>
        </w:rPr>
        <w:t>:</w:t>
      </w:r>
      <w:r w:rsidRPr="00013D9C">
        <w:rPr>
          <w:rFonts w:ascii="Arial Narrow" w:eastAsia="Arial Narrow" w:hAnsi="Arial Narrow" w:cs="Arial"/>
          <w:color w:val="000000"/>
          <w:kern w:val="0"/>
          <w14:ligatures w14:val="none"/>
        </w:rPr>
        <w:t xml:space="preserve"> comunicar a las partes que, </w:t>
      </w:r>
      <w:proofErr w:type="gramStart"/>
      <w:r w:rsidRPr="00013D9C">
        <w:rPr>
          <w:rFonts w:ascii="Arial Narrow" w:eastAsia="Arial Narrow" w:hAnsi="Arial Narrow" w:cs="Arial"/>
          <w:color w:val="000000"/>
          <w:kern w:val="0"/>
          <w14:ligatures w14:val="none"/>
        </w:rPr>
        <w:t>de acuerdo a</w:t>
      </w:r>
      <w:proofErr w:type="gramEnd"/>
      <w:r w:rsidRPr="00013D9C">
        <w:rPr>
          <w:rFonts w:ascii="Arial Narrow" w:eastAsia="Arial Narrow" w:hAnsi="Arial Narrow" w:cs="Arial"/>
          <w:color w:val="000000"/>
          <w:kern w:val="0"/>
          <w14:ligatures w14:val="none"/>
        </w:rPr>
        <w:t xml:space="preserve"> lo señalado por el artículo 29 del Decreto Legislativo</w:t>
      </w:r>
      <w:r w:rsidR="00013D9C" w:rsidRPr="00013D9C">
        <w:rPr>
          <w:rFonts w:ascii="Arial Narrow" w:eastAsia="Arial Narrow" w:hAnsi="Arial Narrow" w:cs="Arial"/>
          <w:color w:val="000000"/>
          <w:kern w:val="0"/>
          <w14:ligatures w14:val="none"/>
        </w:rPr>
        <w:t xml:space="preserve"> </w:t>
      </w:r>
      <w:r w:rsidRPr="00013D9C">
        <w:rPr>
          <w:rFonts w:ascii="Arial Narrow" w:eastAsia="Arial Narrow" w:hAnsi="Arial Narrow" w:cs="Arial"/>
          <w:color w:val="000000"/>
          <w:kern w:val="0"/>
          <w14:ligatures w14:val="none"/>
        </w:rPr>
        <w:t>807</w:t>
      </w:r>
      <w:r w:rsidRPr="00013D9C">
        <w:rPr>
          <w:rStyle w:val="Refdenotaalpie"/>
          <w:rFonts w:ascii="Arial Narrow" w:eastAsia="Arial Narrow" w:hAnsi="Arial Narrow" w:cs="Arial"/>
          <w:color w:val="000000"/>
          <w:kern w:val="0"/>
          <w:vertAlign w:val="superscript"/>
          <w14:ligatures w14:val="none"/>
        </w:rPr>
        <w:footnoteReference w:id="13"/>
      </w:r>
      <w:r w:rsidRPr="00013D9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13D9C">
        <w:rPr>
          <w:rFonts w:ascii="Arial Narrow" w:eastAsia="Arial Narrow" w:hAnsi="Arial Narrow" w:cs="Arial"/>
          <w:color w:val="000000"/>
          <w:kern w:val="0"/>
          <w:u w:val="single"/>
          <w14:ligatures w14:val="none"/>
        </w:rPr>
        <w:t>expresamente su facultad para asistir y conciliar en su representación</w:t>
      </w:r>
      <w:r w:rsidRPr="00013D9C">
        <w:rPr>
          <w:rFonts w:ascii="Arial Narrow" w:eastAsia="Arial Narrow" w:hAnsi="Arial Narrow" w:cs="Arial"/>
          <w:bCs/>
          <w:color w:val="000000"/>
          <w:kern w:val="0"/>
          <w14:ligatures w14:val="none"/>
        </w:rPr>
        <w:t>.</w:t>
      </w:r>
      <w:r w:rsidRPr="00013D9C">
        <w:rPr>
          <w:rFonts w:ascii="Arial Narrow" w:eastAsia="Arial Narrow" w:hAnsi="Arial Narrow" w:cs="Arial"/>
          <w:b/>
          <w:bCs/>
          <w:color w:val="000000"/>
          <w:kern w:val="0"/>
          <w14:ligatures w14:val="none"/>
        </w:rPr>
        <w:t xml:space="preserve"> </w:t>
      </w:r>
      <w:r w:rsidRPr="00013D9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6D7C7A1" w14:textId="77777777" w:rsidR="00CA59A2" w:rsidRPr="00013D9C" w:rsidRDefault="00CA59A2" w:rsidP="00013D9C">
      <w:pPr>
        <w:suppressAutoHyphens/>
        <w:spacing w:after="0" w:line="240" w:lineRule="auto"/>
        <w:jc w:val="both"/>
        <w:rPr>
          <w:rFonts w:ascii="Arial Narrow" w:eastAsia="Calibri" w:hAnsi="Arial Narrow" w:cs="Arial"/>
          <w:kern w:val="0"/>
          <w:u w:val="single"/>
          <w14:ligatures w14:val="none"/>
        </w:rPr>
      </w:pPr>
    </w:p>
    <w:p w14:paraId="2F126027" w14: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cs="Times New Roman"/>
          <w:b/>
          <w:color w:val="000000"/>
          <w:kern w:val="0"/>
          <w:lang w:eastAsia="es-PE"/>
          <w14:ligatures w14:val="none"/>
        </w:rPr>
        <w:t>NOVENO:</w:t>
      </w:r>
      <w:r w:rsidRPr="00013D9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EFF8AE3" w14: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w14:ligatures w14:val="none"/>
        </w:rPr>
      </w:pPr>
    </w:p>
    <w:p w14:paraId="138ADCC9" w14:textId="692515E6" w:rsidR="008A0E3B" w:rsidRDefault="00CA59A2" w:rsidP="00C01911">
      <w:pPr>
        <w:suppressAutoHyphens/>
        <w:spacing w:after="0" w:line="240" w:lineRule="auto"/>
        <w:jc w:val="both"/>
        <w:rPr>
          <w:rFonts w:ascii="Arial Narrow" w:eastAsia="Arial Narrow" w:hAnsi="Arial Narrow"/>
          <w:color w:val="000000"/>
        </w:rPr>
      </w:pPr>
      <w:r w:rsidRPr="00013D9C">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13D9C">
        <w:rPr>
          <w:rFonts w:ascii="Arial Narrow" w:eastAsia="Arial Narrow" w:hAnsi="Arial Narrow"/>
          <w:color w:val="000000"/>
        </w:rPr>
        <w:t xml:space="preserve"/>
      </w:r>
      <w:r w:rsidR="00FD0E6E" w:rsidRPr="00013D9C">
        <w:rPr>
          <w:rFonts w:ascii="Arial Narrow" w:eastAsia="Arial Narrow" w:hAnsi="Arial Narrow"/>
          <w:color w:val="000000"/>
        </w:rPr>
        <w:t xml:space="preserve"/>
      </w:r>
      <w:r w:rsidRPr="00013D9C">
        <w:rPr>
          <w:rFonts w:ascii="Arial Narrow" w:eastAsia="Arial Narrow" w:hAnsi="Arial Narrow"/>
          <w:color w:val="000000"/>
        </w:rPr>
        <w:t xml:space="preserve"/>
      </w:r>
      <w:r w:rsidR="00FD0E6E" w:rsidRPr="00013D9C">
        <w:rPr>
          <w:rFonts w:ascii="Arial Narrow" w:eastAsia="Arial Narrow" w:hAnsi="Arial Narrow"/>
          <w:color w:val="000000"/>
        </w:rPr>
        <w:t xml:space="preserve"/>
      </w:r>
      <w:r w:rsidRPr="00013D9C">
        <w:rPr>
          <w:rFonts w:ascii="Arial Narrow" w:eastAsia="Arial Narrow" w:hAnsi="Arial Narrow"/>
          <w:color w:val="000000"/>
        </w:rPr>
        <w:t/>
      </w:r>
      <w:r w:rsidR="00013D9C" w:rsidRPr="00013D9C">
        <w:rPr>
          <w:rStyle w:val="Refdenotaalpie"/>
          <w:rFonts w:ascii="Arial Narrow" w:eastAsia="Arial Narrow" w:hAnsi="Arial Narrow"/>
          <w:color w:val="000000"/>
          <w:vertAlign w:val="superscript"/>
        </w:rPr>
        <w:footnoteReference w:id="14"/>
      </w:r>
      <w:r w:rsidRPr="00013D9C">
        <w:rPr>
          <w:rFonts w:ascii="Arial Narrow" w:eastAsia="Arial Narrow" w:hAnsi="Arial Narrow"/>
          <w:color w:val="000000"/>
        </w:rPr>
        <w:t/>
      </w:r>
    </w:p>
    <w:p w14:paraId="4EC616E2" w14:textId="2068BF62" w:rsidR="00C01911" w:rsidRDefault="00C01911" w:rsidP="00C01911">
      <w:pPr>
        <w:suppressAutoHyphens/>
        <w:spacing w:after="0" w:line="240" w:lineRule="auto"/>
        <w:jc w:val="both"/>
        <w:rPr>
          <w:rFonts w:ascii="Arial Narrow" w:eastAsia="Arial Narrow" w:hAnsi="Arial Narrow"/>
          <w:color w:val="000000"/>
        </w:rPr>
      </w:pPr>
    </w:p>
    <w:p w14:paraId="6D82DFED" w14:textId="77777777" w:rsidR="00C01911" w:rsidRPr="00C01911" w:rsidRDefault="00C01911" w:rsidP="00C01911">
      <w:pPr>
        <w:suppressAutoHyphens/>
        <w:spacing w:after="0" w:line="240" w:lineRule="auto"/>
        <w:jc w:val="both"/>
        <w:rPr>
          <w:rFonts w:ascii="Arial Narrow" w:hAnsi="Arial Narrow" w:cs="Arial"/>
        </w:rPr>
      </w:pPr>
    </w:p>
    <w:p w14:paraId="5144C131" w14: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Firmado digitalmente por </w:t>
      </w:r>
    </w:p>
    <w:p w14:paraId="55B45B27" w14: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LUISA ANALÍ SILVA MALPARTIDA</w:t>
      </w:r>
    </w:p>
    <w:p w14:paraId="0319C5A8" w14: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Secretaria Técnica Ad Hoc</w:t>
      </w:r>
    </w:p>
    <w:p w14:paraId="0EC07362" w14: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olor w:val="000000"/>
        </w:rPr>
        <w:t>Comisión de Protección al Consumidor 1</w:t>
      </w:r>
    </w:p>
    <w:p w14:paraId="74A95081" w14:textId="59630C00" w:rsidR="001B5674" w:rsidRPr="00706DF2" w:rsidRDefault="003A00D7" w:rsidP="00706DF2">
      <w:pPr>
        <w:spacing w:after="0" w:line="240" w:lineRule="auto"/>
        <w:rPr>
          <w:rFonts w:ascii="Arial Narrow" w:hAnsi="Arial Narrow"/>
          <w:sz w:val="16"/>
          <w:szCs w:val="18"/>
        </w:rPr>
      </w:pPr>
      <w:r w:rsidRPr="00013D9C">
        <w:rPr>
          <w:rFonts w:ascii="Arial Narrow" w:eastAsia="Arial Narrow" w:hAnsi="Arial Narrow"/>
          <w:color w:val="000000"/>
          <w:sz w:val="16"/>
          <w:szCs w:val="18"/>
        </w:rPr>
        <w:t>LGP/JCQ</w:t>
      </w:r>
    </w:p>
    <w:sectPr w:rsidR="001B5674" w:rsidRPr="00706DF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1A68BC" w14:textId="77777777" w:rsidR="005A413B" w:rsidRDefault="005A413B" w:rsidP="00DA79A0">
      <w:pPr>
        <w:spacing w:after="0" w:line="240" w:lineRule="auto"/>
      </w:pPr>
      <w:r>
        <w:separator/>
      </w:r>
    </w:p>
  </w:endnote>
  <w:endnote w:type="continuationSeparator" w:id="0">
    <w:p w14:paraId="454AD7F9" w14:textId="77777777" w:rsidR="005A413B" w:rsidRDefault="005A41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2B9FCEC"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9F086" w14:textId="72294464" w:rsidR="00B91E42" w:rsidRPr="00013D9C" w:rsidRDefault="00013D9C" w:rsidP="00013D9C">
    <w:pPr>
      <w:pStyle w:val="Piedepgina"/>
      <w:tabs>
        <w:tab w:val="clear" w:pos="4252"/>
        <w:tab w:val="clear" w:pos="8504"/>
        <w:tab w:val="center" w:pos="4678"/>
      </w:tabs>
      <w:rPr>
        <w:rFonts w:ascii="Arial Narrow" w:hAnsi="Arial Narrow" w:cs="Arial"/>
        <w:sz w:val="18"/>
      </w:rPr>
    </w:pPr>
    <w:r w:rsidRPr="00013D9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C656E"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BB183A" w14:textId="77777777" w:rsidR="005A413B" w:rsidRDefault="005A413B" w:rsidP="00DA79A0">
      <w:pPr>
        <w:spacing w:after="0" w:line="240" w:lineRule="auto"/>
      </w:pPr>
      <w:r>
        <w:separator/>
      </w:r>
    </w:p>
  </w:footnote>
  <w:footnote w:type="continuationSeparator" w:id="0">
    <w:p w14:paraId="35290F5A" w14:textId="77777777" w:rsidR="005A413B" w:rsidRDefault="005A413B" w:rsidP="00DA79A0">
      <w:pPr>
        <w:spacing w:after="0" w:line="240" w:lineRule="auto"/>
      </w:pPr>
      <w:r>
        <w:continuationSeparator/>
      </w:r>
    </w:p>
  </w:footnote>
  <w:footnote w:id="2">
    <w:p w14:paraId="7EEEBCCA" w14:textId="12F43FE5"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 xml:space="preserve">Publicado el 2 de setiembre de 2010 en el Diario Oficial El Peruano, vigente desde el 2 de octubre de 2010 y modificado por Decreto Legislativo 1308.</w:t>
      </w:r>
    </w:p>
  </w:footnote>
  <w:footnote w:id="3">
    <w:p w14:paraId="143AAEBE" w14:textId="6F0931B4"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1C1D0757" w14:textId="0A89F57E" w:rsidR="00013D9C" w:rsidRPr="00C01911" w:rsidRDefault="00013D9C" w:rsidP="00013D9C">
      <w:pPr>
        <w:pStyle w:val="Textonotapie"/>
        <w:tabs>
          <w:tab w:val="left" w:pos="567"/>
        </w:tabs>
        <w:spacing w:after="200"/>
        <w:ind w:left="567" w:hanging="567"/>
        <w:jc w:val="both"/>
        <w:rPr>
          <w:rFonts w:ascii="Arial Narrow" w:hAnsi="Arial Narrow" w:cs="Arial"/>
          <w:b/>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Pr="00C01911">
        <w:rPr>
          <w:rFonts w:ascii="Arial Narrow" w:hAnsi="Arial Narrow" w:cs="Arial"/>
          <w:b/>
          <w:sz w:val="14"/>
          <w:szCs w:val="14"/>
          <w:lang w:val="es-419"/>
        </w:rPr>
        <w:tab/>
        <w:t>Ley sobre Facultades, Normas y Organización del Indecopi, aprobada mediante Decreto Legislativo 807, cuyo Texto Único Ordenado fue aprobado por Decreto Legislativo 1033.</w:t>
      </w:r>
    </w:p>
  </w:footnote>
  <w:footnote w:id="5">
    <w:p w14:paraId="082398A6"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4"/>
          <w:szCs w:val="14"/>
        </w:rPr>
      </w:pPr>
      <w:r w:rsidRPr="00C01911">
        <w:rPr>
          <w:rStyle w:val="Refdenotaalpie"/>
          <w:rFonts w:ascii="Arial Narrow" w:hAnsi="Arial Narrow"/>
          <w:sz w:val="16"/>
          <w:szCs w:val="14"/>
          <w:vertAlign w:val="superscript"/>
        </w:rPr>
        <w:footnoteRef/>
      </w:r>
      <w:r w:rsidRPr="00C01911">
        <w:rPr>
          <w:rFonts w:ascii="Arial Narrow" w:hAnsi="Arial Narrow"/>
          <w:sz w:val="14"/>
          <w:szCs w:val="14"/>
        </w:rPr>
        <w:t xml:space="preserve"> </w:t>
      </w:r>
      <w:r w:rsidRPr="00C01911">
        <w:rPr>
          <w:rFonts w:ascii="Arial Narrow" w:hAnsi="Arial Narrow"/>
          <w:sz w:val="14"/>
          <w:szCs w:val="14"/>
        </w:rPr>
        <w:tab/>
      </w:r>
      <w:r w:rsidRPr="00C0191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8A3DC7D" w14:textId="77777777" w:rsidR="00D16CA0" w:rsidRPr="00C01911" w:rsidRDefault="00D16CA0" w:rsidP="00D16CA0">
      <w:pPr>
        <w:pStyle w:val="Textonotapie"/>
        <w:ind w:left="567" w:right="-1"/>
        <w:jc w:val="both"/>
        <w:rPr>
          <w:rFonts w:ascii="Arial Narrow" w:eastAsia="Arial Narrow" w:hAnsi="Arial Narrow" w:cs="Arial Narrow"/>
          <w:b/>
          <w:bCs/>
          <w:sz w:val="14"/>
          <w:szCs w:val="14"/>
        </w:rPr>
      </w:pPr>
      <w:r w:rsidRPr="00C01911">
        <w:rPr>
          <w:rFonts w:ascii="Arial Narrow" w:eastAsia="Arial Narrow" w:hAnsi="Arial Narrow" w:cs="Arial Narrow"/>
          <w:b/>
          <w:bCs/>
          <w:sz w:val="14"/>
          <w:szCs w:val="14"/>
        </w:rPr>
        <w:t xml:space="preserve">Artículo 18.- Idoneidad </w:t>
      </w:r>
    </w:p>
    <w:p w14:paraId="214E8C7E"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707286"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E653B9" w14:textId="77777777" w:rsidR="00D16CA0" w:rsidRPr="00C01911" w:rsidRDefault="00D16CA0" w:rsidP="00D16CA0">
      <w:pPr>
        <w:pStyle w:val="Textonotapie"/>
        <w:ind w:left="567" w:right="-1"/>
        <w:jc w:val="both"/>
        <w:rPr>
          <w:rFonts w:ascii="Arial Narrow" w:eastAsia="Arial Narrow" w:hAnsi="Arial Narrow" w:cs="Arial Narrow"/>
          <w:sz w:val="14"/>
          <w:szCs w:val="14"/>
        </w:rPr>
      </w:pPr>
    </w:p>
    <w:p w14:paraId="4826C044"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b/>
          <w:bCs/>
          <w:sz w:val="14"/>
          <w:szCs w:val="14"/>
        </w:rPr>
        <w:t xml:space="preserve">Artículo 19.- Obligación de los proveedores </w:t>
      </w:r>
    </w:p>
    <w:p w14:paraId="11AAC54D"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5FD138" w14:textId="77777777" w:rsidR="00D16CA0" w:rsidRPr="00C01911" w:rsidRDefault="00D16CA0" w:rsidP="00D16CA0">
      <w:pPr>
        <w:pStyle w:val="Textonotapie"/>
        <w:jc w:val="both"/>
        <w:rPr>
          <w:rFonts w:ascii="Arial Narrow" w:hAnsi="Arial Narrow"/>
          <w:sz w:val="14"/>
          <w:szCs w:val="14"/>
        </w:rPr>
      </w:pPr>
    </w:p>
  </w:footnote>
  <w:footnote w:id="6">
    <w:p w14:paraId="79EA3EA9"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w:b/>
          <w:bCs/>
          <w:sz w:val="14"/>
          <w:szCs w:val="14"/>
        </w:rPr>
      </w:pPr>
      <w:r w:rsidRPr="00C01911">
        <w:rPr>
          <w:rStyle w:val="Refdenotaalpie"/>
          <w:rFonts w:ascii="Arial Narrow" w:hAnsi="Arial Narrow"/>
          <w:sz w:val="16"/>
          <w:szCs w:val="14"/>
          <w:vertAlign w:val="superscript"/>
        </w:rPr>
        <w:footnoteRef/>
      </w:r>
      <w:r w:rsidRPr="00C01911">
        <w:rPr>
          <w:rFonts w:ascii="Arial Narrow" w:hAnsi="Arial Narrow"/>
          <w:sz w:val="14"/>
          <w:szCs w:val="14"/>
        </w:rPr>
        <w:t xml:space="preserve"> </w:t>
      </w:r>
      <w:r w:rsidRPr="00C01911">
        <w:rPr>
          <w:rFonts w:ascii="Arial Narrow" w:hAnsi="Arial Narrow" w:cs="Arial"/>
          <w:sz w:val="14"/>
          <w:szCs w:val="14"/>
        </w:rPr>
        <w:tab/>
      </w:r>
      <w:r w:rsidRPr="00C0191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A72DA1F" w14:textId="4DE7E4B3" w:rsidR="00D16CA0" w:rsidRPr="00C01911" w:rsidRDefault="00D16CA0" w:rsidP="00D16CA0">
      <w:pPr>
        <w:pStyle w:val="Textonotapie"/>
        <w:tabs>
          <w:tab w:val="left" w:pos="567"/>
        </w:tabs>
        <w:jc w:val="both"/>
        <w:rPr>
          <w:rFonts w:ascii="Arial Narrow" w:eastAsia="Arial Narrow" w:hAnsi="Arial Narrow" w:cs="Arial Narrow"/>
          <w:sz w:val="14"/>
          <w:szCs w:val="14"/>
        </w:rPr>
      </w:pPr>
      <w:r w:rsidRPr="00C01911">
        <w:rPr>
          <w:rFonts w:ascii="Arial Narrow" w:eastAsia="Arial Narrow" w:hAnsi="Arial Narrow" w:cs="Arial"/>
          <w:b/>
          <w:bCs/>
          <w:sz w:val="14"/>
          <w:szCs w:val="14"/>
        </w:rPr>
        <w:tab/>
      </w:r>
      <w:r w:rsidR="004C4221" w:rsidRPr="00C01911">
        <w:rPr>
          <w:rFonts w:ascii="Arial Narrow" w:eastAsia="Arial Narrow" w:hAnsi="Arial Narrow" w:cs="Arial"/>
          <w:b/>
          <w:bCs/>
          <w:sz w:val="14"/>
          <w:szCs w:val="14"/>
        </w:rPr>
        <w:t>Artículo 150. Libro de reclamaciones</w:t>
      </w:r>
    </w:p>
    <w:p w14:paraId="5D2908CA" w14:textId="72CDCFB7" w:rsidR="00D16CA0" w:rsidRPr="00C01911" w:rsidRDefault="004C4221" w:rsidP="004C4221">
      <w:pPr>
        <w:pStyle w:val="Textonotapie"/>
        <w:ind w:left="567"/>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w:t>
      </w:r>
      <w:proofErr w:type="gramStart"/>
      <w:r w:rsidRPr="00C01911">
        <w:rPr>
          <w:rFonts w:ascii="Arial Narrow" w:eastAsia="Arial Narrow" w:hAnsi="Arial Narrow" w:cs="Arial Narrow"/>
          <w:sz w:val="14"/>
          <w:szCs w:val="14"/>
        </w:rPr>
        <w:t>artículo.</w:t>
      </w:r>
      <w:r w:rsidR="00D16CA0" w:rsidRPr="00C01911">
        <w:rPr>
          <w:rFonts w:ascii="Arial Narrow" w:hAnsi="Arial Narrow"/>
          <w:sz w:val="14"/>
          <w:szCs w:val="14"/>
        </w:rPr>
        <w:t>.</w:t>
      </w:r>
      <w:proofErr w:type="gramEnd"/>
    </w:p>
    <w:p w14:paraId="0A43079A" w14:textId="77777777" w:rsidR="00D16CA0" w:rsidRPr="00C01911" w:rsidRDefault="00D16CA0" w:rsidP="00D16CA0">
      <w:pPr>
        <w:pStyle w:val="Textonotapie"/>
        <w:ind w:left="567"/>
        <w:jc w:val="both"/>
        <w:rPr>
          <w:rFonts w:ascii="Arial Narrow" w:hAnsi="Arial Narrow"/>
          <w:sz w:val="14"/>
          <w:szCs w:val="14"/>
        </w:rPr>
      </w:pPr>
    </w:p>
  </w:footnote>
  <w:footnote w:id="7">
    <w:p w14:paraId="586B8708" w14:textId="697A3B36"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SOBRE FACULTADES, NORMAS Y ORGANIZACIÓN DEL INDECOPI, APROBADA POR DECRETO LEGISLATIVO 807</w:t>
      </w:r>
    </w:p>
    <w:p w14:paraId="30282070"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 xml:space="preserve">Artículo 24.- El </w:t>
      </w:r>
      <w:proofErr w:type="gramStart"/>
      <w:r w:rsidRPr="00C01911">
        <w:rPr>
          <w:rFonts w:ascii="Arial Narrow" w:hAnsi="Arial Narrow" w:cs="Arial"/>
          <w:b/>
          <w:sz w:val="14"/>
          <w:szCs w:val="14"/>
        </w:rPr>
        <w:t>Secretario Técnico</w:t>
      </w:r>
      <w:proofErr w:type="gramEnd"/>
      <w:r w:rsidRPr="00C01911">
        <w:rPr>
          <w:rFonts w:ascii="Arial Narrow" w:hAnsi="Arial Narrow" w:cs="Arial"/>
          <w:b/>
          <w:sz w:val="14"/>
          <w:szCs w:val="14"/>
        </w:rPr>
        <w:t xml:space="preserve"> se encargará de la tramitación del procedimiento. Para ello, cuenta con las siguientes facultades:</w:t>
      </w:r>
    </w:p>
    <w:p w14:paraId="0E713D0F" w14:textId="7C5A6BAA"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 </w:t>
      </w:r>
    </w:p>
    <w:p w14:paraId="29403028" w14:textId="33E150A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Admitir denuncias a trámite, en aquellos casos en que la Comisión le haya delegado esta facultad. </w:t>
      </w:r>
    </w:p>
    <w:p w14:paraId="1E8441DB" w14:textId="65DF9564"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1285FA" w14:textId="3720B206" w:rsidR="00CA59A2" w:rsidRPr="00C01911" w:rsidRDefault="0028322F" w:rsidP="00013D9C">
      <w:pPr>
        <w:pStyle w:val="Textonotapie"/>
        <w:spacing w:after="200"/>
        <w:ind w:left="567"/>
        <w:jc w:val="both"/>
        <w:rPr>
          <w:rFonts w:ascii="Arial Narrow" w:eastAsia="Arial Narrow" w:hAnsi="Arial Narrow" w:cs="Arial"/>
          <w:sz w:val="14"/>
          <w:szCs w:val="14"/>
        </w:rPr>
      </w:pPr>
      <w:r w:rsidRPr="00C01911">
        <w:rPr>
          <w:rFonts w:ascii="Arial Narrow" w:hAnsi="Arial Narrow" w:cs="Arial"/>
          <w:sz w:val="14"/>
          <w:szCs w:val="14"/>
        </w:rPr>
        <w:t xml:space="preserve">. </w:t>
      </w:r>
    </w:p>
  </w:footnote>
  <w:footnote w:id="8">
    <w:p w14:paraId="26286C28" w14:textId="4D731A28" w:rsidR="00CA59A2" w:rsidRPr="00C01911" w:rsidRDefault="00CA59A2" w:rsidP="00013D9C">
      <w:pPr>
        <w:pStyle w:val="Textonotapie"/>
        <w:tabs>
          <w:tab w:val="left" w:pos="567"/>
        </w:tabs>
        <w:spacing w:after="200"/>
        <w:ind w:left="567" w:hanging="567"/>
        <w:jc w:val="both"/>
        <w:rPr>
          <w:rFonts w:ascii="Arial Narrow" w:hAnsi="Arial Narrow" w:cs="Arial"/>
          <w:sz w:val="14"/>
          <w:szCs w:val="14"/>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rPr>
        <w:tab/>
        <w:t xml:space="preserve">El número de trabajadores se atenderá siempre que la empresa haya sido constituida antes de la vigencia de la </w:t>
      </w:r>
      <w:r w:rsidR="000E6FE2" w:rsidRPr="00C01911">
        <w:rPr>
          <w:rFonts w:ascii="Arial Narrow" w:hAnsi="Arial Narrow" w:cs="Arial"/>
          <w:sz w:val="14"/>
          <w:szCs w:val="14"/>
        </w:rPr>
        <w:t xml:space="preserve">Ley </w:t>
      </w:r>
      <w:r w:rsidRPr="00C01911">
        <w:rPr>
          <w:rFonts w:ascii="Arial Narrow" w:hAnsi="Arial Narrow" w:cs="Arial"/>
          <w:sz w:val="14"/>
          <w:szCs w:val="14"/>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1911">
        <w:rPr>
          <w:rFonts w:ascii="Arial Narrow" w:hAnsi="Arial Narrow" w:cs="Arial"/>
          <w:sz w:val="14"/>
          <w:szCs w:val="14"/>
        </w:rPr>
        <w:t>entrada en vigencia</w:t>
      </w:r>
      <w:proofErr w:type="gramEnd"/>
      <w:r w:rsidRPr="00C01911">
        <w:rPr>
          <w:rFonts w:ascii="Arial Narrow" w:hAnsi="Arial Narrow" w:cs="Arial"/>
          <w:sz w:val="14"/>
          <w:szCs w:val="14"/>
        </w:rPr>
        <w:t xml:space="preserve"> de dicha Ley se rigen por los requisitos de acogimiento al régimen de las micro y pequeñas empresas regulados en el Decreto Legislativo 1086.</w:t>
      </w:r>
    </w:p>
  </w:footnote>
  <w:footnote w:id="9">
    <w:p w14:paraId="77C9FC17"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1AD8FC16" w14:textId="701B8793"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114BAA0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1EC7178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2487AD" w14:textId="53BF61E6" w:rsidR="00CA59A2" w:rsidRPr="00C01911" w:rsidRDefault="0028322F" w:rsidP="00013D9C">
      <w:pPr>
        <w:pStyle w:val="Textonotapie"/>
        <w:spacing w:after="200"/>
        <w:ind w:left="567"/>
        <w:jc w:val="both"/>
        <w:rPr>
          <w:rFonts w:ascii="Arial Narrow" w:hAnsi="Arial Narrow" w:cs="Arial"/>
          <w:bCs/>
          <w:sz w:val="14"/>
          <w:szCs w:val="14"/>
        </w:rPr>
      </w:pPr>
      <w:r w:rsidRPr="00C01911">
        <w:rPr>
          <w:rFonts w:ascii="Arial Narrow" w:hAnsi="Arial Narrow" w:cs="Arial"/>
          <w:sz w:val="14"/>
          <w:szCs w:val="14"/>
        </w:rPr>
        <w:t>(…).</w:t>
      </w:r>
    </w:p>
  </w:footnote>
  <w:footnote w:id="15">
    <w:p>
      <w:pPr>
        <w:pStyle w:val="Textonotapie"/>
        <w:tabs>
          <w:tab w:val="left" w:pos="567"/>
        </w:tabs>
        <w:spacing w:after="200"/>
        <w:ind w:left="567" w:hanging="567"/>
        <w:jc w:val="both"/>
      </w:pPr>
      <w:r w:rsidRPr="00C01911">
        <w:rPr>
          <w:rStyle w:val="Refdenotaalpie"/>
          <w:rFonts w:ascii="Arial Narrow" w:hAnsi="Arial Narrow" w:cs="Arial"/>
          <w:sz w:val="16"/>
          <w:szCs w:val="14"/>
          <w:vertAlign w:val="superscript"/>
        </w:rPr>
        <w:footnoteRef/>
      </w:r>
      <w:r>
        <w:rPr>
          <w:rFonts w:ascii="Arial Narrow" w:hAnsi="Arial Narrow" w:cs="Arial"/>
          <w:sz w:val="14"/>
          <w:szCs w:val="14"/>
          <w:lang w:val="es-419"/>
        </w:rPr>
        <w:tab/>
      </w:r>
      <w:r>
        <w:rPr>
          <w:rFonts w:ascii="Arial Narrow" w:hAnsi="Arial Narrow" w:cs="Arial"/>
          <w:b/>
          <w:bCs/>
          <w:sz w:val="14"/>
          <w:szCs w:val="14"/>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4"/>
          <w:szCs w:val="14"/>
          <w:lang w:val="es-419"/>
        </w:rPr>
        <w:tab/>
      </w:r>
      <w:r>
        <w:rPr>
          <w:rFonts w:ascii="Arial Narrow" w:hAnsi="Arial Narrow" w:cs="Arial"/>
          <w:b/>
          <w:bCs/>
          <w:sz w:val="14"/>
          <w:szCs w:val="14"/>
          <w:lang w:val="es-419"/>
        </w:rPr>
        <w:t xml:space="preserve">Artículo 26.-</w:t>
      </w:r>
      <w:r>
        <w:rPr>
          <w:rFonts w:ascii="Arial Narrow" w:hAnsi="Arial Narrow" w:cs="Arial"/>
          <w:sz w:val="14"/>
          <w:szCs w:val="14"/>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tabs>
          <w:tab w:val="left" w:pos="567"/>
        </w:tabs>
        <w:spacing w:after="200"/>
        <w:ind w:left="567" w:hanging="567"/>
        <w:jc w:val="both"/>
      </w:pPr>
      <w:r w:rsidRPr="00C01911">
        <w:rPr>
          <w:rStyle w:val="Refdenotaalpie"/>
          <w:rFonts w:ascii="Arial Narrow" w:hAnsi="Arial Narrow" w:cs="Arial"/>
          <w:sz w:val="16"/>
          <w:szCs w:val="14"/>
          <w:vertAlign w:val="superscript"/>
        </w:rPr>
        <w:footnoteRef/>
      </w:r>
      <w:r>
        <w:rPr>
          <w:rFonts w:ascii="Arial Narrow" w:hAnsi="Arial Narrow" w:cs="Arial"/>
          <w:sz w:val="14"/>
          <w:szCs w:val="14"/>
          <w:lang w:val="es-419"/>
        </w:rPr>
        <w:tab/>
      </w:r>
      <w:r>
        <w:rPr>
          <w:rFonts w:ascii="Arial Narrow" w:hAnsi="Arial Narrow" w:cs="Arial"/>
          <w:b/>
          <w:bCs/>
          <w:sz w:val="14"/>
          <w:szCs w:val="14"/>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4"/>
          <w:szCs w:val="14"/>
          <w:lang w:val="es-419"/>
        </w:rPr>
        <w:tab/>
      </w:r>
      <w:r>
        <w:rPr>
          <w:rFonts w:ascii="Arial Narrow" w:hAnsi="Arial Narrow" w:cs="Arial"/>
          <w:b/>
          <w:bCs/>
          <w:sz w:val="14"/>
          <w:szCs w:val="14"/>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4"/>
          <w:szCs w:val="14"/>
          <w:lang w:val="es-419"/>
        </w:rPr>
        <w:tab/>
      </w:r>
      <w:r>
        <w:rPr>
          <w:rFonts w:ascii="Arial Narrow" w:hAnsi="Arial Narrow" w:cs="Arial"/>
          <w:sz w:val="14"/>
          <w:szCs w:val="14"/>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1F75B238" w14:textId="5CB1396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0142D4EE" w14:textId="6B2CF621"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7BEF65F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A283EE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leves, con una amonestación o con una multa de hasta cincuenta (50) UIT.</w:t>
      </w:r>
    </w:p>
    <w:p w14:paraId="650103F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graves, con una multa de hasta ciento cincuenta (150) UIT.</w:t>
      </w:r>
    </w:p>
    <w:p w14:paraId="73013C5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muy graves, con una multa de hasta cuatrocientos cincuenta (450) UIT.</w:t>
      </w:r>
    </w:p>
    <w:p w14:paraId="1173F4BA" w14:textId="77777777" w:rsidR="00CA59A2" w:rsidRPr="00C01911" w:rsidRDefault="0028322F" w:rsidP="00013D9C">
      <w:pPr>
        <w:pStyle w:val="Textonotapie"/>
        <w:spacing w:after="200"/>
        <w:ind w:left="567"/>
        <w:jc w:val="both"/>
        <w:rPr>
          <w:rFonts w:ascii="Arial Narrow" w:eastAsia="Arial Narrow" w:hAnsi="Arial Narrow" w:cs="Arial"/>
          <w:sz w:val="14"/>
          <w:szCs w:val="14"/>
        </w:rPr>
      </w:pPr>
      <w:r w:rsidRPr="00C01911">
        <w:rPr>
          <w:rFonts w:ascii="Arial Narrow" w:hAnsi="Arial Narrow" w:cs="Arial"/>
          <w:sz w:val="14"/>
          <w:szCs w:val="14"/>
        </w:rPr>
        <w:t>(…).</w:t>
      </w:r>
    </w:p>
  </w:footnote>
  <w:footnote w:id="11">
    <w:p w14:paraId="28803C71" w14:textId="5BF848A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5A9B8FB8"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114.- medidas correctivas</w:t>
      </w:r>
    </w:p>
    <w:p w14:paraId="1CE5696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80A3D6F" w14:textId="7B17491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BE3A610" w14:textId="475AED56"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Las medidas correctivas complementarias pueden dictarse de oficio o a pedido de parte.</w:t>
      </w:r>
    </w:p>
    <w:p w14:paraId="1424338B"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b/>
        <w:t>Artículo 115.- medidas correctivas reparadoras</w:t>
      </w:r>
    </w:p>
    <w:p w14:paraId="4BDA07DA" w14:textId="064FE64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66C246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Reparar productos.</w:t>
      </w:r>
    </w:p>
    <w:p w14:paraId="7DBDD7C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Cambiar productos por otros de idénticas o similares características, cuando la reparación no sea posible o no resulte razonable según las circunstancias.</w:t>
      </w:r>
    </w:p>
    <w:p w14:paraId="770B4B3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750CB0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188B9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otras prestaciones u obligaciones legales o convencionales a su cargo.</w:t>
      </w:r>
    </w:p>
    <w:p w14:paraId="353BC9A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B3CD3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los supuestos de pagos indebidos o en exceso, devolver estos montos, más los intereses correspondientes.</w:t>
      </w:r>
    </w:p>
    <w:p w14:paraId="79D527C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Pagar los gastos incurridos por el consumidor para mitigar las consecuencias de la infracción administrativa.</w:t>
      </w:r>
    </w:p>
    <w:p w14:paraId="0164B5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Otras medidas reparadoras análogas de efectos equivalentes a las anteriores.</w:t>
      </w:r>
    </w:p>
    <w:p w14:paraId="0F8EC58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1911">
        <w:rPr>
          <w:rFonts w:ascii="Arial Narrow" w:hAnsi="Arial Narrow" w:cs="Arial"/>
          <w:sz w:val="14"/>
          <w:szCs w:val="14"/>
        </w:rPr>
        <w:t>conjuntamente con</w:t>
      </w:r>
      <w:proofErr w:type="gramEnd"/>
      <w:r w:rsidRPr="00C0191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33C482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AA8AE0F"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642A6C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8BE9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84ED8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CC3B47"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Artículo 116.- medidas correctivas complementarias</w:t>
      </w:r>
    </w:p>
    <w:p w14:paraId="140B1C3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46228E"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2A85A6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b. Declarar inexigibles las cláusulas que han sido identificadas como abusivas en el procedimiento. </w:t>
      </w:r>
    </w:p>
    <w:p w14:paraId="6FA02F4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El decomiso y destrucción de la mercadería, envases, envolturas o etiquetas. </w:t>
      </w:r>
    </w:p>
    <w:p w14:paraId="6F4384A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d. En caso de infracciones muy graves y de reincidencia o </w:t>
      </w:r>
      <w:proofErr w:type="spellStart"/>
      <w:r w:rsidRPr="00C01911">
        <w:rPr>
          <w:rFonts w:ascii="Arial Narrow" w:hAnsi="Arial Narrow" w:cs="Arial"/>
          <w:sz w:val="14"/>
          <w:szCs w:val="14"/>
        </w:rPr>
        <w:t>reiterancia</w:t>
      </w:r>
      <w:proofErr w:type="spellEnd"/>
      <w:r w:rsidRPr="00C01911">
        <w:rPr>
          <w:rFonts w:ascii="Arial Narrow" w:hAnsi="Arial Narrow" w:cs="Arial"/>
          <w:sz w:val="14"/>
          <w:szCs w:val="14"/>
        </w:rPr>
        <w:t xml:space="preserve">: </w:t>
      </w:r>
    </w:p>
    <w:p w14:paraId="0C45A35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6696EC08"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roofErr w:type="spellStart"/>
      <w:r w:rsidRPr="00C01911">
        <w:rPr>
          <w:rFonts w:ascii="Arial Narrow" w:hAnsi="Arial Narrow" w:cs="Arial"/>
          <w:sz w:val="14"/>
          <w:szCs w:val="14"/>
        </w:rPr>
        <w:t>ii</w:t>
      </w:r>
      <w:proofErr w:type="spellEnd"/>
      <w:r w:rsidRPr="00C01911">
        <w:rPr>
          <w:rFonts w:ascii="Arial Narrow" w:hAnsi="Arial Narrow" w:cs="Arial"/>
          <w:sz w:val="14"/>
          <w:szCs w:val="14"/>
        </w:rPr>
        <w:t xml:space="preserve">) Solicitar a la autoridad competente la inhabilitación, temporal o permanente, del proveedor en función de los alcances de la infracción sancionada. </w:t>
      </w:r>
    </w:p>
    <w:p w14:paraId="46E9E30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e. Publicación de avisos </w:t>
      </w:r>
      <w:proofErr w:type="spellStart"/>
      <w:r w:rsidRPr="00C01911">
        <w:rPr>
          <w:rFonts w:ascii="Arial Narrow" w:hAnsi="Arial Narrow" w:cs="Arial"/>
          <w:sz w:val="14"/>
          <w:szCs w:val="14"/>
        </w:rPr>
        <w:t>rectificatorios</w:t>
      </w:r>
      <w:proofErr w:type="spellEnd"/>
      <w:r w:rsidRPr="00C01911">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15B80BA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4CA25680" w14:textId="58EA9E53" w:rsidR="00CA59A2"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Indecopi está facultado para solicitar a la autoridad municipal y policial el apoyo respectivo para la ejecución de las medidas correctivas complementarias correspondientes.</w:t>
      </w:r>
    </w:p>
    <w:p w14:paraId="3BC8B3D0" w14:textId="77777777" w:rsidR="00C01911" w:rsidRPr="00C01911" w:rsidRDefault="00C01911" w:rsidP="00C01911">
      <w:pPr>
        <w:pStyle w:val="Textonotapie"/>
        <w:jc w:val="both"/>
        <w:rPr>
          <w:rFonts w:ascii="Arial Narrow" w:eastAsia="Arial Narrow" w:hAnsi="Arial Narrow" w:cs="Arial"/>
          <w:sz w:val="14"/>
          <w:szCs w:val="14"/>
        </w:rPr>
      </w:pPr>
    </w:p>
  </w:footnote>
  <w:footnote w:id="12">
    <w:p w14:paraId="0ADD5627" w14:textId="5AAC869E"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683ECDFD" w14:textId="69A57CBE"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112.- criterios de graduación de las sanciones administrativas</w:t>
      </w:r>
    </w:p>
    <w:p w14:paraId="4C71491D" w14:textId="0CAF7DD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310EAE16" w14:textId="437A408C"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Se consideran circunstancias atenuantes especiales, las siguientes:</w:t>
      </w:r>
    </w:p>
    <w:p w14:paraId="1B393F96" w14:textId="440B063D"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E2F755" w14:textId="4241995E" w:rsidR="00CA59A2" w:rsidRPr="00C01911" w:rsidRDefault="0028322F" w:rsidP="00013D9C">
      <w:pPr>
        <w:pStyle w:val="Textonotapie"/>
        <w:spacing w:after="200"/>
        <w:ind w:left="567"/>
        <w:jc w:val="both"/>
        <w:rPr>
          <w:rFonts w:ascii="Arial Narrow" w:hAnsi="Arial Narrow" w:cs="Arial"/>
          <w:sz w:val="14"/>
          <w:szCs w:val="14"/>
        </w:rPr>
      </w:pPr>
      <w:r w:rsidRPr="00C01911">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1911">
        <w:rPr>
          <w:rFonts w:ascii="Arial Narrow" w:hAnsi="Arial Narrow" w:cs="Arial"/>
          <w:sz w:val="14"/>
          <w:szCs w:val="14"/>
        </w:rPr>
        <w:t>liminarmente</w:t>
      </w:r>
      <w:proofErr w:type="spellEnd"/>
      <w:r w:rsidRPr="00C01911">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F375250"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bCs/>
          <w:sz w:val="16"/>
          <w:szCs w:val="14"/>
          <w:vertAlign w:val="superscript"/>
        </w:rPr>
        <w:footnoteRef/>
      </w:r>
      <w:r w:rsidRPr="00C01911">
        <w:rPr>
          <w:rFonts w:ascii="Arial Narrow" w:hAnsi="Arial Narrow" w:cs="Arial"/>
          <w:b/>
          <w:sz w:val="14"/>
          <w:szCs w:val="14"/>
        </w:rPr>
        <w:t xml:space="preserve"> </w:t>
      </w:r>
      <w:r w:rsidR="0028322F" w:rsidRPr="00C01911">
        <w:rPr>
          <w:rFonts w:ascii="Arial Narrow" w:hAnsi="Arial Narrow" w:cs="Arial"/>
          <w:b/>
          <w:sz w:val="14"/>
          <w:szCs w:val="14"/>
        </w:rPr>
        <w:tab/>
        <w:t>DECRETO LEGISLATIVO 807, LEY SOBRE FACULTADES, NORMAS Y ORGANIZACIÓN DEL INDECOPI FACULTADES DE LAS COMISIONES Y OFICINAS DEL INDECOPI</w:t>
      </w:r>
    </w:p>
    <w:p w14:paraId="1213DD9F" w14:textId="75FB21A8" w:rsidR="00CA59A2" w:rsidRPr="00C01911" w:rsidRDefault="0028322F" w:rsidP="00013D9C">
      <w:pPr>
        <w:pStyle w:val="Textonotapie"/>
        <w:spacing w:after="200"/>
        <w:ind w:left="567"/>
        <w:jc w:val="both"/>
        <w:rPr>
          <w:rFonts w:ascii="Arial Narrow" w:hAnsi="Arial Narrow" w:cs="Arial"/>
          <w:sz w:val="14"/>
          <w:szCs w:val="14"/>
        </w:rPr>
      </w:pPr>
      <w:r w:rsidRPr="00C01911">
        <w:rPr>
          <w:rFonts w:ascii="Arial Narrow" w:hAnsi="Arial Narrow" w:cs="Arial"/>
          <w:b/>
          <w:sz w:val="14"/>
          <w:szCs w:val="14"/>
        </w:rPr>
        <w:t>Artículo 29.-</w:t>
      </w:r>
      <w:r w:rsidRPr="00C01911">
        <w:rPr>
          <w:rFonts w:ascii="Arial Narrow" w:hAnsi="Arial Narrow" w:cs="Arial"/>
          <w:sz w:val="14"/>
          <w:szCs w:val="14"/>
        </w:rPr>
        <w:t xml:space="preserve"> en cualquier estado del procedimiento, e incluso antes de admitirse a trámite la denuncia,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podrá citar a las partes a audiencia de conciliación. La audiencia se desarrollará ante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61B22E4" w14:textId="77777777" w:rsidR="00013D9C" w:rsidRPr="00C01911" w:rsidRDefault="00013D9C" w:rsidP="00013D9C">
      <w:pPr>
        <w:pStyle w:val="Textonotapie"/>
        <w:tabs>
          <w:tab w:val="left" w:pos="567"/>
        </w:tabs>
        <w:ind w:left="567" w:hanging="567"/>
        <w:jc w:val="both"/>
        <w:rPr>
          <w:rFonts w:ascii="Arial Narrow" w:hAnsi="Arial Narrow" w:cs="Arial"/>
          <w:b/>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Pr="00C01911">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428BEDB9" w14:textId="77777777" w:rsidR="00013D9C" w:rsidRPr="00C01911" w:rsidRDefault="00013D9C" w:rsidP="00013D9C">
      <w:pPr>
        <w:pStyle w:val="Textonotapie"/>
        <w:ind w:left="567"/>
        <w:jc w:val="both"/>
        <w:rPr>
          <w:rFonts w:ascii="Arial Narrow" w:hAnsi="Arial Narrow" w:cs="Arial"/>
          <w:b/>
          <w:sz w:val="14"/>
          <w:szCs w:val="14"/>
          <w:lang w:val="es-419"/>
        </w:rPr>
      </w:pPr>
      <w:r w:rsidRPr="00C01911">
        <w:rPr>
          <w:rFonts w:ascii="Arial Narrow" w:hAnsi="Arial Narrow" w:cs="Arial"/>
          <w:b/>
          <w:sz w:val="14"/>
          <w:szCs w:val="14"/>
          <w:lang w:val="es-419"/>
        </w:rPr>
        <w:t>Artículo 20.- modalidades de notificación</w:t>
      </w:r>
    </w:p>
    <w:p w14:paraId="298A8188"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E0B0DA"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D4F9D96" w14:textId="3D63C245" w:rsidR="00013D9C" w:rsidRPr="00C01911" w:rsidRDefault="00013D9C" w:rsidP="00013D9C">
      <w:pPr>
        <w:pStyle w:val="Textonotapie"/>
        <w:spacing w:after="200"/>
        <w:ind w:left="567"/>
        <w:jc w:val="both"/>
        <w:rPr>
          <w:rFonts w:ascii="Arial Narrow" w:hAnsi="Arial Narrow" w:cs="Arial"/>
          <w:sz w:val="14"/>
          <w:szCs w:val="14"/>
          <w:lang w:val="es-419"/>
        </w:rPr>
      </w:pPr>
      <w:r w:rsidRPr="00C01911">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AAA376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F12F00A" w14:textId="77777777" w:rsidTr="003D7BF0">
      <w:trPr>
        <w:trHeight w:val="1310"/>
      </w:trPr>
      <w:tc>
        <w:tcPr>
          <w:tcW w:w="4518" w:type="dxa"/>
        </w:tcPr>
        <w:p w14:paraId="25D92E18" w14:textId="77777777" w:rsidR="00B91E42" w:rsidRPr="00C211F8" w:rsidRDefault="00B91E42" w:rsidP="003D7BF0">
          <w:pPr>
            <w:spacing w:after="0"/>
          </w:pPr>
          <w:bookmarkStart w:id="9" w:name="_Hlk212019410"/>
          <w:r>
            <w:rPr>
              <w:noProof/>
            </w:rPr>
            <w:drawing>
              <wp:inline distT="0" distB="0" distL="0" distR="0" wp14:anchorId="396BDD12" wp14:editId="7A0CCEE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7CA23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40D08FA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2352E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3151D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1CCB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0BA513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C9A4A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0BDC0E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A9E470A"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51844C5"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48F8B8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731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34780240">
    <w:abstractNumId w:val="8"/>
  </w:num>
  <w:num w:numId="2" w16cid:durableId="289358107">
    <w:abstractNumId w:val="1"/>
  </w:num>
  <w:num w:numId="3" w16cid:durableId="1875577440">
    <w:abstractNumId w:val="6"/>
  </w:num>
  <w:num w:numId="4" w16cid:durableId="829565450">
    <w:abstractNumId w:val="3"/>
  </w:num>
  <w:num w:numId="5" w16cid:durableId="2004968518">
    <w:abstractNumId w:val="7"/>
  </w:num>
  <w:num w:numId="6" w16cid:durableId="341250378">
    <w:abstractNumId w:val="0"/>
  </w:num>
  <w:num w:numId="7" w16cid:durableId="1956212980">
    <w:abstractNumId w:val="4"/>
  </w:num>
  <w:num w:numId="8" w16cid:durableId="670137004">
    <w:abstractNumId w:val="2"/>
  </w:num>
  <w:num w:numId="9" w16cid:durableId="19526610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D9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0C81"/>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1184"/>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802"/>
    <w:rsid w:val="003748FB"/>
    <w:rsid w:val="003A00D7"/>
    <w:rsid w:val="003A3BA5"/>
    <w:rsid w:val="003A3BA6"/>
    <w:rsid w:val="003A555E"/>
    <w:rsid w:val="003A71B1"/>
    <w:rsid w:val="003C22C4"/>
    <w:rsid w:val="003C6685"/>
    <w:rsid w:val="003F1972"/>
    <w:rsid w:val="004251B6"/>
    <w:rsid w:val="00453840"/>
    <w:rsid w:val="004551D0"/>
    <w:rsid w:val="00466DFF"/>
    <w:rsid w:val="0047310F"/>
    <w:rsid w:val="00487837"/>
    <w:rsid w:val="004A45A4"/>
    <w:rsid w:val="004B0B44"/>
    <w:rsid w:val="004B1E5F"/>
    <w:rsid w:val="004B6816"/>
    <w:rsid w:val="004C4221"/>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413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06DF2"/>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E3B"/>
    <w:rsid w:val="008A211A"/>
    <w:rsid w:val="008A2912"/>
    <w:rsid w:val="008A2ABA"/>
    <w:rsid w:val="008A4F60"/>
    <w:rsid w:val="008A6481"/>
    <w:rsid w:val="008B4811"/>
    <w:rsid w:val="008C6BCC"/>
    <w:rsid w:val="008C7DBE"/>
    <w:rsid w:val="008E2E5A"/>
    <w:rsid w:val="008E6BA0"/>
    <w:rsid w:val="008E746F"/>
    <w:rsid w:val="00924F24"/>
    <w:rsid w:val="00947FE2"/>
    <w:rsid w:val="0095551C"/>
    <w:rsid w:val="009606E6"/>
    <w:rsid w:val="00967D93"/>
    <w:rsid w:val="009805B9"/>
    <w:rsid w:val="00985114"/>
    <w:rsid w:val="00985C83"/>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3FE3"/>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911"/>
    <w:rsid w:val="00C03E0B"/>
    <w:rsid w:val="00C04498"/>
    <w:rsid w:val="00C2093C"/>
    <w:rsid w:val="00C20DB0"/>
    <w:rsid w:val="00C30CCD"/>
    <w:rsid w:val="00C472DA"/>
    <w:rsid w:val="00C56FC4"/>
    <w:rsid w:val="00C6431E"/>
    <w:rsid w:val="00C72EFF"/>
    <w:rsid w:val="00C77DFA"/>
    <w:rsid w:val="00C803D9"/>
    <w:rsid w:val="00C90027"/>
    <w:rsid w:val="00C93C33"/>
    <w:rsid w:val="00C95E59"/>
    <w:rsid w:val="00CA59A2"/>
    <w:rsid w:val="00CB098D"/>
    <w:rsid w:val="00CC4978"/>
    <w:rsid w:val="00CC5228"/>
    <w:rsid w:val="00CD0C8E"/>
    <w:rsid w:val="00CD118F"/>
    <w:rsid w:val="00CD1878"/>
    <w:rsid w:val="00CD245D"/>
    <w:rsid w:val="00CD62B5"/>
    <w:rsid w:val="00CE01D5"/>
    <w:rsid w:val="00CE35A6"/>
    <w:rsid w:val="00CF40EB"/>
    <w:rsid w:val="00D0172A"/>
    <w:rsid w:val="00D049FC"/>
    <w:rsid w:val="00D04A70"/>
    <w:rsid w:val="00D13818"/>
    <w:rsid w:val="00D16CA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04D6"/>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0E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740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1675</Words>
  <Characters>9215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2026-07-31T00:32:00Z</cp:lastPrinted>
  <dcterms:created xsi:type="dcterms:W3CDTF">2026-07-30T12:59:00Z</dcterms:created>
  <dcterms:modified xsi:type="dcterms:W3CDTF">2026-07-31T00:32:00Z</dcterms:modified>
</cp:coreProperties>
</file>