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DENUNCIANTE</w:t>
      </w:r>
      <w:r w:rsidRPr="00DF5858">
        <w:rPr>
          <w:rFonts w:ascii="Arial Narrow" w:eastAsia="Arial Narrow" w:hAnsi="Arial Narrow"/>
          <w:b/>
          <w:color w:val="000000"/>
        </w:rPr>
        <w:tab/>
        <w:t>:</w:t>
      </w:r>
      <w:r w:rsidRPr="00DF5858">
        <w:rPr>
          <w:rFonts w:ascii="Arial Narrow" w:eastAsia="Arial Narrow" w:hAnsi="Arial Narrow"/>
          <w:b/>
          <w:color w:val="000000"/>
        </w:rPr>
        <w:tab/>
        <w:t>EFRAÍN CORONEL QUISPE (SEÑOR CORONEL)</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MATERIAS</w:t>
      </w:r>
      <w:r w:rsidRPr="00DF5858">
        <w:rPr>
          <w:rFonts w:ascii="Arial Narrow" w:eastAsia="Arial Narrow" w:hAnsi="Arial Narrow" w:cs="Arial Narrow"/>
          <w:b/>
          <w:color w:val="000000"/>
          <w:kern w:val="0"/>
          <w:lang w:eastAsia="es-PE"/>
          <w14:ligatures w14:val="none"/>
        </w:rPr>
        <w:tab/>
        <w:t xml:space="preserve">: </w:t>
      </w:r>
      <w:r w:rsidRPr="00DF5858">
        <w:rPr>
          <w:rFonts w:ascii="Arial Narrow" w:eastAsia="Arial Narrow" w:hAnsi="Arial Narrow" w:cs="Arial Narrow"/>
          <w:b/>
          <w:color w:val="000000"/>
          <w:kern w:val="0"/>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w:t>
      </w:r>
      <w:r w:rsidRPr="00DF5858">
        <w:rPr>
          <w:rFonts w:ascii="Arial Narrow" w:eastAsia="Arial Narrow" w:hAnsi="Arial Narrow" w:cs="Arial Narrow"/>
          <w:b/>
          <w:color w:val="000000"/>
          <w:kern w:val="0"/>
          <w:lang w:eastAsia="es-PE"/>
          <w14:ligatures w14:val="none"/>
        </w:rPr>
        <w:tab/>
        <w:t>:</w:t>
      </w:r>
      <w:r w:rsidRPr="00DF5858">
        <w:rPr>
          <w:rFonts w:ascii="Arial Narrow" w:eastAsia="Arial Narrow" w:hAnsi="Arial Narrow" w:cs="Arial Narrow"/>
          <w:b/>
          <w:color w:val="000000"/>
          <w:kern w:val="0"/>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F5858">
        <w:rPr>
          <w:rFonts w:ascii="Arial Narrow" w:eastAsia="Arial Narrow" w:hAnsi="Arial Narrow"/>
          <w:color w:val="000000"/>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Mediante el escrito del 20 de abril de 2026, 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denunció a La Positiva por presuntas infracciones a la Ley 29571, Código de Protección y Defensa del Consumidor (en adelante, Código), señalando lo siguiente:</w:t>
      </w:r>
    </w:p>
    <w:p w14:paraId="3AD3B7C6"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w14:paraId="4D6C54C5"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w14:paraId="33E14FF7"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solicitó en calidad de medida correctiva que la aseguradora cumpla con: (i) otorgar la cobertura del Seguro Vehicular por el siniestro de robo total ocurrido el 22 de mayo de 2024; (ii) el pago de la suma asegurada conforme a la póliza ascendente a </w:t>
      </w:r>
      <w:r w:rsidR="008A67C2" w:rsidRPr="008A67C2">
        <w:rPr>
          <w:rFonts w:ascii="Arial Narrow" w:eastAsia="Arial Narrow" w:hAnsi="Arial Narrow"/>
          <w:color w:val="000000"/>
        </w:rPr>
        <w:t xml:space="preserve">US$ </w:t>
      </w:r>
      <w:r w:rsidRPr="00DF5858">
        <w:rPr>
          <w:rFonts w:ascii="Arial Narrow" w:eastAsia="Arial Narrow" w:hAnsi="Arial Narrow"/>
          <w:color w:val="000000"/>
        </w:rPr>
        <w:t>12 450,00; y, (iii) la devolución de los cobros indebidos. Asimismo, requirió el reembolso de costas y costos del presente procedimiento.</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DF5858">
        <w:rPr>
          <w:rFonts w:ascii="Arial Narrow" w:eastAsia="Arial Narrow" w:hAnsi="Arial Narrow" w:cs="Arial Narrow"/>
          <w:color w:val="000000"/>
          <w:kern w:val="0"/>
          <w:vertAlign w:val="superscript"/>
          <w14:ligatures w14:val="none"/>
        </w:rPr>
        <w:footnoteReference w:id="3"/>
      </w:r>
      <w:r w:rsidRPr="00DF5858">
        <w:rPr>
          <w:rFonts w:ascii="Arial Narrow" w:eastAsia="Arial Narrow" w:hAnsi="Arial Narrow" w:cs="Arial"/>
          <w:color w:val="000000"/>
          <w:kern w:val="0"/>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40BE44E6" w14:textId="36AF3EEE" w:rsidR="00121544" w:rsidRPr="00DF5858" w:rsidRDefault="00CA59A2" w:rsidP="00DF5858">
      <w:pPr>
        <w:spacing w:after="0" w:line="240" w:lineRule="auto"/>
        <w:jc w:val="both"/>
        <w:rPr>
          <w:rFonts w:ascii="Arial Narrow" w:eastAsia="Calibri" w:hAnsi="Arial Narrow" w:cs="Arial Narrow"/>
          <w:color w:val="000000"/>
          <w:kern w:val="0"/>
          <w:lang w:eastAsia="es-PE"/>
          <w14:ligatures w14:val="none"/>
        </w:rPr>
      </w:pPr>
      <w:r w:rsidRPr="00DF5858">
        <w:rPr>
          <w:rFonts w:ascii="Arial Narrow" w:eastAsia="Arial Narrow" w:hAnsi="Arial Narrow"/>
          <w:b/>
          <w:color w:val="000000"/>
        </w:rPr>
        <w:t xml:space="preserve">PRIMERO: </w:t>
      </w:r>
      <w:r w:rsidRPr="00DF5858">
        <w:rPr>
          <w:rFonts w:ascii="Arial Narrow" w:eastAsia="Arial Narrow" w:hAnsi="Arial Narrow"/>
          <w:color w:val="000000"/>
        </w:rPr>
        <w:t xml:space="preserve">admitir a trámite la denuncia del 20 de abril de 2026 interpuesta por 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contra La Positiva Seguros y Reaseguros S.A., por presuntas infracciones a la Ley 29571, Código de Protección y Defensa del Consumidor, en atención a lo siguiente:</w:t>
      </w:r>
    </w:p>
    <w:p w14:paraId="5E66126E" w14:textId="77777777" w:rsidR="00121544" w:rsidRPr="00DF5858" w:rsidRDefault="00121544" w:rsidP="00DF5858">
      <w:pPr>
        <w:spacing w:after="0" w:line="240" w:lineRule="auto"/>
        <w:jc w:val="both"/>
        <w:rPr>
          <w:rFonts w:ascii="Arial Narrow" w:eastAsia="Calibri" w:hAnsi="Arial Narrow" w:cs="Arial Narrow"/>
          <w:color w:val="000000"/>
          <w:kern w:val="0"/>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Calibri" w:hAnsi="Arial Narrow" w:cs="Arial Narrow"/>
          <w:kern w:val="0"/>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rPr>
      </w:pPr>
    </w:p>
    <w:p w14:paraId="0A292C9F" w14:textId="77777777" w:rsidR="00CA59A2" w:rsidRPr="00DF5858" w:rsidRDefault="00CA59A2" w:rsidP="00DF5858">
      <w:pPr>
        <w:spacing w:after="0" w:line="240" w:lineRule="auto"/>
        <w:contextualSpacing/>
        <w:jc w:val="both"/>
        <w:rPr>
          <w:rFonts w:ascii="Arial Narrow" w:eastAsia="Calibri" w:hAnsi="Arial Narrow" w:cs="Arial"/>
          <w:kern w:val="0"/>
          <w14:ligatures w14: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w14:paraId="20FDFB8D"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w:color w:val="000000"/>
          <w:kern w:val="0"/>
          <w14:ligatures w14:val="none"/>
        </w:rPr>
        <w:t xml:space="preserve">en caso califique como </w:t>
      </w:r>
      <w:proofErr w:type="gramStart"/>
      <w:r w:rsidRPr="00DF5858">
        <w:rPr>
          <w:rFonts w:ascii="Arial Narrow" w:eastAsia="Arial Narrow" w:hAnsi="Arial Narrow" w:cs="Arial"/>
          <w:color w:val="000000"/>
          <w:kern w:val="0"/>
          <w14:ligatures w14:val="none"/>
        </w:rPr>
        <w:t>micro empresa</w:t>
      </w:r>
      <w:proofErr w:type="gramEnd"/>
      <w:r w:rsidRPr="00DF5858">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Fonts w:ascii="Arial Narrow" w:eastAsia="Arial Narrow" w:hAnsi="Arial Narrow" w:cs="Arial"/>
          <w:color w:val="000000"/>
          <w:kern w:val="0"/>
          <w:vertAlign w:val="superscript"/>
          <w14:ligatures w14:val="none"/>
        </w:rPr>
        <w:footnoteReference w:id="4"/>
      </w:r>
      <w:r w:rsidRPr="00DF585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w14:ligatures w14:val="none"/>
        </w:rPr>
        <w:t>Código</w:t>
      </w:r>
      <w:r w:rsidRPr="00DF5858">
        <w:rPr>
          <w:rFonts w:ascii="Arial Narrow" w:eastAsia="Arial Narrow" w:hAnsi="Arial Narrow" w:cs="Arial"/>
          <w:color w:val="000000"/>
          <w:spacing w:val="-2"/>
          <w:kern w:val="0"/>
          <w:vertAlign w:val="superscript"/>
          <w14:ligatures w14:val="none"/>
        </w:rPr>
        <w:footnoteReference w:id="5"/>
      </w:r>
      <w:r w:rsidRPr="00DF5858">
        <w:rPr>
          <w:rFonts w:ascii="Arial Narrow" w:eastAsia="Arial Narrow" w:hAnsi="Arial Narrow" w:cs="Arial"/>
          <w:color w:val="000000"/>
          <w:spacing w:val="-2"/>
          <w:kern w:val="0"/>
          <w14:ligatures w14:val="none"/>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D230F2"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CUARTO: </w:t>
      </w:r>
      <w:r w:rsidRPr="00DF5858">
        <w:rPr>
          <w:rFonts w:ascii="Arial Narrow" w:eastAsia="Arial Narrow" w:hAnsi="Arial Narrow"/>
          <w:color w:val="000000"/>
        </w:rPr>
        <w:t xml:space="preserve">correr traslado de la denuncia interpuesta el 20 de abril de 2026 </w:t>
      </w:r>
      <w:r w:rsidR="00BD0FFA" w:rsidRPr="00DF5858">
        <w:rPr>
          <w:rFonts w:ascii="Arial Narrow" w:eastAsia="Arial Narrow" w:hAnsi="Arial Narrow"/>
          <w:color w:val="000000"/>
        </w:rPr>
        <w:t>La Positiva Seguros y Reaseguros S.A.</w:t>
      </w:r>
      <w:r w:rsidRPr="00DF5858">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774AFBA5" w14: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SEXTO:</w:t>
      </w:r>
      <w:r w:rsidRPr="00DF5858">
        <w:rPr>
          <w:rFonts w:ascii="Arial Narrow" w:eastAsia="Arial Narrow" w:hAnsi="Arial Narrow" w:cs="Arial Narrow"/>
          <w:color w:val="000000"/>
          <w:kern w:val="0"/>
          <w:lang w:eastAsia="es-PE"/>
          <w14:ligatures w14:val="none"/>
        </w:rPr>
        <w:t xml:space="preserve"> </w:t>
      </w:r>
      <w:bookmarkStart w:id="3" w:name="_Hlk188286915"/>
      <w:r w:rsidRPr="00DF5858">
        <w:rPr>
          <w:rFonts w:ascii="Arial Narrow" w:eastAsia="Arial Narrow" w:hAnsi="Arial Narrow" w:cs="Arial Narrow"/>
          <w:color w:val="000000"/>
          <w:kern w:val="0"/>
          <w:lang w:eastAsia="es-PE"/>
          <w14:ligatures w14:val="none"/>
        </w:rPr>
        <w:t xml:space="preserve">informar a las partes que el artículo 110 de la Ley </w:t>
      </w:r>
      <w:r w:rsidR="003A71B1" w:rsidRPr="00DF5858">
        <w:rPr>
          <w:rFonts w:ascii="Arial Narrow" w:eastAsia="Arial Narrow" w:hAnsi="Arial Narrow" w:cs="Times New Roman"/>
          <w:color w:val="000000"/>
          <w:kern w:val="0"/>
          <w:lang w:eastAsia="es-PE"/>
          <w14:ligatures w14:val="none"/>
        </w:rPr>
        <w:t>29571</w:t>
      </w:r>
      <w:r w:rsidRPr="00DF5858">
        <w:rPr>
          <w:rFonts w:ascii="Arial Narrow" w:eastAsia="Arial Narrow" w:hAnsi="Arial Narrow" w:cs="Arial Narrow"/>
          <w:color w:val="000000"/>
          <w:kern w:val="0"/>
          <w:lang w:eastAsia="es-PE"/>
          <w14:ligatures w14:val="none"/>
        </w:rPr>
        <w:t>, Código de Protección y Defensa del Consumidor</w:t>
      </w:r>
      <w:r w:rsidRPr="00DF5858">
        <w:rPr>
          <w:rFonts w:ascii="Arial Narrow" w:eastAsia="Arial Narrow" w:hAnsi="Arial Narrow" w:cs="Times New Roman"/>
          <w:color w:val="000000"/>
          <w:kern w:val="0"/>
          <w:vertAlign w:val="superscript"/>
          <w:lang w:eastAsia="es-PE"/>
          <w14:ligatures w14:val="none"/>
        </w:rPr>
        <w:footnoteReference w:id="6"/>
      </w:r>
      <w:r w:rsidRPr="00DF585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Fonts w:ascii="Arial Narrow" w:eastAsia="Arial Narrow" w:hAnsi="Arial Narrow" w:cs="Times New Roman"/>
          <w:color w:val="000000"/>
          <w:kern w:val="0"/>
          <w:vertAlign w:val="superscript"/>
          <w:lang w:eastAsia="es-PE"/>
          <w14:ligatures w14:val="none"/>
        </w:rPr>
        <w:footnoteReference w:id="7"/>
      </w:r>
      <w:r w:rsidRPr="00DF5858">
        <w:rPr>
          <w:rFonts w:ascii="Arial Narrow" w:eastAsia="Arial Narrow" w:hAnsi="Arial Narrow" w:cs="Arial Narrow"/>
          <w:color w:val="000000"/>
          <w:kern w:val="0"/>
          <w:lang w:eastAsia="es-PE"/>
          <w14:ligatures w14:val="none"/>
        </w:rPr>
        <w:t xml:space="preserve">. </w:t>
      </w:r>
      <w:bookmarkEnd w:id="3"/>
      <w:r w:rsidRPr="00DF585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Fonts w:ascii="Arial Narrow" w:eastAsia="Arial Narrow" w:hAnsi="Arial Narrow" w:cs="Times New Roman"/>
          <w:color w:val="000000"/>
          <w:kern w:val="0"/>
          <w:vertAlign w:val="superscript"/>
          <w:lang w:eastAsia="es-PE"/>
          <w14:ligatures w14:val="none"/>
        </w:rPr>
        <w:footnoteReference w:id="8"/>
      </w:r>
      <w:r w:rsidRPr="00DF5858">
        <w:rPr>
          <w:rFonts w:ascii="Arial Narrow" w:eastAsia="Arial Narrow" w:hAnsi="Arial Narrow" w:cs="Arial Narrow"/>
          <w:color w:val="000000"/>
          <w:kern w:val="0"/>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SÉTIMO:</w:t>
      </w:r>
      <w:r w:rsidRPr="00DF585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r w:rsidRPr="00DF5858">
        <w:rPr>
          <w:rFonts w:ascii="Arial Narrow" w:eastAsia="Arial Narrow" w:hAnsi="Arial Narrow" w:cs="Arial"/>
          <w:b/>
          <w:bCs/>
          <w:color w:val="000000"/>
          <w:kern w:val="0"/>
          <w14:ligatures w14:val="none"/>
        </w:rPr>
        <w:t>OCTAVO</w:t>
      </w:r>
      <w:r w:rsidRPr="00DF5858">
        <w:rPr>
          <w:rFonts w:ascii="Arial Narrow" w:eastAsia="Arial Narrow" w:hAnsi="Arial Narrow" w:cs="Arial"/>
          <w:b/>
          <w:color w:val="000000"/>
          <w:kern w:val="0"/>
          <w14:ligatures w14:val="none"/>
        </w:rPr>
        <w:t>:</w:t>
      </w:r>
      <w:r w:rsidRPr="00DF5858">
        <w:rPr>
          <w:rFonts w:ascii="Arial Narrow" w:eastAsia="Arial Narrow" w:hAnsi="Arial Narrow" w:cs="Arial"/>
          <w:color w:val="000000"/>
          <w:kern w:val="0"/>
          <w14:ligatures w14:val="none"/>
        </w:rPr>
        <w:t xml:space="preserve"> comunicar a las partes que, </w:t>
      </w:r>
      <w:proofErr w:type="gramStart"/>
      <w:r w:rsidRPr="00DF5858">
        <w:rPr>
          <w:rFonts w:ascii="Arial Narrow" w:eastAsia="Arial Narrow" w:hAnsi="Arial Narrow" w:cs="Arial"/>
          <w:color w:val="000000"/>
          <w:kern w:val="0"/>
          <w14:ligatures w14:val="none"/>
        </w:rPr>
        <w:t>de acuerdo a</w:t>
      </w:r>
      <w:proofErr w:type="gramEnd"/>
      <w:r w:rsidRPr="00DF5858">
        <w:rPr>
          <w:rFonts w:ascii="Arial Narrow" w:eastAsia="Arial Narrow" w:hAnsi="Arial Narrow" w:cs="Arial"/>
          <w:color w:val="000000"/>
          <w:kern w:val="0"/>
          <w14:ligatures w14:val="none"/>
        </w:rPr>
        <w:t xml:space="preserve"> lo señalado por el artículo 29 del Decreto </w:t>
      </w:r>
      <w:proofErr w:type="gramStart"/>
      <w:r w:rsidRPr="00DF5858">
        <w:rPr>
          <w:rFonts w:ascii="Arial Narrow" w:eastAsia="Arial Narrow" w:hAnsi="Arial Narrow" w:cs="Arial"/>
          <w:color w:val="000000"/>
          <w:kern w:val="0"/>
          <w14:ligatures w14:val="none"/>
        </w:rPr>
        <w:t>Legislativo 807</w:t>
      </w:r>
      <w:proofErr w:type="gramEnd"/>
      <w:r w:rsidRPr="00DF5858">
        <w:rPr>
          <w:rFonts w:ascii="Arial Narrow" w:eastAsia="Arial Narrow" w:hAnsi="Arial Narrow" w:cs="Arial"/>
          <w:color w:val="000000"/>
          <w:kern w:val="0"/>
          <w:vertAlign w:val="superscript"/>
          <w14:ligatures w14:val="none"/>
        </w:rPr>
        <w:footnoteReference w:id="9"/>
      </w:r>
      <w:r w:rsidRPr="00DF5858">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DF5858">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w14:ligatures w14:val="none"/>
        </w:rPr>
        <w:t>expresamente su facultad para asistir y conciliar en su representación</w:t>
      </w:r>
      <w:r w:rsidRPr="00DF5858">
        <w:rPr>
          <w:rFonts w:ascii="Arial Narrow" w:eastAsia="Arial Narrow" w:hAnsi="Arial Narrow" w:cs="Arial"/>
          <w:bCs/>
          <w:color w:val="000000"/>
          <w:kern w:val="0"/>
          <w14:ligatures w14:val="none"/>
        </w:rPr>
        <w:t>.</w:t>
      </w:r>
      <w:r w:rsidRPr="00DF5858">
        <w:rPr>
          <w:rFonts w:ascii="Arial Narrow" w:eastAsia="Arial Narrow" w:hAnsi="Arial Narrow" w:cs="Arial"/>
          <w:b/>
          <w:bCs/>
          <w:color w:val="000000"/>
          <w:kern w:val="0"/>
          <w14:ligatures w14:val="none"/>
        </w:rPr>
        <w:t xml:space="preserve"> </w:t>
      </w:r>
      <w:r w:rsidRPr="00DF585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Times New Roman"/>
          <w:b/>
          <w:color w:val="000000"/>
          <w:kern w:val="0"/>
          <w:lang w:eastAsia="es-PE"/>
          <w14:ligatures w14:val="none"/>
        </w:rPr>
        <w:t>NOVENO:</w:t>
      </w:r>
      <w:r w:rsidRPr="00DF585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p>
    <w:p w14:paraId="4DC127CF" w14: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w:t>
      </w:r>
      <w:r w:rsidRPr="00DF5858">
        <w:rPr>
          <w:rFonts w:ascii="Arial Narrow" w:eastAsia="Arial Narrow" w:hAnsi="Arial Narrow"/>
          <w:color w:val="000000"/>
        </w:rPr>
        <w:t xml:space="preserve">requerir al señor Efraín Coronel Quispe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w:t>
      </w:r>
      <w:r w:rsidR="00D9626E" w:rsidRPr="00EB4D2D">
        <w:rPr>
          <w:rFonts w:ascii="Arial Narrow" w:hAnsi="Arial Narrow"/>
          <w:color w:val="000000"/>
        </w:rPr>
        <w:t>normativo</w:t>
      </w:r>
      <w:r w:rsidR="00D9626E" w:rsidRPr="00EB4D2D">
        <w:rPr>
          <w:rFonts w:ascii="Arial Narrow" w:hAnsi="Arial Narrow"/>
          <w:vertAlign w:val="superscript"/>
        </w:rPr>
        <w:footnoteReference w:id="10"/>
      </w:r>
      <w:r w:rsidR="00D9626E" w:rsidRPr="00EB4D2D">
        <w:rPr>
          <w:rFonts w:ascii="Arial Narrow" w:hAnsi="Arial Narrow" w:cs="Arial"/>
        </w:rPr>
        <w:t>.</w:t>
      </w:r>
    </w:p>
    <w:p w14:paraId="61F34625" w14:textId="3E905C07" w:rsidR="005B4857" w:rsidRPr="00DF5858" w:rsidRDefault="005B4857" w:rsidP="00DF5858">
      <w:pPr>
        <w:suppressAutoHyphens/>
        <w:spacing w:after="0" w:line="240" w:lineRule="auto"/>
        <w:jc w:val="both"/>
        <w:rPr>
          <w:rFonts w:ascii="Arial Narrow" w:hAnsi="Arial Narrow" w:cs="Arial"/>
        </w:rPr>
      </w:pPr>
    </w:p>
    <w:p w14:paraId="083D8417" w14: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hAnsi="Arial Narrow" w:cs="Arial"/>
          <w:bCs/>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w14:paraId="35BE4E13" w14: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w14:paraId="4423ADE9" w14:textId="77777777" w:rsidR="00CA59A2" w:rsidRPr="00DF5858" w:rsidRDefault="00CA59A2" w:rsidP="00DF5858">
      <w:pPr>
        <w:spacing w:after="0" w:line="240" w:lineRule="auto"/>
        <w:jc w:val="both"/>
        <w:rPr>
          <w:rFonts w:ascii="Arial Narrow" w:hAnsi="Arial Narrow"/>
        </w:rPr>
      </w:pPr>
    </w:p>
    <w:p w14:paraId="74AAB5F4" w14: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 publicado el 2 de setiembre de 2010 en el Diario Oficial El Peruano, vigente desde el 2 de octubre del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TextonotapieCar"/>
          <w:rFonts w:ascii="Arial Narrow" w:hAnsi="Arial Narrow" w:cs="Arial"/>
          <w:b/>
          <w:sz w:val="15"/>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5"/>
          <w:szCs w:val="15"/>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