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577FA" w14: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DENUNCIANTE</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JUAN CARLOS CHANAMÉ MORALES </w:t>
      </w:r>
      <w:r w:rsidRPr="0004351B">
        <w:rPr>
          <w:rFonts w:ascii="Arial Narrow" w:eastAsia="Arial Narrow" w:hAnsi="Arial Narrow" w:cs="Arial Narrow"/>
          <w:b/>
          <w:sz w:val="21"/>
          <w:szCs w:val="21"/>
        </w:rPr>
        <w:t xml:space="preserve">(SEÑOR </w:t>
      </w:r>
      <w:r w:rsidR="0004351B" w:rsidRPr="0004351B">
        <w:rPr>
          <w:rFonts w:ascii="Arial Narrow" w:eastAsia="Arial Narrow" w:hAnsi="Arial Narrow" w:cs="Arial Narrow"/>
          <w:b/>
          <w:sz w:val="21"/>
          <w:szCs w:val="21"/>
        </w:rPr>
        <w:t>CHANAMÉ</w:t>
      </w:r>
      <w:r w:rsidRPr="0004351B">
        <w:rPr>
          <w:rFonts w:ascii="Arial Narrow" w:eastAsia="Arial Narrow" w:hAnsi="Arial Narrow" w:cs="Arial Narrow"/>
          <w:b/>
          <w:sz w:val="21"/>
          <w:szCs w:val="21"/>
        </w:rPr>
        <w:t>)</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w14:paraId="3C9D0870" w14: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w14:paraId="6F598308" w14:textId="77777777" w:rsidR="006927E3" w:rsidRPr="009125D5" w:rsidRDefault="006927E3" w:rsidP="00C972CE">
      <w:pPr>
        <w:jc w:val="both"/>
        <w:rPr>
          <w:rFonts w:ascii="Arial Narrow" w:hAnsi="Arial Narrow"/>
          <w:sz w:val="21"/>
          <w:szCs w:val="21"/>
        </w:rPr>
      </w:pPr>
    </w:p>
    <w:p w14:paraId="5804BBA5" w14: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w14:paraId="489F9EF4" w14:textId="77777777" w:rsidR="006927E3" w:rsidRPr="00495560" w:rsidRDefault="006927E3" w:rsidP="00C972CE">
      <w:pPr>
        <w:tabs>
          <w:tab w:val="left" w:pos="1014"/>
        </w:tabs>
        <w:jc w:val="both"/>
        <w:rPr>
          <w:rFonts w:ascii="Arial Narrow" w:hAnsi="Arial Narrow"/>
          <w:sz w:val="21"/>
          <w:szCs w:val="21"/>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w14:paraId="11436ACC" w14:textId="77777777" w:rsidR="006927E3" w:rsidRPr="00495560" w:rsidRDefault="006927E3" w:rsidP="00C972CE">
      <w:pPr>
        <w:jc w:val="both"/>
        <w:rPr>
          <w:rFonts w:ascii="Arial Narrow" w:hAnsi="Arial Narrow"/>
          <w:sz w:val="21"/>
          <w:szCs w:val="21"/>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w:t>
      </w:r>
      <w:r w:rsidRPr="00495560">
        <w:rPr>
          <w:rFonts w:ascii="Arial Narrow" w:hAnsi="Arial Narrow"/>
          <w:sz w:val="21"/>
          <w:szCs w:val="21"/>
          <w:lang w:val="es-ES" w:eastAsia="es-ES"/>
        </w:rPr>
        <w:tab/>
        <w:t xml:space="preserve">Por escrito del </w:t>
      </w:r>
      <w:r w:rsidR="001C1ED5" w:rsidRPr="001C1ED5">
        <w:rPr>
          <w:rFonts w:ascii="Arial Narrow" w:hAnsi="Arial Narrow"/>
          <w:sz w:val="21"/>
          <w:szCs w:val="21"/>
          <w:lang w:eastAsia="es-ES"/>
        </w:rPr>
        <w:t xml:space="preserve">12 de febrero de </w:t>
      </w:r>
      <w:r w:rsidR="001C1ED5" w:rsidRPr="00B6648A">
        <w:rPr>
          <w:rFonts w:ascii="Arial Narrow" w:hAnsi="Arial Narrow"/>
          <w:sz w:val="21"/>
          <w:szCs w:val="21"/>
          <w:lang w:eastAsia="es-ES"/>
        </w:rPr>
        <w:t>2025</w:t>
      </w:r>
      <w:r w:rsidRPr="00B6648A">
        <w:rPr>
          <w:rStyle w:val="Refdenotaalpie"/>
          <w:rFonts w:ascii="Arial Narrow" w:hAnsi="Arial Narrow"/>
          <w:sz w:val="21"/>
          <w:szCs w:val="21"/>
          <w:lang w:eastAsia="es-ES"/>
        </w:rPr>
        <w:footnoteReference w:id="1"/>
      </w:r>
      <w:r w:rsidRPr="00B6648A">
        <w:rPr>
          <w:rFonts w:ascii="Arial Narrow" w:hAnsi="Arial Narrow"/>
          <w:sz w:val="21"/>
          <w:szCs w:val="21"/>
          <w:lang w:val="es-ES" w:eastAsia="es-ES"/>
        </w:rPr>
        <w:t xml:space="preserve"> </w:t>
      </w:r>
      <w:r w:rsidR="001C1ED5" w:rsidRPr="00B6648A">
        <w:rPr>
          <w:rFonts w:ascii="Arial Narrow" w:hAnsi="Arial Narrow"/>
          <w:sz w:val="21"/>
          <w:szCs w:val="21"/>
          <w:lang w:val="es-ES" w:eastAsia="es-ES"/>
        </w:rPr>
        <w:t>el</w:t>
      </w:r>
      <w:r w:rsidRPr="00B6648A">
        <w:rPr>
          <w:rFonts w:ascii="Arial Narrow" w:hAnsi="Arial Narrow"/>
          <w:sz w:val="21"/>
          <w:szCs w:val="21"/>
          <w:lang w:val="es-ES" w:eastAsia="es-ES"/>
        </w:rPr>
        <w:t xml:space="preserve"> </w:t>
      </w:r>
      <w:r w:rsidR="001C1ED5" w:rsidRPr="00B6648A">
        <w:rPr>
          <w:rFonts w:ascii="Arial Narrow" w:hAnsi="Arial Narrow"/>
          <w:sz w:val="21"/>
          <w:szCs w:val="21"/>
          <w:lang w:val="es-ES" w:eastAsia="es-ES"/>
        </w:rPr>
        <w:t xml:space="preserve">señor Chanamé </w:t>
      </w:r>
      <w:r w:rsidRPr="00B6648A">
        <w:rPr>
          <w:rFonts w:ascii="Arial Narrow" w:hAnsi="Arial Narrow"/>
          <w:sz w:val="21"/>
          <w:szCs w:val="21"/>
          <w:lang w:val="es-ES" w:eastAsia="es-ES"/>
        </w:rPr>
        <w:t xml:space="preserve">denunció a Interseguro, por presunta infracción de la Ley 29571, Código de Protección y Defensa del Consumidor (en adelante, el Código), manifestando lo siguiente: </w:t>
      </w:r>
    </w:p>
    <w:p w14:paraId="789BCEB3" w14:textId="55485ECA" w:rsidR="004A6CC6" w:rsidRPr="00B6648A" w:rsidRDefault="004A6CC6" w:rsidP="00C972CE">
      <w:pPr>
        <w:jc w:val="both"/>
        <w:rPr>
          <w:rFonts w:ascii="Arial Narrow" w:hAnsi="Arial Narrow"/>
          <w:color w:val="auto"/>
          <w:sz w:val="21"/>
          <w:szCs w:val="21"/>
        </w:rPr>
      </w:pPr>
    </w:p>
    <w:p w14:paraId="07214BCE" w14: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hAnsi="Arial Narrow"/>
          <w:sz w:val="21"/>
          <w:szCs w:val="21"/>
        </w:rPr>
      </w:pPr>
    </w:p>
    <w:p w14:paraId="736EFC43" w14: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hAnsi="Arial Narrow"/>
          <w:sz w:val="21"/>
          <w:szCs w:val="21"/>
        </w:rPr>
      </w:pPr>
    </w:p>
    <w:p w14:paraId="71914DC8" w14: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w14:paraId="6E61F454" w14:textId="77777777" w:rsidR="00871E4F" w:rsidRPr="00B6648A" w:rsidRDefault="00871E4F" w:rsidP="00BD71E8">
      <w:pPr>
        <w:pStyle w:val="Prrafodelista"/>
        <w:ind w:left="1440"/>
        <w:jc w:val="both"/>
        <w:rPr>
          <w:rFonts w:ascii="Arial Narrow" w:hAnsi="Arial Narrow"/>
          <w:sz w:val="21"/>
          <w:szCs w:val="21"/>
        </w:rPr>
      </w:pPr>
    </w:p>
    <w:p w14:paraId="3EE73254" w14: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w14:paraId="391C7460" w14:textId="77777777" w:rsidR="00871E4F" w:rsidRPr="00B6648A" w:rsidRDefault="00871E4F" w:rsidP="0070139A">
      <w:pPr>
        <w:jc w:val="both"/>
        <w:rPr>
          <w:rFonts w:ascii="Arial Narrow" w:hAnsi="Arial Narrow"/>
          <w:sz w:val="21"/>
          <w:szCs w:val="21"/>
        </w:rPr>
      </w:pPr>
    </w:p>
    <w:p w14:paraId="13F784FD" w14: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w14:paraId="254EE439" w14:textId="77777777" w:rsidR="004A6CC6" w:rsidRPr="00B6648A" w:rsidRDefault="004A6CC6" w:rsidP="00C972CE">
      <w:pPr>
        <w:jc w:val="both"/>
        <w:rPr>
          <w:rFonts w:ascii="Arial Narrow" w:hAnsi="Arial Narrow"/>
          <w:color w:val="auto"/>
          <w:sz w:val="21"/>
          <w:szCs w:val="21"/>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Chanamé </w:t>
      </w:r>
      <w:r w:rsidR="004A6CC6" w:rsidRPr="00B6648A">
        <w:rPr>
          <w:rFonts w:ascii="Arial Narrow" w:hAnsi="Arial Narrow"/>
          <w:color w:val="auto"/>
          <w:sz w:val="21"/>
          <w:szCs w:val="21"/>
        </w:rPr>
        <w:t xml:space="preserve">solicitó, en calidad de medida correctiva, que Interseguro </w:t>
      </w:r>
      <w:r w:rsidR="009238E5" w:rsidRPr="00B6648A">
        <w:rPr>
          <w:rFonts w:ascii="Arial Narrow" w:hAnsi="Arial Narrow"/>
          <w:color w:val="auto"/>
          <w:sz w:val="21"/>
          <w:szCs w:val="21"/>
        </w:rPr>
        <w:t>cumpla con otorgar</w:t>
      </w:r>
      <w:r w:rsidR="004A6CC6" w:rsidRPr="00B6648A">
        <w:rPr>
          <w:rFonts w:ascii="Arial Narrow" w:hAnsi="Arial Narrow"/>
          <w:color w:val="auto"/>
          <w:sz w:val="21"/>
          <w:szCs w:val="21"/>
        </w:rPr>
        <w:t xml:space="preserve"> </w:t>
      </w:r>
      <w:r w:rsidR="009238E5" w:rsidRPr="00B6648A">
        <w:rPr>
          <w:rFonts w:ascii="Arial Narrow" w:hAnsi="Arial Narrow"/>
          <w:color w:val="auto"/>
          <w:sz w:val="21"/>
          <w:szCs w:val="21"/>
        </w:rPr>
        <w:t xml:space="preserve">la devolución del dinero aportado </w:t>
      </w:r>
      <w:r w:rsidR="00DD1889" w:rsidRPr="00B6648A">
        <w:rPr>
          <w:rFonts w:ascii="Arial Narrow" w:hAnsi="Arial Narrow"/>
          <w:color w:val="auto"/>
          <w:sz w:val="21"/>
          <w:szCs w:val="21"/>
        </w:rPr>
        <w:t xml:space="preserve">correspondiente a los pagos de las primas </w:t>
      </w:r>
      <w:r w:rsidR="009238E5" w:rsidRPr="00B6648A">
        <w:rPr>
          <w:rFonts w:ascii="Arial Narrow" w:hAnsi="Arial Narrow"/>
          <w:color w:val="auto"/>
          <w:sz w:val="21"/>
          <w:szCs w:val="21"/>
        </w:rPr>
        <w:t>de</w:t>
      </w:r>
      <w:r w:rsidR="00660D4B" w:rsidRPr="00B6648A">
        <w:rPr>
          <w:rFonts w:ascii="Arial Narrow" w:hAnsi="Arial Narrow"/>
          <w:color w:val="auto"/>
          <w:sz w:val="21"/>
          <w:szCs w:val="21"/>
        </w:rPr>
        <w:t xml:space="preserve">l Seguro de vida </w:t>
      </w:r>
      <w:r w:rsidR="00DD1889" w:rsidRPr="00B6648A">
        <w:rPr>
          <w:rFonts w:ascii="Arial Narrow" w:hAnsi="Arial Narrow"/>
          <w:color w:val="auto"/>
          <w:sz w:val="21"/>
          <w:szCs w:val="21"/>
        </w:rPr>
        <w:t>por el periodo de</w:t>
      </w:r>
      <w:r w:rsidR="009238E5" w:rsidRPr="00B6648A">
        <w:rPr>
          <w:rFonts w:ascii="Arial Narrow" w:hAnsi="Arial Narrow"/>
          <w:color w:val="auto"/>
          <w:sz w:val="21"/>
          <w:szCs w:val="21"/>
        </w:rPr>
        <w:t xml:space="preserve"> </w:t>
      </w:r>
      <w:r w:rsidR="00DD1889" w:rsidRPr="00B6648A">
        <w:rPr>
          <w:rFonts w:ascii="Arial Narrow" w:hAnsi="Arial Narrow"/>
          <w:color w:val="auto"/>
          <w:sz w:val="21"/>
          <w:szCs w:val="21"/>
        </w:rPr>
        <w:t>diez</w:t>
      </w:r>
      <w:r w:rsidR="009238E5" w:rsidRPr="00B6648A">
        <w:rPr>
          <w:rFonts w:ascii="Arial Narrow" w:hAnsi="Arial Narrow"/>
          <w:color w:val="auto"/>
          <w:sz w:val="21"/>
          <w:szCs w:val="21"/>
        </w:rPr>
        <w:t xml:space="preserve"> </w:t>
      </w:r>
      <w:r w:rsidR="00DD1889" w:rsidRPr="00B6648A">
        <w:rPr>
          <w:rFonts w:ascii="Arial Narrow" w:hAnsi="Arial Narrow"/>
          <w:color w:val="auto"/>
          <w:sz w:val="21"/>
          <w:szCs w:val="21"/>
        </w:rPr>
        <w:t>(</w:t>
      </w:r>
      <w:r w:rsidR="009238E5" w:rsidRPr="00B6648A">
        <w:rPr>
          <w:rFonts w:ascii="Arial Narrow" w:hAnsi="Arial Narrow"/>
          <w:color w:val="auto"/>
          <w:sz w:val="21"/>
          <w:szCs w:val="21"/>
        </w:rPr>
        <w:t>10</w:t>
      </w:r>
      <w:r w:rsidR="00DD1889" w:rsidRPr="00B6648A">
        <w:rPr>
          <w:rFonts w:ascii="Arial Narrow" w:hAnsi="Arial Narrow"/>
          <w:color w:val="auto"/>
          <w:sz w:val="21"/>
          <w:szCs w:val="21"/>
        </w:rPr>
        <w:t>)</w:t>
      </w:r>
      <w:r w:rsidR="009238E5" w:rsidRPr="00B6648A">
        <w:rPr>
          <w:rFonts w:ascii="Arial Narrow" w:hAnsi="Arial Narrow"/>
          <w:color w:val="auto"/>
          <w:sz w:val="21"/>
          <w:szCs w:val="21"/>
        </w:rPr>
        <w:t xml:space="preserve"> años</w:t>
      </w:r>
      <w:r w:rsidR="00DD1889" w:rsidRPr="00B6648A">
        <w:rPr>
          <w:rFonts w:ascii="Arial Narrow" w:hAnsi="Arial Narrow"/>
          <w:color w:val="auto"/>
          <w:sz w:val="21"/>
          <w:szCs w:val="21"/>
        </w:rPr>
        <w:t>, más</w:t>
      </w:r>
      <w:r w:rsidR="009238E5" w:rsidRPr="00B6648A">
        <w:rPr>
          <w:rFonts w:ascii="Arial Narrow" w:hAnsi="Arial Narrow"/>
          <w:color w:val="auto"/>
          <w:sz w:val="21"/>
          <w:szCs w:val="21"/>
        </w:rPr>
        <w:t xml:space="preserve"> los inte</w:t>
      </w:r>
      <w:r w:rsidR="00DD1889" w:rsidRPr="00B6648A">
        <w:rPr>
          <w:rFonts w:ascii="Arial Narrow" w:hAnsi="Arial Narrow"/>
          <w:color w:val="auto"/>
          <w:sz w:val="21"/>
          <w:szCs w:val="21"/>
        </w:rPr>
        <w:t>reses</w:t>
      </w:r>
      <w:r w:rsidR="009238E5" w:rsidRPr="00B6648A">
        <w:rPr>
          <w:rFonts w:ascii="Arial Narrow" w:hAnsi="Arial Narrow"/>
          <w:color w:val="auto"/>
          <w:sz w:val="21"/>
          <w:szCs w:val="21"/>
        </w:rPr>
        <w:t xml:space="preserve"> y costos</w:t>
      </w:r>
      <w:r w:rsidR="00DD1889" w:rsidRPr="00B6648A">
        <w:rPr>
          <w:rFonts w:ascii="Arial Narrow" w:hAnsi="Arial Narrow"/>
          <w:color w:val="auto"/>
          <w:sz w:val="21"/>
          <w:szCs w:val="21"/>
        </w:rPr>
        <w:t xml:space="preserve"> correspondientes. </w:t>
      </w:r>
      <w:r w:rsidR="004A6CC6" w:rsidRPr="00B6648A">
        <w:rPr>
          <w:rFonts w:ascii="Arial Narrow" w:hAnsi="Arial Narrow"/>
          <w:color w:val="auto"/>
          <w:sz w:val="21"/>
          <w:szCs w:val="21"/>
        </w:rPr>
        <w:t>Asimismo, requirió el pago de las costas y costos del procedimiento.</w:t>
      </w:r>
    </w:p>
    <w:p w14:paraId="30006F7F" w14:textId="77777777" w:rsidR="004A6CC6" w:rsidRPr="00495560" w:rsidRDefault="004A6CC6" w:rsidP="00C972CE">
      <w:pPr>
        <w:pStyle w:val="Prrafodelista"/>
        <w:ind w:left="502"/>
        <w:jc w:val="both"/>
        <w:rPr>
          <w:rFonts w:ascii="Arial Narrow" w:hAnsi="Arial Narrow"/>
          <w:sz w:val="21"/>
          <w:szCs w:val="21"/>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A través</w:t>
      </w:r>
      <w:r w:rsidR="004A6CC6" w:rsidRPr="00495560">
        <w:rPr>
          <w:rFonts w:ascii="Arial Narrow" w:hAnsi="Arial Narrow"/>
          <w:sz w:val="21"/>
          <w:szCs w:val="21"/>
          <w:lang w:val="es-ES" w:eastAsia="es-ES"/>
        </w:rPr>
        <w:t xml:space="preserve"> de la</w:t>
      </w:r>
      <w:r w:rsidRPr="00495560">
        <w:rPr>
          <w:rFonts w:ascii="Arial Narrow" w:hAnsi="Arial Narrow"/>
          <w:sz w:val="21"/>
          <w:szCs w:val="21"/>
          <w:lang w:val="es-ES" w:eastAsia="es-ES"/>
        </w:rPr>
        <w:t xml:space="preserve"> </w:t>
      </w:r>
      <w:r w:rsidR="004A6CC6" w:rsidRPr="00495560">
        <w:rPr>
          <w:rFonts w:ascii="Arial Narrow" w:hAnsi="Arial Narrow"/>
          <w:sz w:val="21"/>
          <w:szCs w:val="21"/>
          <w:lang w:eastAsia="es-ES"/>
        </w:rPr>
        <w:t xml:space="preserve">Resolución 1 del </w:t>
      </w:r>
      <w:r w:rsidR="006C74A2" w:rsidRPr="006C74A2">
        <w:rPr>
          <w:rFonts w:ascii="Arial Narrow" w:hAnsi="Arial Narrow"/>
          <w:sz w:val="21"/>
          <w:szCs w:val="21"/>
          <w:lang w:eastAsia="es-ES"/>
        </w:rPr>
        <w:t>31 de marzo de 2025</w:t>
      </w:r>
      <w:r w:rsidR="004A6CC6" w:rsidRPr="00495560">
        <w:rPr>
          <w:rFonts w:ascii="Arial Narrow" w:hAnsi="Arial Narrow"/>
          <w:sz w:val="21"/>
          <w:szCs w:val="21"/>
          <w:lang w:eastAsia="es-ES"/>
        </w:rPr>
        <w:t xml:space="preserve">, la Secretaría Técnica de la Comisión de Protección al Consumidor 1 (en adelante, Secretaría Técnica) </w:t>
      </w:r>
      <w:r w:rsidR="009E72E8">
        <w:rPr>
          <w:rFonts w:ascii="Arial Narrow" w:hAnsi="Arial Narrow"/>
          <w:sz w:val="21"/>
          <w:szCs w:val="21"/>
          <w:lang w:eastAsia="es-ES"/>
        </w:rPr>
        <w:t>r</w:t>
      </w:r>
      <w:r w:rsidR="009E72E8" w:rsidRPr="009E72E8">
        <w:rPr>
          <w:rFonts w:ascii="Arial Narrow" w:hAnsi="Arial Narrow"/>
          <w:sz w:val="21"/>
          <w:szCs w:val="21"/>
          <w:lang w:eastAsia="es-ES"/>
        </w:rPr>
        <w:t xml:space="preserve">equirió al señor Chanamé que cumpla, en un plazo </w:t>
      </w:r>
      <w:r w:rsidR="009E72E8" w:rsidRPr="009E72E8">
        <w:rPr>
          <w:rFonts w:ascii="Arial Narrow" w:hAnsi="Arial Narrow"/>
          <w:sz w:val="21"/>
          <w:szCs w:val="21"/>
          <w:lang w:eastAsia="es-ES"/>
        </w:rPr>
        <w:lastRenderedPageBreak/>
        <w:t>de dos (2) días hábiles, con señalar las fechas de las comunicaciones remitidas a Interseguro, que no obtuvieron una respuesta y que eran materia de denuncia.</w:t>
      </w:r>
    </w:p>
    <w:p w14:paraId="6EC2DBA4" w14:textId="77777777" w:rsidR="00CC45AA" w:rsidRPr="00CC45AA" w:rsidRDefault="00CC45AA" w:rsidP="00C972CE">
      <w:pPr>
        <w:pStyle w:val="Prrafodelista"/>
        <w:rPr>
          <w:rFonts w:ascii="Arial Narrow" w:hAnsi="Arial Narrow"/>
          <w:sz w:val="21"/>
          <w:szCs w:val="21"/>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8 de abril de 2025, mediante Resolución 2, la Secretaría Técnica declaró inadmisible la denuncia presentada por el señor Chanamé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hAnsi="Arial Narrow"/>
          <w:sz w:val="21"/>
          <w:szCs w:val="21"/>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16 de abril de 2025, la parte denunciante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w14:paraId="65963E7D" w14:textId="77777777" w:rsidR="00B660E6" w:rsidRPr="00B660E6" w:rsidRDefault="00B660E6" w:rsidP="00C972CE">
      <w:pPr>
        <w:pStyle w:val="Prrafodelista"/>
        <w:rPr>
          <w:rFonts w:ascii="Arial Narrow" w:hAnsi="Arial Narrow"/>
          <w:sz w:val="21"/>
          <w:szCs w:val="21"/>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w14:paraId="7C0E2D6F" w14:textId="77777777" w:rsidR="006927E3" w:rsidRPr="00A25BC3" w:rsidRDefault="006927E3" w:rsidP="00C972CE">
      <w:pPr>
        <w:jc w:val="both"/>
        <w:rPr>
          <w:rFonts w:ascii="Arial Narrow" w:hAnsi="Arial Narrow" w:cs="Arial"/>
          <w:sz w:val="21"/>
          <w:szCs w:val="21"/>
          <w:lang w:val="es-ES" w:eastAsia="es-ES"/>
        </w:rPr>
      </w:pPr>
    </w:p>
    <w:p w14:paraId="46F1F36F" w14: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w14:paraId="4B14C9C2" w14: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Juan Carlos Chanamé Morales contra Interseguro Compañía de Seguros S.A.; y, en consecuencia, se declara admisible. En </w:t>
      </w:r>
      <w:r w:rsidRPr="00592046">
        <w:rPr>
          <w:rFonts w:ascii="Arial Narrow" w:hAnsi="Arial Narrow" w:cs="Arial"/>
          <w:i/>
          <w:iCs/>
          <w:sz w:val="21"/>
          <w:szCs w:val="21"/>
          <w:lang w:eastAsia="es-ES"/>
        </w:rPr>
        <w:t>tal sentido, se dispone que la Secretaría Técnica de la Comisión de Protección al Consumidor – Sede Lima Sur 1 admita a trámite la denuncia y emita un pronunciamiento al respecto.</w:t>
      </w:r>
      <w:r w:rsidR="006927E3" w:rsidRPr="00592046">
        <w:rPr>
          <w:rFonts w:ascii="Arial Narrow" w:hAnsi="Arial Narrow" w:cs="Arial"/>
          <w:i/>
          <w:iCs/>
          <w:sz w:val="21"/>
          <w:szCs w:val="21"/>
          <w:lang w:val="es-ES" w:eastAsia="es-ES"/>
        </w:rPr>
        <w:t>”</w:t>
      </w:r>
    </w:p>
    <w:p w14:paraId="778CE88C" w14:textId="77777777" w:rsidR="006927E3" w:rsidRPr="00592046" w:rsidRDefault="006927E3" w:rsidP="00C972CE">
      <w:pPr>
        <w:contextualSpacing/>
        <w:jc w:val="both"/>
        <w:rPr>
          <w:rFonts w:ascii="Arial Narrow" w:hAnsi="Arial Narrow" w:cs="Arial"/>
          <w:sz w:val="21"/>
          <w:szCs w:val="21"/>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w:t>
      </w:r>
      <w:r w:rsidR="002330B7" w:rsidRPr="00C92C23">
        <w:rPr>
          <w:rFonts w:ascii="Arial Narrow" w:hAnsi="Arial Narrow" w:cs="Arial"/>
          <w:sz w:val="21"/>
          <w:szCs w:val="21"/>
          <w:lang w:val="es-ES" w:eastAsia="es-ES"/>
        </w:rPr>
        <w:t>Asimismo, la Sala</w:t>
      </w:r>
      <w:r w:rsidR="00C92C23" w:rsidRPr="00C92C23">
        <w:rPr>
          <w:rFonts w:ascii="Arial Narrow" w:hAnsi="Arial Narrow"/>
          <w:sz w:val="21"/>
          <w:szCs w:val="21"/>
        </w:rPr>
        <w:t xml:space="preserve"> precisó que </w:t>
      </w:r>
      <w:r w:rsidR="00C92C23" w:rsidRPr="00C92C23">
        <w:rPr>
          <w:rFonts w:ascii="Arial Narrow" w:hAnsi="Arial Narrow" w:cs="Arial"/>
          <w:sz w:val="21"/>
          <w:szCs w:val="21"/>
          <w:lang w:val="es-ES" w:eastAsia="es-ES"/>
        </w:rPr>
        <w:t>el señor Chanamé presentó sus escritos de subsanación el 5 y 6 de abril de 2025, cuyos números de cargo corresponden a 2025-V01-040478 y 2025-V01-040529; es decir, dentro del plazo señalado en la Resolución 2.</w:t>
      </w:r>
    </w:p>
    <w:p w14:paraId="0E58AB9F" w14: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Adicionalmente, la Sala advirtió</w:t>
      </w:r>
      <w:r w:rsidRPr="00223CD9">
        <w:rPr>
          <w:rFonts w:ascii="Arial Narrow" w:hAnsi="Arial Narrow" w:cs="Arial"/>
          <w:sz w:val="21"/>
          <w:szCs w:val="21"/>
          <w:lang w:val="es-ES" w:eastAsia="es-ES"/>
        </w:rPr>
        <w:t xml:space="preserve"> que el señor Chanamé consignó expresamente la fecha de la comunicación que no recibió respuesta</w:t>
      </w:r>
      <w:r>
        <w:rPr>
          <w:rFonts w:ascii="Arial Narrow" w:hAnsi="Arial Narrow" w:cs="Arial"/>
          <w:sz w:val="21"/>
          <w:szCs w:val="21"/>
          <w:lang w:val="es-ES" w:eastAsia="es-ES"/>
        </w:rPr>
        <w:t xml:space="preserve"> </w:t>
      </w:r>
      <w:r w:rsidRPr="00223CD9">
        <w:rPr>
          <w:rFonts w:ascii="Arial Narrow" w:hAnsi="Arial Narrow" w:cs="Arial"/>
          <w:sz w:val="21"/>
          <w:szCs w:val="21"/>
          <w:lang w:val="es-ES" w:eastAsia="es-ES"/>
        </w:rPr>
        <w:t>por parte de Interseguro, conforme se aprecia en el siguiente detalle: “</w:t>
      </w:r>
      <w:r w:rsidRPr="00FB4936">
        <w:rPr>
          <w:rFonts w:ascii="Arial Narrow" w:hAnsi="Arial Narrow" w:cs="Arial"/>
          <w:i/>
          <w:iCs/>
          <w:sz w:val="21"/>
          <w:szCs w:val="21"/>
          <w:lang w:val="es-ES" w:eastAsia="es-ES"/>
        </w:rPr>
        <w:t>Tengo el bien de comunicar la confirmación de respuesta de notificación y las fechas que no tuvieron respuesta: 19/08/2024</w:t>
      </w:r>
      <w:r w:rsidRPr="00223CD9">
        <w:rPr>
          <w:rFonts w:ascii="Arial Narrow" w:hAnsi="Arial Narrow" w:cs="Arial"/>
          <w:sz w:val="21"/>
          <w:szCs w:val="21"/>
          <w:lang w:val="es-ES" w:eastAsia="es-ES"/>
        </w:rPr>
        <w:t xml:space="preserve">”. </w:t>
      </w:r>
      <w:r w:rsidR="00FB4936">
        <w:rPr>
          <w:rFonts w:ascii="Arial Narrow" w:hAnsi="Arial Narrow" w:cs="Arial"/>
          <w:sz w:val="21"/>
          <w:szCs w:val="21"/>
          <w:lang w:val="es-ES" w:eastAsia="es-ES"/>
        </w:rPr>
        <w:t>Asi</w:t>
      </w:r>
      <w:r w:rsidRPr="00223CD9">
        <w:rPr>
          <w:rFonts w:ascii="Arial Narrow" w:hAnsi="Arial Narrow" w:cs="Arial"/>
          <w:sz w:val="21"/>
          <w:szCs w:val="21"/>
          <w:lang w:val="es-ES" w:eastAsia="es-ES"/>
        </w:rPr>
        <w:t xml:space="preserve">mismo, </w:t>
      </w:r>
      <w:r w:rsidR="00FB4936" w:rsidRPr="00CF544D">
        <w:rPr>
          <w:rFonts w:ascii="Arial Narrow" w:hAnsi="Arial Narrow" w:cs="Arial"/>
          <w:sz w:val="21"/>
          <w:szCs w:val="21"/>
          <w:lang w:val="es-ES" w:eastAsia="es-ES"/>
        </w:rPr>
        <w:t>la Sala advirtió que</w:t>
      </w:r>
      <w:r w:rsidRPr="00CF544D">
        <w:rPr>
          <w:rFonts w:ascii="Arial Narrow" w:hAnsi="Arial Narrow" w:cs="Arial"/>
          <w:sz w:val="21"/>
          <w:szCs w:val="21"/>
          <w:lang w:val="es-ES" w:eastAsia="es-ES"/>
        </w:rPr>
        <w:t xml:space="preserve">, </w:t>
      </w:r>
      <w:r w:rsidR="00FB4936" w:rsidRPr="00CF544D">
        <w:rPr>
          <w:rFonts w:ascii="Arial Narrow" w:hAnsi="Arial Narrow" w:cs="Arial"/>
          <w:sz w:val="21"/>
          <w:szCs w:val="21"/>
          <w:lang w:val="es-ES" w:eastAsia="es-ES"/>
        </w:rPr>
        <w:t>de los</w:t>
      </w:r>
      <w:r w:rsidRPr="00CF544D">
        <w:rPr>
          <w:rFonts w:ascii="Arial Narrow" w:hAnsi="Arial Narrow" w:cs="Arial"/>
          <w:sz w:val="21"/>
          <w:szCs w:val="21"/>
          <w:lang w:val="es-ES" w:eastAsia="es-ES"/>
        </w:rPr>
        <w:t xml:space="preserve"> medio</w:t>
      </w:r>
      <w:r w:rsidR="00FB4936" w:rsidRPr="00CF544D">
        <w:rPr>
          <w:rFonts w:ascii="Arial Narrow" w:hAnsi="Arial Narrow" w:cs="Arial"/>
          <w:sz w:val="21"/>
          <w:szCs w:val="21"/>
          <w:lang w:val="es-ES" w:eastAsia="es-ES"/>
        </w:rPr>
        <w:t>s</w:t>
      </w:r>
      <w:r w:rsidRPr="00CF544D">
        <w:rPr>
          <w:rFonts w:ascii="Arial Narrow" w:hAnsi="Arial Narrow" w:cs="Arial"/>
          <w:sz w:val="21"/>
          <w:szCs w:val="21"/>
          <w:lang w:val="es-ES" w:eastAsia="es-ES"/>
        </w:rPr>
        <w:t xml:space="preserve"> probatorio</w:t>
      </w:r>
      <w:r w:rsidR="00FB4936" w:rsidRPr="00CF544D">
        <w:rPr>
          <w:rFonts w:ascii="Arial Narrow" w:hAnsi="Arial Narrow" w:cs="Arial"/>
          <w:sz w:val="21"/>
          <w:szCs w:val="21"/>
          <w:lang w:val="es-ES" w:eastAsia="es-ES"/>
        </w:rPr>
        <w:t>s</w:t>
      </w:r>
      <w:r w:rsidRPr="00CF544D">
        <w:rPr>
          <w:rFonts w:ascii="Arial Narrow" w:hAnsi="Arial Narrow" w:cs="Arial"/>
          <w:sz w:val="21"/>
          <w:szCs w:val="21"/>
          <w:lang w:val="es-ES" w:eastAsia="es-ES"/>
        </w:rPr>
        <w:t>, el consumidor no habría recibido respuesta de la parte denunciada</w:t>
      </w:r>
      <w:r w:rsidR="004C30C2" w:rsidRPr="00CF544D">
        <w:rPr>
          <w:sz w:val="21"/>
          <w:szCs w:val="21"/>
        </w:rPr>
        <w:t xml:space="preserve"> d</w:t>
      </w:r>
      <w:r w:rsidR="004C30C2" w:rsidRPr="00CF544D">
        <w:rPr>
          <w:rFonts w:ascii="Arial Narrow" w:hAnsi="Arial Narrow" w:cs="Arial"/>
          <w:sz w:val="21"/>
          <w:szCs w:val="21"/>
          <w:lang w:val="es-ES" w:eastAsia="es-ES"/>
        </w:rPr>
        <w:t xml:space="preserve">el correo electrónico </w:t>
      </w:r>
      <w:r w:rsidR="00CF544D" w:rsidRPr="00CF544D">
        <w:rPr>
          <w:rFonts w:ascii="Arial Narrow" w:hAnsi="Arial Narrow" w:cs="Arial"/>
          <w:sz w:val="21"/>
          <w:szCs w:val="21"/>
          <w:lang w:val="es-ES" w:eastAsia="es-ES"/>
        </w:rPr>
        <w:t>remitido</w:t>
      </w:r>
      <w:r w:rsidR="004C30C2" w:rsidRPr="00CF544D">
        <w:rPr>
          <w:rFonts w:ascii="Arial Narrow" w:hAnsi="Arial Narrow" w:cs="Arial"/>
          <w:sz w:val="21"/>
          <w:szCs w:val="21"/>
          <w:lang w:val="es-ES" w:eastAsia="es-ES"/>
        </w:rPr>
        <w:t xml:space="preserve"> 19 de agosto de 2024</w:t>
      </w:r>
      <w:r w:rsidR="00CF544D" w:rsidRPr="00CF544D">
        <w:rPr>
          <w:rFonts w:ascii="Arial Narrow" w:hAnsi="Arial Narrow" w:cs="Arial"/>
          <w:sz w:val="21"/>
          <w:szCs w:val="21"/>
          <w:lang w:val="es-ES" w:eastAsia="es-ES"/>
        </w:rPr>
        <w:t xml:space="preserve"> a la compañía aseguradora</w:t>
      </w:r>
      <w:r w:rsidR="00F328C1" w:rsidRPr="00CF544D">
        <w:rPr>
          <w:rFonts w:ascii="Arial Narrow" w:hAnsi="Arial Narrow" w:cs="Arial"/>
          <w:sz w:val="21"/>
          <w:szCs w:val="21"/>
          <w:lang w:val="es-ES" w:eastAsia="es-ES"/>
        </w:rPr>
        <w:t xml:space="preserve">, corroborando </w:t>
      </w:r>
      <w:r w:rsidRPr="00CF544D">
        <w:rPr>
          <w:rFonts w:ascii="Arial Narrow" w:hAnsi="Arial Narrow" w:cs="Arial"/>
          <w:sz w:val="21"/>
          <w:szCs w:val="21"/>
          <w:lang w:val="es-ES" w:eastAsia="es-ES"/>
        </w:rPr>
        <w:t>que el señor Chanamé cumplió con subsanar el requerimiento efectuado por la Comisión, al consignar la fecha de la comunicación que no obtuvo respuesta y que constituye materia de denuncia</w:t>
      </w:r>
      <w:r w:rsidR="00F328C1" w:rsidRPr="00CF544D">
        <w:rPr>
          <w:rFonts w:ascii="Arial Narrow" w:hAnsi="Arial Narrow" w:cs="Arial"/>
          <w:sz w:val="21"/>
          <w:szCs w:val="21"/>
          <w:lang w:val="es-ES" w:eastAsia="es-ES"/>
        </w:rPr>
        <w:t>.</w:t>
      </w:r>
    </w:p>
    <w:p w14:paraId="01E80AE6" w14: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w:t>
      </w:r>
      <w:r w:rsidR="004A03FA" w:rsidRPr="00CF544D">
        <w:rPr>
          <w:rFonts w:ascii="Arial Narrow" w:hAnsi="Arial Narrow" w:cs="Arial"/>
          <w:sz w:val="21"/>
          <w:szCs w:val="21"/>
          <w:lang w:val="es-ES" w:eastAsia="es-ES"/>
        </w:rPr>
        <w:t xml:space="preserve">la Sala </w:t>
      </w:r>
      <w:r w:rsidR="00E447F8" w:rsidRPr="00CF544D">
        <w:rPr>
          <w:rFonts w:ascii="Arial Narrow" w:hAnsi="Arial Narrow" w:cs="Arial"/>
          <w:sz w:val="21"/>
          <w:szCs w:val="21"/>
          <w:lang w:val="es-ES" w:eastAsia="es-ES"/>
        </w:rPr>
        <w:t>declaró</w:t>
      </w:r>
      <w:r w:rsidRPr="00CF544D">
        <w:rPr>
          <w:rFonts w:ascii="Arial Narrow" w:hAnsi="Arial Narrow" w:cs="Arial"/>
          <w:sz w:val="21"/>
          <w:szCs w:val="21"/>
          <w:lang w:val="es-ES" w:eastAsia="es-ES"/>
        </w:rPr>
        <w:t xml:space="preserve"> la</w:t>
      </w:r>
      <w:r w:rsidRPr="00CF544D">
        <w:rPr>
          <w:rFonts w:ascii="Arial Narrow" w:hAnsi="Arial Narrow" w:cs="Arial"/>
          <w:sz w:val="21"/>
          <w:szCs w:val="21"/>
          <w:lang w:eastAsia="es-ES"/>
        </w:rPr>
        <w:t xml:space="preserve"> </w:t>
      </w:r>
      <w:r w:rsidR="00E84296" w:rsidRPr="00CF544D">
        <w:rPr>
          <w:rFonts w:ascii="Arial Narrow" w:hAnsi="Arial Narrow" w:cs="Arial"/>
          <w:sz w:val="21"/>
          <w:szCs w:val="21"/>
          <w:lang w:eastAsia="es-ES"/>
        </w:rPr>
        <w:t>revocación</w:t>
      </w:r>
      <w:r w:rsidRPr="00CF544D">
        <w:rPr>
          <w:rFonts w:ascii="Arial Narrow" w:hAnsi="Arial Narrow" w:cs="Arial"/>
          <w:sz w:val="21"/>
          <w:szCs w:val="21"/>
          <w:lang w:eastAsia="es-ES"/>
        </w:rPr>
        <w:t xml:space="preserve"> de </w:t>
      </w:r>
      <w:r w:rsidR="00E84296" w:rsidRPr="00CF544D">
        <w:rPr>
          <w:rFonts w:ascii="Arial Narrow" w:hAnsi="Arial Narrow" w:cs="Arial"/>
          <w:sz w:val="21"/>
          <w:szCs w:val="21"/>
          <w:lang w:eastAsia="es-ES"/>
        </w:rPr>
        <w:t>la Resolución 2 del 8 de abril de 2025 que declaró inadmisible la denuncia interpuesta por el señor Chanamé contra Interseguro; y, en consecuencia, se declara admisible. En tal sentido, se dispone que</w:t>
      </w:r>
      <w:r w:rsidR="00E84296" w:rsidRPr="002330B7">
        <w:rPr>
          <w:rFonts w:ascii="Arial Narrow" w:hAnsi="Arial Narrow" w:cs="Arial"/>
          <w:sz w:val="21"/>
          <w:szCs w:val="21"/>
          <w:lang w:eastAsia="es-ES"/>
        </w:rPr>
        <w:t xml:space="preserve"> la Secretaría Técnica admita a trámite la denuncia y emita un pronunciamiento al respecto.</w:t>
      </w:r>
      <w:r w:rsidR="00C017BD" w:rsidRPr="002330B7">
        <w:rPr>
          <w:rFonts w:ascii="Arial Narrow" w:hAnsi="Arial Narrow" w:cs="Arial"/>
          <w:sz w:val="21"/>
          <w:szCs w:val="21"/>
          <w:lang w:eastAsia="es-ES"/>
        </w:rPr>
        <w:t xml:space="preserve"> Por lo que, </w:t>
      </w:r>
      <w:r w:rsidR="00592046" w:rsidRPr="002330B7">
        <w:rPr>
          <w:rFonts w:ascii="Arial Narrow" w:hAnsi="Arial Narrow" w:cs="Arial"/>
          <w:sz w:val="21"/>
          <w:szCs w:val="21"/>
          <w:lang w:eastAsia="es-ES"/>
        </w:rPr>
        <w:t>corresponde</w:t>
      </w:r>
      <w:r w:rsidR="0072072C" w:rsidRPr="002330B7">
        <w:rPr>
          <w:rFonts w:ascii="Arial Narrow" w:hAnsi="Arial Narrow" w:cs="Arial"/>
          <w:sz w:val="21"/>
          <w:szCs w:val="21"/>
          <w:lang w:eastAsia="es-ES"/>
        </w:rPr>
        <w:t xml:space="preserve"> </w:t>
      </w:r>
      <w:r w:rsidR="00593CFA" w:rsidRPr="002330B7">
        <w:rPr>
          <w:rFonts w:ascii="Arial Narrow" w:hAnsi="Arial Narrow" w:cs="Arial"/>
          <w:sz w:val="21"/>
          <w:szCs w:val="21"/>
          <w:lang w:eastAsia="es-ES"/>
        </w:rPr>
        <w:t>revo</w:t>
      </w:r>
      <w:r w:rsidR="00592046" w:rsidRPr="002330B7">
        <w:rPr>
          <w:rFonts w:ascii="Arial Narrow" w:hAnsi="Arial Narrow" w:cs="Arial"/>
          <w:sz w:val="21"/>
          <w:szCs w:val="21"/>
          <w:lang w:eastAsia="es-ES"/>
        </w:rPr>
        <w:t>car</w:t>
      </w:r>
      <w:r w:rsidR="00593CFA" w:rsidRPr="002330B7">
        <w:rPr>
          <w:rFonts w:ascii="Arial Narrow" w:hAnsi="Arial Narrow" w:cs="Arial"/>
          <w:sz w:val="21"/>
          <w:szCs w:val="21"/>
          <w:lang w:eastAsia="es-ES"/>
        </w:rPr>
        <w:t xml:space="preserve"> la resolución venida en grado, que declaró inadmisible la denuncia contra Interseguro; y, en consecuencia, </w:t>
      </w:r>
      <w:r w:rsidR="00592046" w:rsidRPr="002330B7">
        <w:rPr>
          <w:rFonts w:ascii="Arial Narrow" w:hAnsi="Arial Narrow" w:cs="Arial"/>
          <w:sz w:val="21"/>
          <w:szCs w:val="21"/>
          <w:lang w:eastAsia="es-ES"/>
        </w:rPr>
        <w:t>admitirla a trámite</w:t>
      </w:r>
      <w:r w:rsidR="0072072C" w:rsidRPr="002330B7">
        <w:rPr>
          <w:rFonts w:ascii="Arial Narrow" w:hAnsi="Arial Narrow" w:cs="Arial"/>
          <w:sz w:val="21"/>
          <w:szCs w:val="21"/>
          <w:lang w:eastAsia="es-ES"/>
        </w:rPr>
        <w:t>.</w:t>
      </w:r>
    </w:p>
    <w:p w14:paraId="686704BA" w14:textId="2927E492" w:rsidR="006927E3" w:rsidRPr="00495560" w:rsidRDefault="006927E3" w:rsidP="00C972CE">
      <w:pPr>
        <w:jc w:val="both"/>
        <w:rPr>
          <w:rFonts w:ascii="Arial Narrow" w:hAnsi="Arial Narrow"/>
          <w:sz w:val="21"/>
          <w:szCs w:val="21"/>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w14:paraId="08507A04" w14:textId="77777777" w:rsidR="006927E3" w:rsidRPr="00495560" w:rsidRDefault="006927E3" w:rsidP="00C972CE">
      <w:pPr>
        <w:jc w:val="both"/>
        <w:rPr>
          <w:rFonts w:ascii="Arial Narrow" w:hAnsi="Arial Narrow"/>
          <w:sz w:val="21"/>
          <w:szCs w:val="21"/>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rPr>
        <w:footnoteReference w:id="3"/>
      </w:r>
      <w:r w:rsidRPr="00495560">
        <w:rPr>
          <w:rFonts w:ascii="Arial Narrow" w:eastAsia="Arial Narrow" w:hAnsi="Arial Narrow" w:cs="Arial Narrow"/>
          <w:sz w:val="21"/>
          <w:szCs w:val="21"/>
        </w:rPr>
        <w:t>.</w:t>
      </w:r>
    </w:p>
    <w:p w14:paraId="61972AB9" w14:textId="77777777" w:rsidR="006927E3" w:rsidRPr="00495560" w:rsidRDefault="006927E3" w:rsidP="00C972CE">
      <w:pPr>
        <w:pStyle w:val="Prrafodelista"/>
        <w:ind w:left="567"/>
        <w:jc w:val="both"/>
        <w:rPr>
          <w:rFonts w:ascii="Arial Narrow" w:hAnsi="Arial Narrow" w:cs="Arial"/>
          <w:sz w:val="21"/>
          <w:szCs w:val="21"/>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hAnsi="Arial Narrow" w:cs="Arial"/>
          <w:sz w:val="21"/>
          <w:szCs w:val="21"/>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hAnsi="Arial Narrow" w:cs="Arial"/>
          <w:sz w:val="21"/>
          <w:szCs w:val="21"/>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hAnsi="Arial Narrow" w:cs="Arial"/>
          <w:sz w:val="21"/>
          <w:szCs w:val="21"/>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w:hAnsi="Arial Narrow" w:cs="Arial"/>
          <w:sz w:val="21"/>
          <w:szCs w:val="21"/>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hAnsi="Arial Narrow" w:cs="Arial"/>
          <w:sz w:val="21"/>
          <w:szCs w:val="21"/>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1"/>
          <w:szCs w:val="21"/>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w14:paraId="7B409E99" w14:textId="77777777" w:rsidR="008E5516" w:rsidRPr="00475483" w:rsidRDefault="008E5516" w:rsidP="00C972CE">
      <w:pPr>
        <w:jc w:val="both"/>
        <w:rPr>
          <w:rFonts w:ascii="Arial Narrow" w:eastAsia="Arial Narrow" w:hAnsi="Arial Narrow" w:cs="Arial Narrow"/>
          <w:sz w:val="21"/>
          <w:szCs w:val="21"/>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1"/>
          <w:szCs w:val="21"/>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Calibri" w:hAnsi="Arial Narrow" w:cs="Arial Narrow"/>
          <w:sz w:val="21"/>
          <w:szCs w:val="21"/>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w14:paraId="654CF8D5" w14:textId="77777777" w:rsidR="008E5516" w:rsidRPr="00475483" w:rsidRDefault="008E5516" w:rsidP="00C972CE">
      <w:pPr>
        <w:jc w:val="both"/>
        <w:rPr>
          <w:rFonts w:ascii="Arial Narrow" w:hAnsi="Arial Narrow" w:cs="Arial"/>
          <w:sz w:val="21"/>
          <w:szCs w:val="21"/>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1"/>
          <w:szCs w:val="21"/>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1"/>
          <w:szCs w:val="21"/>
        </w:rPr>
      </w:pPr>
    </w:p>
    <w:p w14:paraId="3D505616" w14: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PRIMERO</w:t>
      </w:r>
      <w:r w:rsidR="00E27EC2" w:rsidRPr="00C972CE">
        <w:rPr>
          <w:rFonts w:ascii="Arial Narrow" w:eastAsia="Arial Narrow" w:hAnsi="Arial Narrow" w:cs="Arial Narrow"/>
          <w:b/>
          <w:sz w:val="21"/>
          <w:szCs w:val="21"/>
        </w:rPr>
        <w:t>:</w:t>
      </w:r>
      <w:r w:rsidR="00E27EC2">
        <w:rPr>
          <w:rFonts w:ascii="Arial Narrow" w:eastAsia="Arial Narrow" w:hAnsi="Arial Narrow" w:cs="Arial Narrow"/>
          <w:b/>
          <w:sz w:val="21"/>
          <w:szCs w:val="21"/>
        </w:rPr>
        <w:t xml:space="preserve"> </w:t>
      </w:r>
      <w:r w:rsidR="00351113" w:rsidRPr="00C972CE">
        <w:rPr>
          <w:rFonts w:ascii="Arial Narrow" w:eastAsia="Arial Narrow" w:hAnsi="Arial Narrow" w:cs="Arial Narrow"/>
          <w:bCs/>
          <w:sz w:val="21"/>
          <w:szCs w:val="21"/>
        </w:rPr>
        <w:t xml:space="preserve">en virtud de lo dispuesto por la Sala Especializada en </w:t>
      </w:r>
      <w:r w:rsidR="00674404" w:rsidRPr="00C972CE">
        <w:rPr>
          <w:rFonts w:ascii="Arial Narrow" w:eastAsia="Arial Narrow" w:hAnsi="Arial Narrow" w:cs="Arial Narrow"/>
          <w:bCs/>
          <w:sz w:val="21"/>
          <w:szCs w:val="21"/>
        </w:rPr>
        <w:t>P</w:t>
      </w:r>
      <w:r w:rsidR="00351113" w:rsidRPr="00C972CE">
        <w:rPr>
          <w:rFonts w:ascii="Arial Narrow" w:eastAsia="Arial Narrow" w:hAnsi="Arial Narrow" w:cs="Arial Narrow"/>
          <w:bCs/>
          <w:sz w:val="21"/>
          <w:szCs w:val="21"/>
        </w:rPr>
        <w:t>rotección al Consumidor</w:t>
      </w:r>
      <w:r w:rsidR="00E27EC2">
        <w:rPr>
          <w:rFonts w:ascii="Arial Narrow" w:eastAsia="Arial Narrow" w:hAnsi="Arial Narrow" w:cs="Arial Narrow"/>
          <w:bCs/>
          <w:sz w:val="21"/>
          <w:szCs w:val="21"/>
        </w:rPr>
        <w:t>,</w:t>
      </w:r>
      <w:r w:rsidR="00962FC6" w:rsidRPr="00C972CE">
        <w:rPr>
          <w:rFonts w:ascii="Arial Narrow" w:eastAsia="Arial Narrow" w:hAnsi="Arial Narrow" w:cs="Arial Narrow"/>
          <w:bCs/>
          <w:sz w:val="21"/>
          <w:szCs w:val="21"/>
        </w:rPr>
        <w:t xml:space="preserve"> corresponde </w:t>
      </w:r>
      <w:r w:rsidR="006813A9" w:rsidRPr="00C972CE">
        <w:rPr>
          <w:rFonts w:ascii="Arial Narrow" w:eastAsia="Arial Narrow" w:hAnsi="Arial Narrow" w:cs="Arial Narrow"/>
          <w:bCs/>
          <w:sz w:val="21"/>
          <w:szCs w:val="21"/>
        </w:rPr>
        <w:t xml:space="preserve">admitir a trámite la </w:t>
      </w:r>
      <w:r w:rsidR="00866FF6" w:rsidRPr="00866FF6">
        <w:rPr>
          <w:rFonts w:ascii="Arial Narrow" w:eastAsia="Arial Narrow" w:hAnsi="Arial Narrow" w:cs="Arial Narrow"/>
          <w:bCs/>
          <w:sz w:val="21"/>
          <w:szCs w:val="21"/>
        </w:rPr>
        <w:t>denuncia del 12 de febrero de 2025, subsanada por escritos del 5 y 6 de abril de 2025</w:t>
      </w:r>
      <w:r w:rsidR="00866FF6">
        <w:rPr>
          <w:rFonts w:ascii="Arial Narrow" w:eastAsia="Arial Narrow" w:hAnsi="Arial Narrow" w:cs="Arial Narrow"/>
          <w:bCs/>
          <w:sz w:val="21"/>
          <w:szCs w:val="21"/>
        </w:rPr>
        <w:t xml:space="preserve">, </w:t>
      </w:r>
      <w:r w:rsidR="006813A9" w:rsidRPr="00C972CE">
        <w:rPr>
          <w:rFonts w:ascii="Arial Narrow" w:eastAsia="Arial Narrow" w:hAnsi="Arial Narrow" w:cs="Arial Narrow"/>
          <w:bCs/>
          <w:sz w:val="21"/>
          <w:szCs w:val="21"/>
        </w:rPr>
        <w:t xml:space="preserve">interpuesta por el señor Juan Carlos Chanamé Morales </w:t>
      </w:r>
      <w:r w:rsidR="006813A9" w:rsidRPr="00475483">
        <w:rPr>
          <w:rFonts w:ascii="Arial Narrow" w:eastAsia="Arial Narrow" w:hAnsi="Arial Narrow" w:cs="Arial Narrow"/>
          <w:bCs/>
          <w:sz w:val="21"/>
          <w:szCs w:val="21"/>
        </w:rPr>
        <w:t xml:space="preserve">contra </w:t>
      </w:r>
      <w:r w:rsidR="006813A9" w:rsidRPr="00475483">
        <w:rPr>
          <w:rFonts w:ascii="Arial Narrow" w:eastAsia="Arial Narrow" w:hAnsi="Arial Narrow" w:cs="Arial Narrow"/>
          <w:sz w:val="21"/>
          <w:szCs w:val="21"/>
        </w:rPr>
        <w:t xml:space="preserve">Interseguro Compañía de Seguros S.A. </w:t>
      </w:r>
      <w:bookmarkStart w:id="18" w:name="_Hlk215062067"/>
      <w:r w:rsidR="00C972CE" w:rsidRPr="00475483">
        <w:rPr>
          <w:rFonts w:ascii="Arial Narrow" w:hAnsi="Arial Narrow"/>
          <w:sz w:val="21"/>
          <w:szCs w:val="21"/>
          <w:shd w:val="clear" w:color="auto" w:fill="FFFFFF"/>
        </w:rPr>
        <w:t>por lo siguiente:</w:t>
      </w:r>
    </w:p>
    <w:p w14:paraId="56760751" w14:textId="77777777" w:rsidR="007124F6" w:rsidRPr="00475483" w:rsidRDefault="007124F6" w:rsidP="00E31718">
      <w:pPr>
        <w:rPr>
          <w:rFonts w:ascii="Arial Narrow" w:eastAsia="Arial Narrow" w:hAnsi="Arial Narrow" w:cs="Arial Narrow"/>
          <w:sz w:val="21"/>
          <w:szCs w:val="21"/>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1"/>
          <w:szCs w:val="21"/>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w14:paraId="11DD9195" w14:textId="77777777" w:rsidR="00D71E01" w:rsidRPr="00475483" w:rsidRDefault="00D71E01" w:rsidP="00597AA1">
      <w:pPr>
        <w:pStyle w:val="Prrafodelista"/>
        <w:ind w:left="567"/>
        <w:rPr>
          <w:rFonts w:ascii="Arial Narrow" w:eastAsia="Arial Narrow" w:hAnsi="Arial Narrow" w:cs="Arial Narrow"/>
          <w:sz w:val="21"/>
          <w:szCs w:val="21"/>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1"/>
          <w:szCs w:val="21"/>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w14:paraId="795FC55B" w14:textId="77777777" w:rsidR="00C972CE" w:rsidRPr="00C972CE" w:rsidRDefault="00C972CE" w:rsidP="00C972CE">
      <w:pPr>
        <w:jc w:val="both"/>
        <w:rPr>
          <w:rFonts w:ascii="Arial Narrow" w:eastAsia="Arial Narrow" w:hAnsi="Arial Narrow" w:cs="Arial Narrow"/>
          <w:sz w:val="21"/>
          <w:szCs w:val="21"/>
        </w:rPr>
      </w:pPr>
    </w:p>
    <w:p w14:paraId="6A232F8A" w14: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w14:paraId="62E3A828" w14:textId="77777777" w:rsidR="00C972CE" w:rsidRPr="00C972CE" w:rsidRDefault="00C972CE" w:rsidP="00C972CE">
      <w:pPr>
        <w:contextualSpacing/>
        <w:jc w:val="both"/>
        <w:rPr>
          <w:rFonts w:ascii="Arial Narrow" w:hAnsi="Arial Narrow"/>
          <w:sz w:val="21"/>
          <w:szCs w:val="21"/>
        </w:rPr>
      </w:pPr>
    </w:p>
    <w:p w14:paraId="52B6FD5E" w14: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w14:paraId="5122DC22" w14:textId="77777777" w:rsidR="00C972CE" w:rsidRPr="00C972CE" w:rsidRDefault="00C972CE" w:rsidP="00C972CE">
      <w:pPr>
        <w:jc w:val="both"/>
        <w:rPr>
          <w:rFonts w:ascii="Arial Narrow" w:hAnsi="Arial Narrow"/>
          <w:sz w:val="21"/>
          <w:szCs w:val="21"/>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w14:paraId="2BB59D4D" w14: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w14:paraId="71604F70" w14:textId="77777777" w:rsidR="00C972CE" w:rsidRPr="00C972CE" w:rsidRDefault="00C972CE" w:rsidP="00C972CE">
      <w:pPr>
        <w:ind w:left="567"/>
        <w:jc w:val="both"/>
        <w:rPr>
          <w:rFonts w:ascii="Arial Narrow" w:eastAsia="Arial Narrow" w:hAnsi="Arial Narrow" w:cs="Arial Narrow"/>
          <w:sz w:val="21"/>
          <w:szCs w:val="21"/>
        </w:rPr>
      </w:pPr>
    </w:p>
    <w:p w14:paraId="16D46BEF" w14:textId="2EBAF41B"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CUARTO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correr traslado de la denuncia interpuesta </w:t>
      </w:r>
      <w:proofErr w:type="gramStart"/>
      <w:r w:rsidR="00C972CE" w:rsidRPr="00C972CE">
        <w:rPr>
          <w:rFonts w:ascii="Arial Narrow" w:hAnsi="Arial Narrow" w:cs="Arial"/>
          <w:sz w:val="21"/>
          <w:szCs w:val="21"/>
          <w:lang w:val="es-ES" w:eastAsia="es-ES"/>
        </w:rPr>
        <w:t xml:space="preserve">el </w:t>
      </w:r>
      <w:r w:rsidR="00866FF6" w:rsidRPr="00866FF6">
        <w:rPr>
          <w:rFonts w:ascii="Arial Narrow" w:hAnsi="Arial Narrow" w:cs="Arial"/>
          <w:sz w:val="21"/>
          <w:szCs w:val="21"/>
          <w:lang w:val="es-ES" w:eastAsia="es-ES"/>
        </w:rPr>
        <w:t>denuncia</w:t>
      </w:r>
      <w:proofErr w:type="gramEnd"/>
      <w:r w:rsidR="00866FF6" w:rsidRPr="00866FF6">
        <w:rPr>
          <w:rFonts w:ascii="Arial Narrow" w:hAnsi="Arial Narrow" w:cs="Arial"/>
          <w:sz w:val="21"/>
          <w:szCs w:val="21"/>
          <w:lang w:val="es-ES" w:eastAsia="es-ES"/>
        </w:rPr>
        <w:t xml:space="preserve"> del 12 de febrero de 2025, subsanada por escritos del 5 y 6 de abril de 2025</w:t>
      </w:r>
      <w:r w:rsidR="00C972CE" w:rsidRPr="00866FF6">
        <w:rPr>
          <w:rFonts w:ascii="Arial Narrow" w:eastAsia="Calibri" w:hAnsi="Arial Narrow" w:cs="Arial"/>
          <w:sz w:val="21"/>
          <w:szCs w:val="21"/>
        </w:rPr>
        <w:t xml:space="preserve">, </w:t>
      </w:r>
      <w:r w:rsidR="00C972CE" w:rsidRPr="00866FF6">
        <w:rPr>
          <w:rFonts w:ascii="Arial Narrow" w:eastAsia="Arial Narrow" w:hAnsi="Arial Narrow" w:cs="Arial Narrow"/>
          <w:sz w:val="21"/>
          <w:szCs w:val="21"/>
        </w:rPr>
        <w:t>a</w:t>
      </w:r>
      <w:r w:rsidR="00C972CE" w:rsidRPr="00866FF6">
        <w:rPr>
          <w:rFonts w:ascii="Arial Narrow" w:hAnsi="Arial Narrow"/>
          <w:sz w:val="21"/>
          <w:szCs w:val="21"/>
          <w:shd w:val="clear" w:color="auto" w:fill="FFFFFF"/>
        </w:rPr>
        <w:t xml:space="preserve"> </w:t>
      </w:r>
      <w:r w:rsidR="00866FF6" w:rsidRPr="00866FF6">
        <w:rPr>
          <w:rFonts w:ascii="Arial Narrow" w:hAnsi="Arial Narrow"/>
          <w:sz w:val="21"/>
          <w:szCs w:val="21"/>
          <w:shd w:val="clear" w:color="auto" w:fill="FFFFFF"/>
        </w:rPr>
        <w:t>Interseguro Compañía de Seguros S.A.</w:t>
      </w:r>
      <w:r w:rsidR="00C972CE" w:rsidRPr="00866FF6">
        <w:rPr>
          <w:rFonts w:ascii="Arial Narrow" w:eastAsia="Arial Narrow" w:hAnsi="Arial Narrow" w:cs="Arial Narrow"/>
          <w:sz w:val="21"/>
          <w:szCs w:val="21"/>
        </w:rPr>
        <w:t>, para</w:t>
      </w:r>
      <w:r w:rsidR="00C972CE" w:rsidRPr="00C972CE">
        <w:rPr>
          <w:rFonts w:ascii="Arial Narrow" w:eastAsia="Arial Narrow" w:hAnsi="Arial Narrow" w:cs="Arial Narrow"/>
          <w:sz w:val="21"/>
          <w:szCs w:val="21"/>
        </w:rPr>
        <w:t xml:space="preserve"> que, de conformidad con lo dispuesto por el artículo 26 de la Ley sobre Facultades, Normas y Organización del Indecopi, aprobada por </w:t>
      </w:r>
      <w:r w:rsidR="00C972CE" w:rsidRPr="00C972CE">
        <w:rPr>
          <w:rFonts w:ascii="Arial Narrow" w:eastAsia="Arial Narrow" w:hAnsi="Arial Narrow" w:cs="Arial Narrow"/>
          <w:sz w:val="21"/>
          <w:szCs w:val="21"/>
        </w:rPr>
        <w:lastRenderedPageBreak/>
        <w:t xml:space="preserve">Decreto Legislativo 807, presente sus descargos en un plazo no mayor de cinco (5) días hábiles contados desde la notificación. </w:t>
      </w:r>
    </w:p>
    <w:p w14:paraId="6E3D6732" w14:textId="77777777" w:rsidR="00C972CE" w:rsidRPr="00C972CE" w:rsidRDefault="00C972CE" w:rsidP="00C972CE">
      <w:pPr>
        <w:jc w:val="both"/>
        <w:rPr>
          <w:rFonts w:ascii="Arial Narrow" w:eastAsia="Arial Narrow" w:hAnsi="Arial Narrow" w:cs="Arial Narrow"/>
          <w:sz w:val="21"/>
          <w:szCs w:val="21"/>
        </w:rPr>
      </w:pPr>
    </w:p>
    <w:p w14:paraId="1D9F6336" w14: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w14:paraId="1FCE15D8" w14:textId="77777777" w:rsidR="00C40BD0" w:rsidRPr="00C40BD0" w:rsidRDefault="00C40BD0" w:rsidP="00C972CE">
      <w:pPr>
        <w:jc w:val="both"/>
        <w:rPr>
          <w:rFonts w:ascii="Arial Narrow" w:hAnsi="Arial Narrow" w:cs="Arial"/>
          <w:sz w:val="21"/>
          <w:szCs w:val="21"/>
          <w:lang w:val="es-ES" w:eastAsia="es-ES"/>
        </w:rPr>
      </w:pPr>
    </w:p>
    <w:p w14:paraId="12F15E64" w14: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1"/>
          <w:szCs w:val="21"/>
        </w:rPr>
      </w:pPr>
    </w:p>
    <w:p w14:paraId="47D1A6D5" w14: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1"/>
          <w:szCs w:val="21"/>
        </w:rPr>
      </w:pPr>
    </w:p>
    <w:p w14:paraId="2219BB8A" w14: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Calibri" w:hAnsi="Arial Narrow" w:cs="Arial"/>
          <w:sz w:val="21"/>
          <w:szCs w:val="21"/>
          <w:u w:val="single"/>
        </w:rPr>
      </w:pPr>
    </w:p>
    <w:p w14:paraId="36E16BD8" w14: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hAnsi="Arial Narrow"/>
          <w:sz w:val="21"/>
          <w:szCs w:val="21"/>
        </w:rPr>
      </w:pPr>
    </w:p>
    <w:p w14:paraId="04C731EF" w14: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DÉCIMO</w:t>
      </w:r>
      <w:r w:rsidRPr="00C972CE">
        <w:rPr>
          <w:rFonts w:ascii="Arial Narrow" w:hAnsi="Arial Narrow" w:cs="Arial"/>
          <w:b/>
          <w:spacing w:val="-3"/>
          <w:sz w:val="21"/>
          <w:szCs w:val="21"/>
        </w:rPr>
        <w:t>:</w:t>
      </w:r>
      <w:r w:rsidRPr="00C972CE">
        <w:rPr>
          <w:rFonts w:ascii="Arial Narrow" w:hAnsi="Arial Narrow" w:cs="Arial"/>
          <w:bCs/>
          <w:spacing w:val="-3"/>
          <w:sz w:val="21"/>
          <w:szCs w:val="21"/>
        </w:rPr>
        <w:t xml:space="preserve"> </w:t>
      </w:r>
      <w:r w:rsidRPr="00700E05">
        <w:rPr>
          <w:rFonts w:ascii="Arial Narrow" w:hAnsi="Arial Narrow" w:cs="Arial"/>
          <w:bCs/>
          <w:spacing w:val="-3"/>
          <w:sz w:val="21"/>
          <w:szCs w:val="21"/>
        </w:rPr>
        <w:t>requerir al señor</w:t>
      </w:r>
      <w:r w:rsidR="00700E05" w:rsidRPr="00700E05">
        <w:rPr>
          <w:rFonts w:ascii="Arial Narrow" w:hAnsi="Arial Narrow" w:cs="Arial"/>
          <w:bCs/>
          <w:spacing w:val="-3"/>
          <w:sz w:val="21"/>
          <w:szCs w:val="21"/>
        </w:rPr>
        <w:t xml:space="preserve"> </w:t>
      </w:r>
      <w:r w:rsidR="00700E05" w:rsidRPr="00700E05">
        <w:rPr>
          <w:rFonts w:ascii="Arial Narrow" w:hAnsi="Arial Narrow"/>
          <w:sz w:val="21"/>
          <w:szCs w:val="21"/>
          <w:shd w:val="clear" w:color="auto" w:fill="FFFFFF"/>
        </w:rPr>
        <w:t xml:space="preserve">Juan Carlos Chanamé Morales </w:t>
      </w:r>
      <w:r w:rsidRPr="00700E05">
        <w:rPr>
          <w:rFonts w:ascii="Arial Narrow" w:hAnsi="Arial Narrow"/>
          <w:sz w:val="21"/>
          <w:szCs w:val="21"/>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w:t>
      </w:r>
      <w:r w:rsidRPr="00C972CE">
        <w:rPr>
          <w:rFonts w:ascii="Arial Narrow" w:hAnsi="Arial Narrow"/>
          <w:sz w:val="21"/>
          <w:szCs w:val="21"/>
        </w:rPr>
        <w:t xml:space="preserve"> 1 del artículo 20 del citado cuerpo normativo</w:t>
      </w:r>
      <w:r w:rsidRPr="00C972CE">
        <w:rPr>
          <w:rFonts w:ascii="Arial Narrow" w:hAnsi="Arial Narrow"/>
          <w:sz w:val="21"/>
          <w:szCs w:val="21"/>
          <w:vertAlign w:val="superscript"/>
        </w:rPr>
        <w:footnoteReference w:id="15"/>
      </w:r>
      <w:r w:rsidRPr="00C972CE">
        <w:rPr>
          <w:rFonts w:ascii="Arial Narrow" w:hAnsi="Arial Narrow" w:cs="Arial"/>
          <w:sz w:val="21"/>
          <w:szCs w:val="21"/>
        </w:rPr>
        <w:t>.</w:t>
      </w:r>
    </w:p>
    <w:p w14:paraId="68D34443" w14:textId="77777777" w:rsidR="00C972CE" w:rsidRPr="00C972CE" w:rsidRDefault="00C972CE" w:rsidP="00C972CE">
      <w:pPr>
        <w:suppressAutoHyphens/>
        <w:jc w:val="both"/>
        <w:rPr>
          <w:rFonts w:ascii="Arial Narrow" w:hAnsi="Arial Narrow" w:cs="Arial"/>
          <w:sz w:val="21"/>
          <w:szCs w:val="21"/>
        </w:rPr>
      </w:pPr>
    </w:p>
    <w:p w14:paraId="72BF7461" w14: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highlight w:val="magenta"/>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w14:paraId="1BDC1241" w14:textId="77777777" w:rsidR="00C972CE" w:rsidRPr="00C972CE" w:rsidRDefault="00C972CE" w:rsidP="00C972CE">
      <w:pPr>
        <w:rPr>
          <w:sz w:val="16"/>
          <w:szCs w:val="16"/>
        </w:rPr>
      </w:pPr>
      <w:r w:rsidRPr="00C972CE">
        <w:rPr>
          <w:rFonts w:ascii="Arial Narrow" w:hAnsi="Arial Narrow"/>
          <w:sz w:val="16"/>
          <w:szCs w:val="16"/>
        </w:rPr>
        <w:t>LGP/JCQ</w:t>
      </w:r>
    </w:p>
    <w:p w14:paraId="140A0ED4" w14:textId="64B50B0C" w:rsidR="001B5674" w:rsidRPr="00495560" w:rsidRDefault="001B5674" w:rsidP="00C972CE">
      <w:pPr>
        <w:jc w:val="both"/>
        <w:rPr>
          <w:rFonts w:ascii="Arial Narrow" w:hAnsi="Arial Narrow"/>
          <w:sz w:val="21"/>
          <w:szCs w:val="21"/>
        </w:rPr>
      </w:pPr>
    </w:p>
    <w:sectPr w:rsidR="001B5674" w:rsidRPr="00495560" w:rsidSect="006927E3">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w:hAnsi="Arial" w:cs="Arial"/>
        <w:sz w:val="16"/>
        <w:szCs w:val="16"/>
      </w:rPr>
    </w:pPr>
    <w:bookmarkStart w:id="25" w:name="_Hlk136964775"/>
    <w:r w:rsidRPr="00AF0550">
      <w:rPr>
        <w:rFonts w:ascii="Arial" w:hAnsi="Arial" w:cs="Arial"/>
        <w:sz w:val="16"/>
        <w:szCs w:val="16"/>
      </w:rPr>
      <w:t>M</w:t>
    </w:r>
    <w:r>
      <w:rPr>
        <w:rFonts w:ascii="Arial" w:hAnsi="Arial"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TextonotapieCar"/>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