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D79937" ns2: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F6A7D">
        <w:rPr>
          <w:rFonts w:ascii="Arial Narrow" w:eastAsia="Times New Roman" w:hAnsi="Arial Narrow" w:cs="Times New Roman"/>
          <w:b/>
          <w:bCs/>
          <w:color w:val="000000"/>
          <w:kern w:val="0"/>
          <w:shd w:val="clear" w:color="auto" w:fill="FFFFFF"/>
          <w:lang w:eastAsia="es-PE"/>
          <ns2:ligatures ns2:val="none"/>
        </w:rPr>
        <w:t>1261-2025/CC1</w:t>
      </w:r>
    </w:p>
    <w:p ns2:paraId="4F1DAB3F"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0F6A7D">
        <w:rPr>
          <w:rFonts w:ascii="Arial Narrow" w:eastAsia="Arial Narrow" w:hAnsi="Arial Narrow" w:cs="Arial Narrow"/>
          <w:b/>
          <w:color w:val="000000"/>
          <w:kern w:val="0"/>
          <w:lang w:eastAsia="es-PE"/>
          <ns2:ligatures ns2:val="none"/>
        </w:rPr>
        <w:t/>
      </w:r>
    </w:p>
    <w:p ns2:paraId="403F68AD"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DENUNCIADO</w:t>
      </w:r>
      <w:r w:rsidRPr="000F6A7D">
        <w:rPr>
          <w:rFonts w:ascii="Arial Narrow" w:eastAsia="Arial Narrow" w:hAnsi="Arial Narrow" w:cs="Arial Narrow"/>
          <w:b/>
          <w:color w:val="000000"/>
          <w:kern w:val="0"/>
          <w:lang w:eastAsia="es-PE"/>
          <ns2:ligatures ns2:val="none"/>
        </w:rPr>
        <w:tab/>
        <w:t>:</w:t>
      </w:r>
      <w:r w:rsidRPr="000F6A7D">
        <w:rPr>
          <w:rFonts w:ascii="Arial Narrow" w:eastAsia="Arial Narrow" w:hAnsi="Arial Narrow" w:cs="Arial Narrow"/>
          <w:b/>
          <w:color w:val="000000"/>
          <w:kern w:val="0"/>
          <w:lang w:eastAsia="es-PE"/>
          <ns2:ligatures ns2:val="none"/>
        </w:rPr>
        <w:tab/>
      </w:r>
      <w:bookmarkStart w:id="1" w:name="_Hlk202354592"/>
      <w:r w:rsidRPr="000F6A7D">
        <w:rPr>
          <w:rFonts w:ascii="Arial Narrow" w:eastAsia="Arial Narrow" w:hAnsi="Arial Narrow" w:cs="Arial Narrow"/>
          <w:b/>
          <w:color w:val="000000"/>
          <w:kern w:val="0"/>
          <w:lang w:eastAsia="es-PE"/>
          <ns2:ligatures ns2:val="none"/>
        </w:rPr>
        <w:t>RÍMAC SEGUROS Y REASEGUROS S.A.</w:t>
      </w:r>
      <w:bookmarkEnd w:id="1"/>
      <w:r w:rsidRPr="000F6A7D">
        <w:rPr>
          <w:rFonts w:ascii="Arial Narrow" w:eastAsia="Arial Narrow" w:hAnsi="Arial Narrow" w:cs="Arial Narrow"/>
          <w:b/>
          <w:color w:val="000000"/>
          <w:kern w:val="0"/>
          <w:lang w:eastAsia="es-PE"/>
          <ns2:ligatures ns2:val="none"/>
        </w:rPr>
        <w:t xml:space="preserve"> (RÍMAC)</w:t>
      </w:r>
    </w:p>
    <w:p ns2:paraId="5B9F980D" ns2: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MATERIAS</w:t>
      </w:r>
      <w:r w:rsidRPr="000F6A7D">
        <w:rPr>
          <w:rFonts w:ascii="Arial Narrow" w:eastAsia="Arial Narrow" w:hAnsi="Arial Narrow" w:cs="Arial Narrow"/>
          <w:b/>
          <w:color w:val="000000"/>
          <w:kern w:val="0"/>
          <w:lang w:eastAsia="es-PE"/>
          <ns2:ligatures ns2:val="none"/>
        </w:rPr>
        <w:tab/>
        <w:t xml:space="preserve">: </w:t>
      </w:r>
      <w:r w:rsidRPr="000F6A7D">
        <w:rPr>
          <w:rFonts w:ascii="Arial Narrow" w:eastAsia="Arial Narrow" w:hAnsi="Arial Narrow" w:cs="Arial Narrow"/>
          <w:b/>
          <w:color w:val="000000"/>
          <w:kern w:val="0"/>
          <w:lang w:eastAsia="es-PE"/>
          <ns2:ligatures ns2:val="none"/>
        </w:rPr>
        <w:tab/>
        <w:t>ADMISIÓN A TRÁMITE</w:t>
      </w:r>
    </w:p>
    <w:p ns2:paraId="14991772" ns2: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REQUERIMIENTO DE INFORMACIÓN </w:t>
      </w:r>
    </w:p>
    <w:p ns2:paraId="50253965" ns2: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RESOLUCIÓN </w:t>
      </w:r>
      <w:r w:rsidRPr="000F6A7D">
        <w:rPr>
          <w:rFonts w:ascii="Arial Narrow" w:eastAsia="Arial Narrow" w:hAnsi="Arial Narrow" w:cs="Arial Narrow"/>
          <w:b/>
          <w:color w:val="000000"/>
          <w:kern w:val="0"/>
          <w:lang w:eastAsia="es-PE"/>
          <ns2:ligatures ns2:val="none"/>
        </w:rPr>
        <w:tab/>
        <w:t>:</w:t>
      </w:r>
      <w:r w:rsidRPr="000F6A7D">
        <w:rPr>
          <w:rFonts w:ascii="Arial Narrow" w:eastAsia="Arial Narrow" w:hAnsi="Arial Narrow" w:cs="Arial Narrow"/>
          <w:b/>
          <w:color w:val="000000"/>
          <w:kern w:val="0"/>
          <w:lang w:eastAsia="es-PE"/>
          <ns2:ligatures ns2:val="none"/>
        </w:rPr>
        <w:tab/>
        <w:t>2</w:t>
      </w:r>
    </w:p>
    <w:p ns2:paraId="3F17AE62" ns2: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A89C583" ns2: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6A7D">
        <w:rPr>
          <w:rFonts w:ascii="Arial Narrow" w:eastAsia="Times New Roman" w:hAnsi="Arial Narrow" w:cs="Times New Roman"/>
          <w:color w:val="000000"/>
          <w:kern w:val="0"/>
          <w:shd w:val="clear" w:color="auto" w:fill="FFFFFF"/>
          <w:lang w:eastAsia="es-PE"/>
          <ns2:ligatures ns2:val="none"/>
        </w:rPr>
        <w:t xml:space="preserve">Lima, </w:t>
      </w:r>
      <w:r w:rsidR="00B0275D">
        <w:rPr>
          <w:rFonts w:ascii="Arial Narrow" w:eastAsia="Times New Roman" w:hAnsi="Arial Narrow" w:cs="Times New Roman"/>
          <w:color w:val="000000"/>
          <w:kern w:val="0"/>
          <w:shd w:val="clear" w:color="auto" w:fill="FFFFFF"/>
          <w:lang w:eastAsia="es-PE"/>
          <ns2:ligatures ns2:val="none"/>
        </w:rPr>
        <w:t>11</w:t>
      </w:r>
      <w:r w:rsidRPr="000F6A7D">
        <w:rPr>
          <w:rFonts w:ascii="Arial Narrow" w:eastAsia="Times New Roman" w:hAnsi="Arial Narrow" w:cs="Times New Roman"/>
          <w:color w:val="000000"/>
          <w:kern w:val="0"/>
          <w:shd w:val="clear" w:color="auto" w:fill="FFFFFF"/>
          <w:lang w:eastAsia="es-PE"/>
          <ns2:ligatures ns2:val="none"/>
        </w:rPr>
        <w:t xml:space="preserve"> de julio de 2025</w:t>
      </w:r>
    </w:p>
    <w:p ns2:paraId="626AF93F" ns2: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CE8CABE" ns2: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F6A7D">
        <w:rPr>
          <w:rFonts w:ascii="Arial Narrow" w:eastAsia="Arial Narrow" w:hAnsi="Arial Narrow" w:cs="Arial Narrow"/>
          <w:b/>
          <w:color w:val="000000"/>
          <w:kern w:val="0"/>
          <w:lang w:eastAsia="es-PE"/>
          <ns2:ligatures ns2:val="none"/>
        </w:rPr>
        <w:t xml:space="preserve">HECHOS </w:t>
      </w:r>
    </w:p>
    <w:p ns2:paraId="49B6A13B" ns2: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ns2:ligatures ns2:val="none"/>
        </w:rPr>
      </w:pPr>
    </w:p>
    <w:p ns2:paraId="7E5435D6" ns2: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853F7">
        <w:rPr>
          <w:rFonts w:ascii="Arial Narrow" w:eastAsia="Times New Roman" w:hAnsi="Arial Narrow" w:cs="Arial"/>
          <w:color w:val="000000"/>
          <w:kern w:val="0"/>
          <w:lang w:val="es-ES" w:eastAsia="es-ES"/>
          <ns2:ligatures ns2: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Times New Roman" w:hAnsi="Arial Narrow" w:cs="Arial"/>
          <w:color w:val="000000"/>
          <w:kern w:val="0"/>
          <w:lang w:val="es-ES" w:eastAsia="es-ES"/>
          <ns2:ligatures ns2:val="none"/>
        </w:rPr>
        <w:t/>
      </w:r>
      <w:r w:rsidRPr="003C7D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3C7DF0">
        <w:rPr>
          <w:rFonts w:ascii="Arial Narrow" w:eastAsia="Calibri" w:hAnsi="Arial Narrow" w:cs="Arial"/>
          <w:kern w:val="0"/>
          <ns2:ligatures ns2:val="none"/>
        </w:rPr>
        <w:t xml:space="preserve"/>
      </w:r>
      <w:r w:rsidRPr="003C7DF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7FA25809" ns2: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1856DF"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E3941">
        <w:rPr>
          <w:rFonts w:ascii="Arial Narrow" w:eastAsia="Times New Roman" w:hAnsi="Arial Narrow" w:cs="Arial"/>
          <w:color w:val="000000"/>
          <w:kern w:val="0"/>
          <w:lang w:eastAsia="es-ES"/>
          <ns2:ligatures ns2: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ns2:ligatures ns2: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ns2:ligatures ns2:val="none"/>
        </w:rPr>
        <w:t xml:space="preserve">59936319 </w:t>
      </w:r>
      <w:r w:rsidRPr="001A3752">
        <w:rPr>
          <w:rFonts w:ascii="Arial Narrow" w:eastAsia="Times New Roman" w:hAnsi="Arial Narrow" w:cs="Arial"/>
          <w:color w:val="000000"/>
          <w:kern w:val="0"/>
          <w:lang w:eastAsia="es-ES"/>
          <ns2:ligatures ns2:val="none"/>
        </w:rPr>
        <w:t xml:space="preserve">(en adelante, “Seguro de Vida Ley”) contratado por su empleador con Rímac. </w:t>
      </w:r>
    </w:p>
    <w:p ns2:paraId="4AC95764" ns2: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A81E1"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En octubre de 2023 sufrió un evento que derivaba en una invalidez total y permanente, calificada así por los dictámenes 00188-2024 emitido por el Comité Médico de las AFP (en adelante, COMAFP).</w:t>
      </w:r>
    </w:p>
    <w:p ns2:paraId="5EC55374" ns2: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531F6441" ns2: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El 15 de noviembre de 2023, culminó su relación laboral con BANBIF, debido a su estado de salud, el cual le impedía realizar actividades remunerativas de manera permanente.</w:t>
      </w:r>
    </w:p>
    <w:p ns2:paraId="7655E6A7" ns2: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587E9B17"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3752">
        <w:rPr>
          <w:rFonts w:ascii="Arial Narrow" w:eastAsia="Times New Roman" w:hAnsi="Arial Narrow" w:cs="Arial"/>
          <w:color w:val="000000"/>
          <w:kern w:val="0"/>
          <w:lang w:eastAsia="es-ES"/>
          <ns2:ligatures ns2:val="none"/>
        </w:rPr>
        <w:t xml:space="preserve">El 11 de septiembre de 2024, el COMAFP emitió el Dictamen 02301-2024, </w:t>
      </w:r>
      <w:r>
        <w:rPr>
          <w:rFonts w:ascii="Arial Narrow" w:eastAsia="Times New Roman" w:hAnsi="Arial Narrow" w:cs="Arial"/>
          <w:color w:val="000000"/>
          <w:kern w:val="0"/>
          <w:lang w:eastAsia="es-ES"/>
          <ns2:ligatures ns2:val="none"/>
        </w:rPr>
        <w:t>que lo calificaba con</w:t>
      </w:r>
      <w:r w:rsidRPr="001A3752">
        <w:rPr>
          <w:rFonts w:ascii="Arial Narrow" w:eastAsia="Times New Roman" w:hAnsi="Arial Narrow" w:cs="Arial"/>
          <w:color w:val="000000"/>
          <w:kern w:val="0"/>
          <w:lang w:eastAsia="es-ES"/>
          <ns2:ligatures ns2:val="none"/>
        </w:rPr>
        <w:t xml:space="preserve"> Invalidez Definitiva, Total y Permanente, con un menoscabo del 89,19 %</w:t>
      </w:r>
      <w:r w:rsidRPr="004E1242">
        <w:rPr>
          <w:rFonts w:ascii="Arial Narrow" w:eastAsia="Times New Roman" w:hAnsi="Arial Narrow" w:cs="Arial"/>
          <w:color w:val="000000"/>
          <w:kern w:val="0"/>
          <w:lang w:eastAsia="es-ES"/>
          <ns2:ligatures ns2:val="none"/>
        </w:rPr>
        <w:t>.</w:t>
      </w:r>
    </w:p>
    <w:p ns2:paraId="0C10961A" ns2: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ns2:ligatures ns2:val="none"/>
        </w:rPr>
      </w:pPr>
    </w:p>
    <w:p ns2:paraId="735B27A1"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El 19 de septiembre de 2024, presentó una solicitud de pago del beneficio del Seguro de Vida Ley ante Rímac, adjuntando documentación sustentatoria, entre la cual incluyó los dictámenes médicos de la COMAFP y su certificado de trabajo.</w:t>
      </w:r>
    </w:p>
    <w:p ns2:paraId="0B0C3092" ns2:textId="77777777" w:rsidR="00AC5DE1" w:rsidRPr="004E1242" w:rsidRDefault="00AC5DE1" w:rsidP="007315B7">
      <w:pPr>
        <w:spacing w:after="0" w:line="240" w:lineRule="auto"/>
        <w:jc w:val="both"/>
        <w:rPr>
          <w:rFonts w:ascii="Arial Narrow" w:eastAsia="Times New Roman" w:hAnsi="Arial Narrow" w:cs="Arial"/>
          <w:color w:val="000000"/>
          <w:kern w:val="0"/>
          <w:lang w:eastAsia="es-ES"/>
          <ns2:ligatures ns2:val="none"/>
        </w:rPr>
      </w:pPr>
    </w:p>
    <w:p ns2:paraId="6DB005DC" ns2: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ns2:ligatures ns2:val="none"/>
        </w:rPr>
        <w:t xml:space="preserve"> </w:t>
      </w:r>
      <w:r w:rsidRPr="004E1242">
        <w:rPr>
          <w:rFonts w:ascii="Arial Narrow" w:eastAsia="Times New Roman" w:hAnsi="Arial Narrow" w:cs="Arial"/>
          <w:color w:val="000000"/>
          <w:kern w:val="0"/>
          <w:lang w:eastAsia="es-ES"/>
          <ns2:ligatures ns2:val="none"/>
        </w:rPr>
        <w:t xml:space="preserve">El rechazo de </w:t>
      </w:r>
      <w:r w:rsidRPr="00807F3D">
        <w:rPr>
          <w:rFonts w:ascii="Arial Narrow" w:eastAsia="Times New Roman" w:hAnsi="Arial Narrow" w:cs="Arial"/>
          <w:color w:val="000000"/>
          <w:kern w:val="0"/>
          <w:lang w:eastAsia="es-ES"/>
          <ns2:ligatures ns2:val="none"/>
        </w:rPr>
        <w:t>Rímac le generaba un grave perjuicio económico y emocional, al verse privado del beneficio social que por ley le correspondía</w:t>
      </w:r>
    </w:p>
    <w:p ns2:paraId="14DDCB4D" ns2:textId="77777777" w:rsidR="00AC5DE1" w:rsidRPr="004E1242" w:rsidRDefault="00AC5DE1" w:rsidP="007315B7">
      <w:pPr>
        <w:spacing w:after="0" w:line="240" w:lineRule="auto"/>
        <w:jc w:val="both"/>
        <w:rPr>
          <w:rFonts w:ascii="Arial Narrow" w:eastAsia="Times New Roman" w:hAnsi="Arial Narrow" w:cs="Arial"/>
          <w:color w:val="000000"/>
          <w:kern w:val="0"/>
          <w:lang w:eastAsia="es-ES"/>
          <ns2:ligatures ns2:val="none"/>
        </w:rPr>
      </w:pPr>
    </w:p>
    <w:p ns2:paraId="1BCCFE8D" ns2: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242">
        <w:rPr>
          <w:rFonts w:ascii="Arial Narrow" w:eastAsia="Times New Roman" w:hAnsi="Arial Narrow" w:cs="Arial"/>
          <w:color w:val="000000"/>
          <w:kern w:val="0"/>
          <w:lang w:eastAsia="es-ES"/>
          <ns2:ligatures ns2: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ns2:paraId="224E15D5" ns2: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ns2:ligatures ns2:val="none"/>
        </w:rPr>
      </w:pPr>
    </w:p>
    <w:p ns2:paraId="28A83F1B" ns2: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07F3D">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Calibri" w:hAnsi="Arial Narrow" w:cs="Arial"/>
          <w:kern w:val="0"/>
          <ns2:ligatures ns2:val="none"/>
        </w:rPr>
        <w:t xml:space="preserve"/>
      </w:r>
      <w:r w:rsidRPr="00807F3D">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807F3D">
        <w:rPr>
          <w:rFonts w:ascii="Arial Narrow" w:eastAsia="Times New Roman" w:hAnsi="Arial Narrow" w:cs="Arial"/>
          <w:color w:val="000000"/>
          <w:kern w:val="0"/>
          <w:lang w:val="es-ES" w:eastAsia="es-ES"/>
          <ns2:ligatures ns2:val="none"/>
        </w:rPr>
        <w:t xml:space="preserve"/>
      </w:r>
    </w:p>
    <w:p ns2:paraId="5989C786" ns2: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ns2:ligatures ns2:val="none"/>
        </w:rPr>
      </w:pPr>
    </w:p>
    <w:p ns2:paraId="15B83BEB"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7DF70D9" ns2: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1F923CD" ns2: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F40C05" w:rsidRPr="00F40C05">
        <w:rPr>
          <w:rFonts w:ascii="Arial Narrow" w:eastAsia="Times New Roman" w:hAnsi="Arial Narrow" w:cs="Arial"/>
          <w:color w:val="000000"/>
          <w:kern w:val="0"/>
          <w:lang w:val="es-ES" w:eastAsia="es-ES"/>
          <ns2:ligatures ns2: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ns2:ligatures ns2:val="none"/>
        </w:rPr>
        <w:t/>
      </w:r>
      <w:r w:rsidRPr="006439A4">
        <w:rPr>
          <w:rFonts w:ascii="Arial Narrow" w:eastAsia="Arial Narrow" w:hAnsi="Arial Narrow" w:cs="Arial Narrow"/>
          <w:kern w:val="0"/>
          <ns2:ligatures ns2:val="none"/>
        </w:rPr>
        <w:t xml:space="preserve"> y 19</w:t>
      </w:r>
      <w:r w:rsidRPr="006439A4">
        <w:rPr>
          <w:rFonts w:ascii="Arial Narrow" w:eastAsia="Times New Roman" w:hAnsi="Arial Narrow" w:cs="Segoe UI"/>
          <w:color w:val="000000"/>
          <w:kern w:val="0"/>
          <w:lang w:eastAsia="es-PE"/>
          <ns2:ligatures ns2:val="none"/>
        </w:rPr>
        <w:t/>
      </w:r>
      <w:r w:rsidRPr="006439A4">
        <w:rPr>
          <w:rFonts w:ascii="Arial Narrow" w:eastAsia="Arial Narrow" w:hAnsi="Arial Narrow" w:cs="Arial Narrow"/>
          <w:kern w:val="0"/>
          <ns2:ligatures ns2:val="none"/>
        </w:rPr>
        <w:t xml:space="preserve"> del Código</w:t>
      </w:r>
      <w:r w:rsidRPr="006439A4">
        <w:rPr>
          <w:rStyle w:val="Refdenotaalpie"/>
          <w:rFonts w:ascii="Arial Narrow" w:eastAsia="Arial Narrow" w:hAnsi="Arial Narrow" w:cs="Arial"/>
          <w:kern w:val="0"/>
          <w:vertAlign w:val="superscript"/>
          <ns2:ligatures ns2:val="none"/>
        </w:rPr>
        <w:footnoteReference w:id="4"/>
      </w:r>
      <w:r w:rsidRPr="006439A4">
        <w:rPr>
          <w:rFonts w:ascii="Arial Narrow" w:eastAsia="Arial Narrow" w:hAnsi="Arial Narrow" w:cs="Arial Narrow"/>
          <w:kern w:val="0"/>
          <ns2:ligatures ns2:val="none"/>
        </w:rPr>
        <w:t>.</w:t>
      </w:r>
    </w:p>
    <w:p ns2:paraId="3DDF49B0" ns2: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ns2:ligatures ns2:val="none"/>
        </w:rPr>
      </w:pPr>
    </w:p>
    <w:p ns2:paraId="3A1AB317" ns2: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2D553E24" ns2: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A3DBB2D"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D428DDA" ns2: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ns2:ligatures ns2:val="none"/>
        </w:rPr>
      </w:pPr>
    </w:p>
    <w:p ns2:paraId="2D48E29A" ns2: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836A63">
        <w:rPr>
          <w:rFonts w:ascii="Arial Narrow" w:eastAsia="Times New Roman" w:hAnsi="Arial Narrow" w:cs="Arial"/>
          <w:color w:val="000000"/>
          <w:kern w:val="0"/>
          <w:lang w:val="es-ES" w:eastAsia="es-ES"/>
          <ns2:ligatures ns2: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ns2:ligatures ns2: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ns2:ligatures ns2:val="none"/>
        </w:rPr>
        <w:t>.</w:t>
      </w:r>
    </w:p>
    <w:p ns2:paraId="6029F1E7" ns2: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4322174" ns2: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23A469E"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20B3EF52" ns2:textId="25E0C29C" w:rsidR="00AC5DE1" w:rsidRPr="0026598E" w:rsidRDefault="00AC5DE1" w:rsidP="007315B7">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836A63">
        <w:rPr>
          <w:rFonts w:ascii="Arial Narrow" w:eastAsia="Times New Roman" w:hAnsi="Arial Narrow" w:cs="Times New Roman"/>
          <w:color w:val="000000"/>
          <w:kern w:val="0"/>
          <w:shd w:val="clear" w:color="auto" w:fill="FFFFFF"/>
          <w:lang w:eastAsia="es-PE"/>
          <ns2:ligatures ns2:val="none"/>
        </w:rPr>
        <w:t xml:space="preserve"/>
      </w:r>
      <w:r w:rsidRPr="00836A63">
        <w:rPr>
          <w:rFonts w:ascii="Arial Narrow" w:eastAsia="Times New Roman" w:hAnsi="Arial Narrow" w:cs="Arial"/>
          <w:color w:val="000000"/>
          <w:kern w:val="0"/>
          <w:lang w:val="es-ES" w:eastAsia="es-ES"/>
          <ns2:ligatures ns2:val="none"/>
        </w:rPr>
        <w:t xml:space="preserve"/>
      </w:r>
      <w:r w:rsidRPr="00836A63">
        <w:rPr>
          <w:rFonts w:ascii="Arial Narrow" w:eastAsia="Times New Roman" w:hAnsi="Arial Narrow" w:cs="Times New Roman"/>
          <w:color w:val="000000"/>
          <w:kern w:val="0"/>
          <w:shd w:val="clear" w:color="auto" w:fill="FFFFFF"/>
          <w:lang w:eastAsia="es-PE"/>
          <ns2:ligatures ns2:val="none"/>
        </w:rPr>
        <w:t/>
      </w:r>
      <w:r w:rsidRPr="00127855">
        <w:rPr>
          <w:rFonts w:ascii="Arial Narrow" w:eastAsia="Times New Roman" w:hAnsi="Arial Narrow" w:cs="Times New Roman"/>
          <w:color w:val="000000"/>
          <w:kern w:val="0"/>
          <w:shd w:val="clear" w:color="auto" w:fill="FFFFFF"/>
          <w:lang w:eastAsia="es-PE"/>
          <ns2:ligatures ns2:val="none"/>
        </w:rPr>
        <w:t xml:space="preserve"/>
      </w:r>
      <w:r w:rsidRPr="006439A4">
        <w:rPr>
          <w:rFonts w:ascii="Arial Narrow" w:eastAsia="Times New Roman" w:hAnsi="Arial Narrow" w:cs="Times New Roman"/>
          <w:color w:val="000000"/>
          <w:kern w:val="0"/>
          <w:shd w:val="clear" w:color="auto" w:fill="FFFFFF"/>
          <w:lang w:eastAsia="es-PE"/>
          <ns2:ligatures ns2:val="none"/>
        </w:rPr>
        <w:t/>
      </w:r>
      <w:r w:rsidRPr="006439A4">
        <w:rPr>
          <w:rFonts w:ascii="Arial Narrow" w:eastAsia="Times New Roman" w:hAnsi="Arial Narrow" w:cs="Segoe UI"/>
          <w:color w:val="000000"/>
          <w:kern w:val="0"/>
          <w:lang w:eastAsia="es-PE"/>
          <ns2:ligatures ns2:val="none"/>
        </w:rPr>
        <w:t/>
      </w:r>
      <w:r w:rsidRPr="006439A4">
        <w:rPr>
          <w:rFonts w:ascii="Arial Narrow" w:eastAsia="Times New Roman" w:hAnsi="Arial Narrow" w:cs="Times New Roman"/>
          <w:color w:val="000000"/>
          <w:kern w:val="0"/>
          <w:shd w:val="clear" w:color="auto" w:fill="FFFFFF"/>
          <w:lang w:eastAsia="es-PE"/>
          <ns2:ligatures ns2:val="none"/>
        </w:rPr>
        <w:t xml:space="preserve"/>
      </w:r>
      <w:r w:rsidRPr="006439A4">
        <w:rPr>
          <w:rFonts w:ascii="Arial Narrow" w:eastAsia="Times New Roman" w:hAnsi="Arial Narrow" w:cs="Arial"/>
          <w:color w:val="000000"/>
          <w:kern w:val="0"/>
          <w:lang w:val="es-ES" w:eastAsia="es-ES"/>
          <ns2:ligatures ns2:val="none"/>
        </w:rPr>
        <w:t/>
      </w:r>
      <w:r w:rsidR="007315B7">
        <w:rPr>
          <w:rFonts w:ascii="Arial Narrow" w:eastAsia="Times New Roman" w:hAnsi="Arial Narrow" w:cs="Arial"/>
          <w:color w:val="000000"/>
          <w:kern w:val="0"/>
          <w:lang w:val="es-ES" w:eastAsia="es-ES"/>
          <ns2:ligatures ns2:val="none"/>
        </w:rPr>
        <w:t xml:space="preserve"/>
      </w:r>
      <w:r w:rsidRPr="006439A4">
        <w:rPr>
          <w:rFonts w:ascii="Arial Narrow" w:eastAsia="Times New Roman" w:hAnsi="Arial Narrow" w:cs="Arial"/>
          <w:color w:val="000000"/>
          <w:kern w:val="0"/>
          <w:lang w:val="es-ES" w:eastAsia="es-ES"/>
          <ns2:ligatures ns2:val="none"/>
        </w:rPr>
        <w:t xml:space="preserve"/>
      </w:r>
      <w:r w:rsidRPr="00A27CE3">
        <w:rPr>
          <w:rFonts w:ascii="Arial Narrow" w:eastAsia="Times New Roman" w:hAnsi="Arial Narrow" w:cs="Arial"/>
          <w:color w:val="000000"/>
          <w:kern w:val="0"/>
          <w:lang w:eastAsia="es-ES"/>
          <ns2:ligatures ns2:val="none"/>
        </w:rPr>
        <w:t xml:space="preserve"/>
      </w:r>
      <w:r w:rsidRPr="006439A4">
        <w:rPr>
          <w:rFonts w:ascii="Arial Narrow" w:eastAsia="Times New Roman" w:hAnsi="Arial Narrow" w:cs="Arial"/>
          <w:color w:val="000000"/>
          <w:kern w:val="0"/>
          <w:lang w:val="es-ES" w:eastAsia="es-ES"/>
          <ns2:ligatures ns2:val="none"/>
        </w:rPr>
        <w:t/>
      </w:r>
    </w:p>
    <w:p ns2:paraId="31F0E10D" ns2:textId="77777777" w:rsidR="00AC5DE1" w:rsidRPr="0026598E" w:rsidRDefault="00AC5DE1" w:rsidP="007315B7">
      <w:pPr>
        <w:spacing w:after="0" w:line="240" w:lineRule="auto"/>
        <w:jc w:val="both"/>
        <w:rPr>
          <w:rFonts w:ascii="Arial Narrow" w:eastAsia="Arial Narrow" w:hAnsi="Arial Narrow" w:cs="Arial Narrow"/>
          <w:kern w:val="0"/>
          <ns2:ligatures ns2:val="none"/>
        </w:rPr>
      </w:pPr>
    </w:p>
    <w:p ns2:paraId="00F67569" ns2:textId="77777777" w:rsidR="00AC5DE1" w:rsidRPr="0026598E" w:rsidRDefault="00AC5DE1" w:rsidP="007315B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9853F7">
        <w:rPr>
          <w:rFonts w:ascii="Arial Narrow" w:eastAsia="Times New Roman" w:hAnsi="Arial Narrow" w:cs="Arial"/>
          <w:color w:val="000000"/>
          <w:kern w:val="0"/>
          <w:lang w:val="es-ES" w:eastAsia="es-ES"/>
          <ns2:ligatures ns2:val="none"/>
        </w:rPr>
        <w:t xml:space="preserve">17 de marzo de </w:t>
      </w:r>
      <w:r w:rsidRPr="003C7DF0">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0A02EDC7" ns2: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ns2:ligatures ns2:val="none"/>
        </w:rPr>
      </w:pPr>
    </w:p>
    <w:p ns2:paraId="2D689A5A"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127855">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6305F" ns2: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ns2:ligatures ns2:val="none"/>
        </w:rPr>
      </w:pPr>
    </w:p>
    <w:p ns2:paraId="1FAA7B27"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A433FB3"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0EFA4E3" ns2: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4955501" ns2: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EAFE94" ns2: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53526F2" ns2: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EB17AFD"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p>
    <w:p ns2:paraId="79C82EFF" ns2: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AA0814">
        <w:rPr>
          <w:rFonts w:ascii="Arial Narrow" w:eastAsia="Times New Roman" w:hAnsi="Arial Narrow" w:cs="Arial"/>
          <w:color w:val="000000"/>
          <w:kern w:val="0"/>
          <w:lang w:val="es-ES" w:eastAsia="es-ES"/>
          <ns2:ligatures ns2: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ns2:ligatures ns2:val="none"/>
        </w:rPr>
        <w:t>59936319</w:t>
      </w:r>
      <w:r w:rsidRPr="00AA0814">
        <w:rPr>
          <w:rFonts w:ascii="Arial Narrow" w:eastAsia="Times New Roman" w:hAnsi="Arial Narrow" w:cs="Arial"/>
          <w:color w:val="000000"/>
          <w:kern w:val="0"/>
          <w:lang w:val="es-ES" w:eastAsia="es-ES"/>
          <ns2:ligatures ns2: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0FBFECD8" ns2: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ns2:ligatures ns2:val="none"/>
        </w:rPr>
      </w:pPr>
    </w:p>
    <w:p ns2:paraId="50EDC5DA" ns2: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4CCC1C8D" ns2: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D703DB1" ns2: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5FB7B6D" ns2: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BBAF36A" ns2:textId="77777777" w:rsidR="00AC5DE1" w:rsidRPr="0026598E" w:rsidRDefault="00AC5DE1" w:rsidP="007315B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E191C26" ns2:textId="77777777" w:rsidR="00AC5DE1" w:rsidRPr="0026598E" w:rsidRDefault="00AC5DE1" w:rsidP="007315B7">
      <w:pPr>
        <w:suppressAutoHyphens/>
        <w:spacing w:after="0" w:line="240" w:lineRule="auto"/>
        <w:jc w:val="both"/>
        <w:rPr>
          <w:rFonts w:ascii="Arial Narrow" w:eastAsia="Calibri" w:hAnsi="Arial Narrow" w:cs="Arial"/>
          <w:kern w:val="0"/>
          <w:u w:val="single"/>
          <ns2:ligatures ns2:val="none"/>
        </w:rPr>
      </w:pPr>
    </w:p>
    <w:p ns2:paraId="3459B459" ns2: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0688C4D" ns2: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ns2:ligatures ns2:val="none"/>
        </w:rPr>
      </w:pPr>
    </w:p>
    <w:p ns2:paraId="75DB5B3C" ns2: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27855">
        <w:rPr>
          <w:rFonts w:ascii="Arial Narrow" w:hAnsi="Arial Narrow" w:cs="Arial"/>
          <w:bCs/>
          <w:spacing w:val="-3"/>
          <w:kern w:val="0"/>
          <ns2:ligatures ns2:val="none"/>
        </w:rPr>
        <w:t xml:space="preserve"/>
      </w:r>
      <w:r w:rsidRPr="00127855">
        <w:rPr>
          <w:rFonts w:ascii="Arial Narrow" w:eastAsia="Times New Roman" w:hAnsi="Arial Narrow" w:cs="Times New Roman"/>
          <w:color w:val="000000"/>
          <w:kern w:val="0"/>
          <w:shd w:val="clear" w:color="auto" w:fill="FFFFFF"/>
          <w:lang w:eastAsia="es-PE"/>
          <ns2:ligatures ns2:val="none"/>
        </w:rPr>
        <w:t xml:space="preserve"/>
      </w:r>
      <w:r w:rsidRPr="00127855">
        <w:rPr>
          <w:rFonts w:ascii="Arial Narrow" w:hAnsi="Arial Narrow"/>
          <w:color w:val="000000"/>
        </w:rPr>
        <w:t/>
      </w:r>
      <w:r w:rsidRPr="00A67ADF">
        <w:rPr>
          <w:rFonts w:ascii="Arial Narrow" w:hAnsi="Arial Narrow"/>
          <w:color w:val="000000"/>
        </w:rPr>
        <w:t xml:space="preserve"/>
      </w:r>
      <w:r w:rsidRPr="00836A6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7B47F0F9" ns2:textId="77777777" w:rsidR="00AC5DE1" w:rsidRPr="0026598E" w:rsidRDefault="00AC5DE1" w:rsidP="007315B7">
      <w:pPr>
        <w:suppressAutoHyphens/>
        <w:spacing w:after="0" w:line="240" w:lineRule="auto"/>
        <w:jc w:val="both"/>
        <w:rPr>
          <w:rFonts w:ascii="Arial Narrow" w:hAnsi="Arial Narrow" w:cs="Arial"/>
        </w:rPr>
      </w:pPr>
    </w:p>
    <w:p ns2:paraId="11F47B1E"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6B23EEB6"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p ns2:paraId="0FC4A88A" ns2: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ns2:ligatures ns2:val="none"/>
        </w:rPr>
      </w:pPr>
    </w:p>
    <w:p ns2:paraId="0022ADC2" ns2: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4D70A03A" ns2: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74BFBD1C" ns2: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AC6C844" ns2: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ns2:ligatures ns2:val="none"/>
        </w:rPr>
      </w:pPr>
    </w:p>
    <w:bookmarkEnd w:id="0"/>
    <w:p ns2:paraId="36FDC487" ns2: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0693134" ns2:textId="77777777" w:rsidR="00AC5DE1" w:rsidRPr="0026598E" w:rsidRDefault="00AC5DE1" w:rsidP="007315B7">
      <w:pPr>
        <w:spacing w:line="240" w:lineRule="auto"/>
        <w:rPr>
          <w:rFonts w:ascii="Arial Narrow" w:hAnsi="Arial Narrow"/>
        </w:rPr>
      </w:pPr>
    </w:p>
    <w:p ns2:paraId="1E9180A5" ns2:textId="77777777" w:rsidR="00AC5DE1" w:rsidRPr="0026598E" w:rsidRDefault="00AC5DE1" w:rsidP="007315B7">
      <w:pPr>
        <w:spacing w:line="240" w:lineRule="auto"/>
        <w:rPr>
          <w:rFonts w:ascii="Arial Narrow" w:hAnsi="Arial Narrow"/>
        </w:rPr>
      </w:pPr>
    </w:p>
    <w:p ns2:paraId="4F00EADE" ns2:textId="77777777" w:rsidR="00AC5DE1" w:rsidRPr="0026598E" w:rsidRDefault="00AC5DE1" w:rsidP="007315B7">
      <w:pPr>
        <w:spacing w:line="240" w:lineRule="auto"/>
        <w:rPr>
          <w:rFonts w:ascii="Arial Narrow" w:hAnsi="Arial Narrow"/>
        </w:rPr>
      </w:pPr>
    </w:p>
    <w:p ns2:paraId="74AAB5F4" ns2:textId="77777777" w:rsidR="001B5674" w:rsidRDefault="001B5674" w:rsidP="007315B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Denuncia remitida a esta Comisión mediante MEMORANDUM 000438-2025-CHT/INDECOPI de fecha 28 de mayo del 2025, recepcionada el 28 de mayo del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el 2 de setiembre del 2010 en el Diario Oficial El Peruano, vigente desde el 2 de octubre del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vertAlign w:val="superscript"/>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vertAlign w:val="superscript"/>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