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DENUNCIANTE</w:t>
      </w:r>
      <w:r w:rsidRPr="00CA233D">
        <w:rPr>
          <w:rFonts w:ascii="Arial Narrow" w:eastAsia="Arial Narrow" w:hAnsi="Arial Narrow"/>
          <w:b/>
          <w:color w:val="000000"/>
        </w:rPr>
        <w:tab/>
        <w:t>:</w:t>
      </w:r>
      <w:r w:rsidRPr="00CA233D">
        <w:rPr>
          <w:rFonts w:ascii="Arial Narrow" w:eastAsia="Arial Narrow" w:hAnsi="Arial Narrow"/>
          <w:b/>
          <w:color w:val="000000"/>
        </w:rPr>
        <w:tab/>
        <w:t>ANTONIO LUCES LLANOS ANCO (SEÑOR LLANOS)</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Mediante el escrito del 17 de junio de 2026</w:t>
      </w:r>
      <w:r w:rsidR="00CA233D" w:rsidRPr="00CA233D">
        <w:rPr>
          <w:rStyle w:val="Refdenotaalpie"/>
          <w:rFonts w:ascii="Arial Narrow" w:eastAsia="Arial Narrow" w:hAnsi="Arial Narrow"/>
          <w:color w:val="000000"/>
        </w:rPr>
        <w:footnoteReference w:id="1"/>
      </w:r>
      <w:r w:rsidRPr="00CA233D">
        <w:rPr>
          <w:rFonts w:ascii="Arial Narrow" w:eastAsia="Arial Narrow" w:hAnsi="Arial Narrow"/>
          <w:color w:val="000000"/>
        </w:rPr>
        <w:t>, el señor Llanos denunció a La Positiva por presuntas infracciones a la Ley 29571, Código de Protección y Defensa del Consumidor (en adelante, el Código)</w:t>
      </w:r>
      <w:r w:rsidR="00CA233D" w:rsidRPr="00CA233D">
        <w:rPr>
          <w:rStyle w:val="Refdenotaalpie"/>
          <w:rFonts w:ascii="Arial Narrow" w:eastAsia="Arial Narrow" w:hAnsi="Arial Narrow"/>
          <w:color w:val="000000"/>
        </w:rPr>
        <w:footnoteReference w:id="2"/>
      </w:r>
      <w:r w:rsidRPr="00CA233D">
        <w:rPr>
          <w:rFonts w:ascii="Arial Narrow" w:eastAsia="Arial Narrow" w:hAnsi="Arial Narrow"/>
          <w:color w:val="000000"/>
        </w:rPr>
        <w:t>, señalando lo siguiente:</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CA233D">
        <w:rPr>
          <w:rFonts w:ascii="Arial Narrow" w:eastAsia="Arial Narrow" w:hAnsi="Arial Narrow"/>
          <w:color w:val="000000"/>
        </w:rPr>
        <w:t xml:space="preserve"> 12 de febrero de 2025, el señor Percy Elías Llanos Anco </w:t>
      </w:r>
      <w:r>
        <w:rPr>
          <w:rFonts w:ascii="Arial Narrow" w:eastAsia="Arial Narrow" w:hAnsi="Arial Narrow"/>
          <w:color w:val="000000"/>
        </w:rPr>
        <w:t xml:space="preserve">(en adelante, señor </w:t>
      </w:r>
      <w:r w:rsidRPr="00CA233D">
        <w:rPr>
          <w:rFonts w:ascii="Arial Narrow" w:eastAsia="Arial Narrow" w:hAnsi="Arial Narrow"/>
          <w:color w:val="000000"/>
        </w:rPr>
        <w:t>Llanos</w:t>
      </w:r>
      <w:r>
        <w:rPr>
          <w:rFonts w:ascii="Arial Narrow" w:eastAsia="Arial Narrow" w:hAnsi="Arial Narrow"/>
          <w:color w:val="000000"/>
        </w:rPr>
        <w:t xml:space="preserve">) </w:t>
      </w:r>
      <w:r w:rsidR="00CA59A2" w:rsidRPr="00CA233D">
        <w:rPr>
          <w:rFonts w:ascii="Arial Narrow" w:eastAsia="Arial Narrow" w:hAnsi="Arial Narrow"/>
          <w:color w:val="000000"/>
        </w:rPr>
        <w:t xml:space="preserve">contrató con La Positiva el Seguro de Vida </w:t>
      </w:r>
      <w:r>
        <w:rPr>
          <w:rFonts w:ascii="Arial Narrow" w:eastAsia="Arial Narrow" w:hAnsi="Arial Narrow"/>
          <w:color w:val="000000"/>
        </w:rPr>
        <w:t xml:space="preserve">- </w:t>
      </w:r>
      <w:r w:rsidR="00CA59A2" w:rsidRPr="00CA233D">
        <w:rPr>
          <w:rFonts w:ascii="Arial Narrow" w:eastAsia="Arial Narrow" w:hAnsi="Arial Narrow"/>
          <w:color w:val="000000"/>
        </w:rPr>
        <w:t>Póliza 1019845478</w:t>
      </w:r>
      <w:r>
        <w:rPr>
          <w:rFonts w:ascii="Arial Narrow" w:eastAsia="Arial Narrow" w:hAnsi="Arial Narrow"/>
          <w:color w:val="000000"/>
        </w:rPr>
        <w:t xml:space="preserve"> (en adelante Seguro de vida)</w:t>
      </w:r>
      <w:r w:rsidR="00CA59A2" w:rsidRPr="00CA233D">
        <w:rPr>
          <w:rFonts w:ascii="Arial Narrow" w:eastAsia="Arial Narrow" w:hAnsi="Arial Narrow"/>
          <w:color w:val="000000"/>
        </w:rPr>
        <w:t>, designando</w:t>
      </w:r>
      <w:r>
        <w:rPr>
          <w:rFonts w:ascii="Arial Narrow" w:eastAsia="Arial Narrow" w:hAnsi="Arial Narrow"/>
          <w:color w:val="000000"/>
        </w:rPr>
        <w:t>le</w:t>
      </w:r>
      <w:r w:rsidR="00CA59A2" w:rsidRPr="00CA233D">
        <w:rPr>
          <w:rFonts w:ascii="Arial Narrow" w:eastAsia="Arial Narrow" w:hAnsi="Arial Narrow"/>
          <w:color w:val="000000"/>
        </w:rPr>
        <w:t xml:space="preserve"> como único beneficiario por una suma asegurada de S/ 300 000,00.</w:t>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CA233D">
        <w:rPr>
          <w:rFonts w:ascii="Arial Narrow" w:eastAsia="Arial Narrow" w:hAnsi="Arial Narrow"/>
          <w:color w:val="000000"/>
        </w:rPr>
        <w:t xml:space="preserve">l 10 de junio de 2025, se produjo el fallecimiento del </w:t>
      </w:r>
      <w:r>
        <w:rPr>
          <w:rFonts w:ascii="Arial Narrow" w:eastAsia="Arial Narrow" w:hAnsi="Arial Narrow"/>
          <w:color w:val="000000"/>
        </w:rPr>
        <w:t xml:space="preserve">señor </w:t>
      </w:r>
      <w:r w:rsidRPr="00CA233D">
        <w:rPr>
          <w:rFonts w:ascii="Arial Narrow" w:eastAsia="Arial Narrow" w:hAnsi="Arial Narrow"/>
          <w:color w:val="000000"/>
        </w:rPr>
        <w:t>Llanos</w:t>
      </w:r>
      <w:r w:rsidR="00CA59A2" w:rsidRPr="00CA233D">
        <w:rPr>
          <w:rFonts w:ascii="Arial Narrow" w:eastAsia="Arial Narrow" w:hAnsi="Arial Narrow"/>
          <w:color w:val="000000"/>
        </w:rPr>
        <w:t>. Ante ello, presentó la solicitud de cobertura acompañando la documentación médica y legal requerida.</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El señor Llanos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La Secretaría Técnica de la Comisión de Protección al Consumidor 1</w:t>
      </w:r>
      <w:r w:rsidR="00CA233D" w:rsidRPr="00CA233D">
        <w:rPr>
          <w:rStyle w:val="Refdenotaalpie"/>
          <w:rFonts w:ascii="Arial Narrow" w:eastAsia="Arial Narrow" w:hAnsi="Arial Narrow"/>
          <w:color w:val="000000"/>
        </w:rPr>
        <w:footnoteReference w:id="3"/>
      </w:r>
      <w:r w:rsidRPr="00CA233D">
        <w:rPr>
          <w:rFonts w:ascii="Arial Narrow" w:eastAsia="Arial Narrow" w:hAnsi="Arial Narrow"/>
          <w:color w:val="000000"/>
        </w:rPr>
        <w:t xml:space="preserve"> (en adelante, la Secretaría Técnica), </w:t>
      </w:r>
      <w:r w:rsidR="005E00B3" w:rsidRPr="0026598E">
        <w:rPr>
          <w:rFonts w:ascii="Arial Narrow" w:eastAsia="Times New Roman" w:hAnsi="Arial Narrow" w:cs="Segoe UI"/>
          <w:color w:val="000000"/>
          <w:kern w:val="0"/>
          <w:lang w:eastAsia="es-PE"/>
          <w14:ligatures w14:val="none"/>
        </w:rPr>
        <w:t>en ejercicio de sus facultades</w:t>
      </w:r>
      <w:r w:rsidR="005E00B3" w:rsidRPr="0026598E">
        <w:rPr>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t>
      </w:r>
      <w:r w:rsidR="005E00B3" w:rsidRPr="00B55C2B">
        <w:rPr>
          <w:rFonts w:ascii="Arial Narrow" w:eastAsia="Times New Roman" w:hAnsi="Arial Narrow" w:cs="Segoe UI"/>
          <w:color w:val="000000"/>
          <w:kern w:val="0"/>
          <w:lang w:eastAsia="es-PE"/>
          <w14:ligatures w14:val="none"/>
        </w:rPr>
        <w:t xml:space="preserve">considera que el hecho denunciado, consistente en que </w:t>
      </w:r>
      <w:r w:rsidR="005E00B3">
        <w:rPr>
          <w:rFonts w:ascii="Arial Narrow" w:eastAsia="Arial Narrow" w:hAnsi="Arial Narrow"/>
          <w:color w:val="000000"/>
        </w:rPr>
        <w:t>la compañía aseguradora</w:t>
      </w:r>
      <w:r w:rsidR="005E00B3" w:rsidRPr="00CA233D">
        <w:rPr>
          <w:rFonts w:ascii="Arial Narrow" w:eastAsia="Arial Narrow" w:hAnsi="Arial Narrow"/>
          <w:color w:val="000000"/>
        </w:rPr>
        <w:t xml:space="preserve"> habría negado de forma injustificada la cobertura </w:t>
      </w:r>
      <w:r w:rsidR="005E00B3">
        <w:rPr>
          <w:rFonts w:ascii="Arial Narrow" w:eastAsia="Arial Narrow" w:hAnsi="Arial Narrow"/>
          <w:color w:val="000000"/>
        </w:rPr>
        <w:t xml:space="preserve">de la </w:t>
      </w:r>
      <w:r w:rsidR="005E00B3" w:rsidRPr="00CA233D">
        <w:rPr>
          <w:rFonts w:ascii="Arial Narrow" w:eastAsia="Arial Narrow" w:hAnsi="Arial Narrow"/>
          <w:color w:val="000000"/>
        </w:rPr>
        <w:t>Póliza 1019845478</w:t>
      </w:r>
      <w:r w:rsidR="005E00B3">
        <w:rPr>
          <w:rFonts w:ascii="Arial Narrow" w:eastAsia="Arial Narrow" w:hAnsi="Arial Narrow"/>
          <w:color w:val="000000"/>
        </w:rPr>
        <w:t xml:space="preserve"> del</w:t>
      </w:r>
      <w:r w:rsidR="005E00B3" w:rsidRPr="00CA233D">
        <w:rPr>
          <w:rFonts w:ascii="Arial Narrow" w:eastAsia="Arial Narrow" w:hAnsi="Arial Narrow"/>
          <w:color w:val="000000"/>
        </w:rPr>
        <w:t xml:space="preserve"> Seguro de Vida, por el fallecimiento del señor Percy Elías Llanos Anco</w:t>
      </w:r>
      <w:r w:rsidR="005E00B3"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5E00B3"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5E00B3" w:rsidRPr="00AC42EB">
        <w:rPr>
          <w:rFonts w:ascii="Arial Narrow" w:eastAsia="Arial Narrow" w:hAnsi="Arial Narrow" w:cs="Arial Narrow"/>
          <w:kern w:val="0"/>
          <w14:ligatures w14:val="none"/>
        </w:rPr>
        <w:t>, tipificado en los artículos 18</w:t>
      </w:r>
      <w:r w:rsidR="005E00B3" w:rsidRPr="00AC42EB">
        <w:rPr>
          <w:rFonts w:ascii="Arial Narrow" w:eastAsia="Times New Roman" w:hAnsi="Arial Narrow" w:cs="Segoe UI"/>
          <w:color w:val="000000"/>
          <w:kern w:val="0"/>
          <w:lang w:eastAsia="es-PE"/>
          <w14:ligatures w14:val="none"/>
        </w:rPr>
        <w:t>°</w:t>
      </w:r>
      <w:r w:rsidR="005E00B3" w:rsidRPr="00AC42EB">
        <w:rPr>
          <w:rFonts w:ascii="Arial Narrow" w:eastAsia="Arial Narrow" w:hAnsi="Arial Narrow" w:cs="Arial Narrow"/>
          <w:kern w:val="0"/>
          <w14:ligatures w14:val="none"/>
        </w:rPr>
        <w:t xml:space="preserve"> y 19</w:t>
      </w:r>
      <w:r w:rsidR="005E00B3" w:rsidRPr="00AC42EB">
        <w:rPr>
          <w:rFonts w:ascii="Arial Narrow" w:eastAsia="Times New Roman" w:hAnsi="Arial Narrow" w:cs="Segoe UI"/>
          <w:color w:val="000000"/>
          <w:kern w:val="0"/>
          <w:lang w:eastAsia="es-PE"/>
          <w14:ligatures w14:val="none"/>
        </w:rPr>
        <w:t>°</w:t>
      </w:r>
      <w:r w:rsidR="005E00B3" w:rsidRPr="00AC42EB">
        <w:rPr>
          <w:rFonts w:ascii="Arial Narrow" w:eastAsia="Arial Narrow" w:hAnsi="Arial Narrow" w:cs="Arial Narrow"/>
          <w:kern w:val="0"/>
          <w14:ligatures w14:val="none"/>
        </w:rPr>
        <w:t xml:space="preserve"> del Código</w:t>
      </w:r>
      <w:r w:rsidR="005E00B3" w:rsidRPr="00AC42EB">
        <w:rPr>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w:t>
      </w:r>
      <w:r w:rsidRPr="00CA233D">
        <w:rPr>
          <w:rFonts w:ascii="Arial Narrow" w:eastAsia="Arial Narrow" w:hAnsi="Arial Narrow"/>
          <w:color w:val="000000"/>
        </w:rPr>
        <w:t>admitir a trámite la denuncia del 17 de junio de 2026 interpuesta por Antonio Luces Llanos Anco contra La Positiva Vida Seguros y Reaseguros S.A., por lo siguiente:</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A9711B">
        <w:rPr>
          <w:rFonts w:ascii="Arial Narrow" w:eastAsia="Arial Narrow" w:hAnsi="Arial Narrow"/>
          <w:color w:val="000000"/>
        </w:rPr>
        <w:t>la compañía aseguradora</w:t>
      </w:r>
      <w:r w:rsidRPr="00CA233D">
        <w:rPr>
          <w:rFonts w:ascii="Arial Narrow" w:eastAsia="Arial Narrow" w:hAnsi="Arial Narrow"/>
          <w:color w:val="000000"/>
        </w:rPr>
        <w:t xml:space="preserve"> habría negado de forma injustificada la cobertura </w:t>
      </w:r>
      <w:r w:rsidR="00C66631">
        <w:rPr>
          <w:rFonts w:ascii="Arial Narrow" w:eastAsia="Arial Narrow" w:hAnsi="Arial Narrow"/>
          <w:color w:val="000000"/>
        </w:rPr>
        <w:t>de</w:t>
      </w:r>
      <w:r w:rsidR="00A9711B">
        <w:rPr>
          <w:rFonts w:ascii="Arial Narrow" w:eastAsia="Arial Narrow" w:hAnsi="Arial Narrow"/>
          <w:color w:val="000000"/>
        </w:rPr>
        <w:t xml:space="preserve"> la</w:t>
      </w:r>
      <w:r w:rsidR="00C66631">
        <w:rPr>
          <w:rFonts w:ascii="Arial Narrow" w:eastAsia="Arial Narrow" w:hAnsi="Arial Narrow"/>
          <w:color w:val="000000"/>
        </w:rPr>
        <w:t xml:space="preserve"> </w:t>
      </w:r>
      <w:r w:rsidR="00C66631" w:rsidRPr="00CA233D">
        <w:rPr>
          <w:rFonts w:ascii="Arial Narrow" w:eastAsia="Arial Narrow" w:hAnsi="Arial Narrow"/>
          <w:color w:val="000000"/>
        </w:rPr>
        <w:t>Póliza 1019845478</w:t>
      </w:r>
      <w:r w:rsidR="00C66631">
        <w:rPr>
          <w:rFonts w:ascii="Arial Narrow" w:eastAsia="Arial Narrow" w:hAnsi="Arial Narrow"/>
          <w:color w:val="000000"/>
        </w:rPr>
        <w:t xml:space="preserve"> del</w:t>
      </w:r>
      <w:r w:rsidRPr="00CA233D">
        <w:rPr>
          <w:rFonts w:ascii="Arial Narrow" w:eastAsia="Arial Narrow" w:hAnsi="Arial Narrow"/>
          <w:color w:val="000000"/>
        </w:rPr>
        <w:t xml:space="preserve"> Seguro de Vida, por el fallecimiento del señor Percy Elías Llanos Anco.</w:t>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14:paraId="46807F3B"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CUARTO: </w:t>
      </w:r>
      <w:r w:rsidRPr="00CA233D">
        <w:rPr>
          <w:rFonts w:ascii="Arial Narrow" w:eastAsia="Arial Narrow" w:hAnsi="Arial Narrow"/>
          <w:color w:val="000000"/>
        </w:rPr>
        <w:t>correr traslado de la denuncia interpuesta el 17 de junio de 2026 a La Positiva Vida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w:t>
      </w:r>
      <w:r w:rsidRPr="00CA233D">
        <w:rPr>
          <w:rFonts w:ascii="Arial Narrow" w:eastAsia="Arial Narrow" w:hAnsi="Arial Narrow"/>
          <w:color w:val="000000"/>
        </w:rPr>
        <w:t xml:space="preserve">requerir al señor </w:t>
      </w:r>
      <w:r w:rsidR="0071409C" w:rsidRPr="00CA233D">
        <w:rPr>
          <w:rFonts w:ascii="Arial Narrow" w:eastAsia="Arial Narrow" w:hAnsi="Arial Narrow"/>
          <w:color w:val="000000"/>
        </w:rPr>
        <w:t xml:space="preserve">Antonio Luces Llanos Anco </w:t>
      </w:r>
      <w:r w:rsidRPr="00CA233D">
        <w:rPr>
          <w:rFonts w:ascii="Arial Narrow" w:eastAsia="Arial Narrow" w:hAnsi="Arial Narrow"/>
          <w:color w:val="000000"/>
        </w:rPr>
        <w:t xml:space="preserve">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w:t>
      </w:r>
      <w:r w:rsidRPr="00CA233D">
        <w:rPr>
          <w:rFonts w:ascii="Arial Narrow" w:eastAsia="Arial Narrow" w:hAnsi="Arial Narrow"/>
          <w:color w:val="000000"/>
        </w:rPr>
        <w:lastRenderedPageBreak/>
        <w:t>Procedimiento Administrativo General, aprobado mediante Decreto Supremo 006-2026-JUS, bajo apercibimiento de rehacer el acto de notificación y notificarles conforme al numeral 1 del artículo 20 del citado cuerpo normativo</w:t>
      </w:r>
      <w:r w:rsidR="00CA233D" w:rsidRPr="00CA233D">
        <w:rPr>
          <w:rStyle w:val="Refdenotaalpie"/>
          <w:rFonts w:ascii="Arial Narrow" w:eastAsia="Arial Narrow" w:hAnsi="Arial Narrow"/>
          <w:color w:val="000000"/>
        </w:rPr>
        <w:footnoteReference w:id="14"/>
      </w:r>
      <w:r w:rsidRPr="00CA233D">
        <w:rPr>
          <w:rFonts w:ascii="Arial Narrow" w:eastAsia="Arial Narrow" w:hAnsi="Arial Narrow"/>
          <w:color w:val="000000"/>
        </w:rPr>
        <w:t>.</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w:hAnsi="Arial" w:cs="Arial"/>
          <w:sz w:val="16"/>
          <w:lang w:val="es-419"/>
        </w:rPr>
      </w:pPr>
      <w:r w:rsidRPr="00CA233D">
        <w:rPr>
          <w:rStyle w:val="Refdenotaalpie"/>
          <w:rFonts w:ascii="Arial Narrow" w:hAnsi="Arial Narrow" w:cs="Arial"/>
          <w:sz w:val="16"/>
        </w:rPr>
        <w:footnoteRef/>
      </w:r>
      <w:r w:rsidRPr="00CA233D">
        <w:rPr>
          <w:rFonts w:ascii="Arial" w:hAnsi="Arial"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N°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w:hAnsi="Arial" w:cs="Arial"/>
          <w:sz w:val="16"/>
        </w:rPr>
      </w:pPr>
      <w:r w:rsidRPr="00CA233D">
        <w:rPr>
          <w:rStyle w:val="Refdenotaalpie"/>
          <w:rFonts w:ascii="Arial Narrow" w:hAnsi="Arial Narrow" w:cs="Arial"/>
          <w:sz w:val="16"/>
          <w:szCs w:val="16"/>
        </w:rPr>
        <w:footnoteRef/>
      </w:r>
      <w:r w:rsidRPr="00CA233D">
        <w:rPr>
          <w:rFonts w:ascii="Arial" w:hAnsi="Arial"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P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w:hAnsi="Arial"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TextonotapieCar"/>
          <w:rFonts w:ascii="Arial Narrow" w:hAnsi="Arial Narrow" w:cs="Arial"/>
          <w:sz w:val="16"/>
          <w:szCs w:val="16"/>
          <w:vertAlign w:val="superscript"/>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w:eastAsia="Arial Narrow" w:hAnsi="Arial"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w:eastAsia="Arial Narrow" w:hAnsi="Arial"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rPr>
        <w:footnoteRef/>
      </w:r>
      <w:r w:rsidR="00CA233D">
        <w:rPr>
          <w:rFonts w:ascii="Arial" w:hAnsi="Arial"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rPr>
        <w:footnoteRef/>
      </w:r>
      <w:r w:rsidRPr="00CA233D">
        <w:rPr>
          <w:rFonts w:ascii="Arial" w:hAnsi="Arial"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w:hAnsi="Arial"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rPr>
        <w:footnoteRef/>
      </w:r>
      <w:r w:rsidRPr="00CA233D">
        <w:rPr>
          <w:rFonts w:ascii="Arial" w:hAnsi="Arial"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w:hAnsi="Arial"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