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86641" w14:textId="77777777" w:rsidR="00DB478E" w:rsidRDefault="00DB478E" w:rsidP="00DB478E">
      <w:pPr>
        <w:tabs>
          <w:tab w:val="left" w:pos="1701"/>
          <w:tab w:val="left" w:pos="2132"/>
        </w:tabs>
        <w:spacing w:after="0" w:line="240" w:lineRule="auto"/>
        <w:ind w:left="2132" w:hanging="2132"/>
        <w:rPr>
          <w:rFonts w:ascii="Arial Narrow" w:hAnsi="Arial Narrow"/>
        </w:rPr>
      </w:pPr>
      <w:r>
        <w:rPr>
          <w:rFonts w:ascii="Arial Narrow" w:hAnsi="Arial Narrow"/>
        </w:rPr>
        <w:t>EXPEDIENTE</w:t>
      </w:r>
      <w:r>
        <w:rPr>
          <w:rFonts w:ascii="Arial Narrow" w:hAnsi="Arial Narrow"/>
        </w:rPr>
        <w:tab/>
        <w:t>:</w:t>
      </w:r>
      <w:r>
        <w:rPr>
          <w:rFonts w:ascii="Arial Narrow" w:hAnsi="Arial Narrow"/>
        </w:rPr>
        <w:tab/>
        <w:t>2142-2026/CC1</w:t>
      </w:r>
    </w:p>
    <w:p w14:paraId="4B41089D" w14:textId="77777777" w:rsidR="00DB478E" w:rsidRDefault="00DB478E" w:rsidP="00DB478E">
      <w:pPr>
        <w:tabs>
          <w:tab w:val="left" w:pos="1701"/>
          <w:tab w:val="left" w:pos="2132"/>
        </w:tabs>
        <w:spacing w:after="0" w:line="240" w:lineRule="auto"/>
        <w:ind w:left="2132" w:hanging="2132"/>
        <w:rPr>
          <w:rFonts w:ascii="Arial Narrow" w:hAnsi="Arial Narrow"/>
        </w:rPr>
      </w:pPr>
      <w:r>
        <w:rPr>
          <w:rFonts w:ascii="Arial Narrow" w:hAnsi="Arial Narrow"/>
        </w:rPr>
        <w:t>DENUNCIANTE</w:t>
      </w:r>
      <w:r>
        <w:rPr>
          <w:rFonts w:ascii="Arial Narrow" w:hAnsi="Arial Narrow"/>
        </w:rPr>
        <w:tab/>
        <w:t>:</w:t>
      </w:r>
      <w:r>
        <w:rPr>
          <w:rFonts w:ascii="Arial Narrow" w:hAnsi="Arial Narrow"/>
        </w:rPr>
        <w:tab/>
        <w:t>EFRAÍN CORONEL QUISPE (SEÑOR CORONEL)</w:t>
      </w:r>
    </w:p>
    <w:p w14:paraId="50E5EDFE" w14:textId="77777777" w:rsidR="00DB478E" w:rsidRDefault="00DB478E" w:rsidP="00DB478E">
      <w:pPr>
        <w:tabs>
          <w:tab w:val="left" w:pos="1701"/>
          <w:tab w:val="left" w:pos="2132"/>
        </w:tabs>
        <w:spacing w:after="0" w:line="240" w:lineRule="auto"/>
        <w:ind w:left="2132" w:hanging="2132"/>
        <w:rPr>
          <w:rFonts w:ascii="Arial Narrow" w:hAnsi="Arial Narrow"/>
        </w:rPr>
      </w:pPr>
      <w:r>
        <w:rPr>
          <w:rFonts w:ascii="Arial Narrow" w:hAnsi="Arial Narrow"/>
        </w:rPr>
        <w:t>DENUNCIADO</w:t>
      </w:r>
      <w:r>
        <w:rPr>
          <w:rFonts w:ascii="Arial Narrow" w:hAnsi="Arial Narrow"/>
        </w:rPr>
        <w:tab/>
        <w:t>:</w:t>
      </w:r>
      <w:r>
        <w:rPr>
          <w:rFonts w:ascii="Arial Narrow" w:hAnsi="Arial Narrow"/>
        </w:rPr>
        <w:tab/>
        <w:t>LA POSITIVA SEGUROS Y REASEGUROS S.A.A. (LA POSITIVA)</w:t>
      </w:r>
    </w:p>
    <w:p w14:paraId="2656A8C7" w14:textId="77777777" w:rsidR="00DB478E" w:rsidRDefault="00DB478E" w:rsidP="00DB478E">
      <w:pPr>
        <w:tabs>
          <w:tab w:val="left" w:pos="1701"/>
          <w:tab w:val="left" w:pos="2132"/>
        </w:tabs>
        <w:spacing w:after="0" w:line="240" w:lineRule="auto"/>
        <w:ind w:left="2132" w:hanging="2132"/>
        <w:rPr>
          <w:rFonts w:ascii="Arial Narrow" w:hAnsi="Arial Narrow"/>
        </w:rPr>
      </w:pPr>
      <w:r>
        <w:rPr>
          <w:rFonts w:ascii="Arial Narrow" w:hAnsi="Arial Narrow"/>
        </w:rPr>
        <w:t>MATERIAS</w:t>
      </w:r>
      <w:r>
        <w:rPr>
          <w:rFonts w:ascii="Arial Narrow" w:hAnsi="Arial Narrow"/>
        </w:rPr>
        <w:tab/>
        <w:t>:</w:t>
      </w:r>
      <w:r>
        <w:rPr>
          <w:rFonts w:ascii="Arial Narrow" w:hAnsi="Arial Narrow"/>
        </w:rPr>
        <w:tab/>
        <w:t>ADMISIÓN A TRÁMITE</w:t>
      </w:r>
    </w:p>
    <w:p w14:paraId="3591EE8F" w14:textId="77777777" w:rsidR="00DB478E" w:rsidRDefault="00DB478E" w:rsidP="00DB478E">
      <w:pPr>
        <w:tabs>
          <w:tab w:val="left" w:pos="1701"/>
          <w:tab w:val="left" w:pos="2132"/>
        </w:tabs>
        <w:spacing w:after="0" w:line="240" w:lineRule="auto"/>
        <w:ind w:left="2132" w:hanging="2132"/>
        <w:rPr>
          <w:rFonts w:ascii="Arial Narrow" w:hAnsi="Arial Narrow"/>
        </w:rPr>
      </w:pPr>
      <w:r>
        <w:rPr>
          <w:rFonts w:ascii="Arial Narrow" w:hAnsi="Arial Narrow"/>
        </w:rPr>
        <w:tab/>
      </w:r>
      <w:r>
        <w:rPr>
          <w:rFonts w:ascii="Arial Narrow" w:hAnsi="Arial Narrow"/>
        </w:rPr>
        <w:tab/>
        <w:t>REQUERIMIENTO DE INFORMACIÓN</w:t>
      </w:r>
    </w:p>
    <w:p w14:paraId="24C23F54" w14:textId="77777777" w:rsidR="00DB478E" w:rsidRDefault="00DB478E" w:rsidP="00DB478E">
      <w:pPr>
        <w:tabs>
          <w:tab w:val="left" w:pos="1701"/>
          <w:tab w:val="left" w:pos="2132"/>
        </w:tabs>
        <w:spacing w:after="0" w:line="240" w:lineRule="auto"/>
        <w:ind w:left="2132" w:hanging="2132"/>
        <w:rPr>
          <w:rFonts w:ascii="Arial Narrow" w:hAnsi="Arial Narrow"/>
        </w:rPr>
      </w:pPr>
      <w:r>
        <w:rPr>
          <w:rFonts w:ascii="Arial Narrow" w:hAnsi="Arial Narrow"/>
        </w:rPr>
        <w:t>RESOLUCIÓN</w:t>
      </w:r>
      <w:r>
        <w:rPr>
          <w:rFonts w:ascii="Arial Narrow" w:hAnsi="Arial Narrow"/>
        </w:rPr>
        <w:tab/>
        <w:t>:</w:t>
      </w:r>
      <w:r>
        <w:rPr>
          <w:rFonts w:ascii="Arial Narrow" w:hAnsi="Arial Narrow"/>
        </w:rPr>
        <w:tab/>
        <w:t>2</w:t>
      </w:r>
    </w:p>
    <w:p w14:paraId="7E04B27D" w14:textId="77777777" w:rsidR="00DB478E" w:rsidRDefault="00DB478E" w:rsidP="00DB478E">
      <w:pPr>
        <w:tabs>
          <w:tab w:val="left" w:pos="1701"/>
          <w:tab w:val="left" w:pos="2132"/>
        </w:tabs>
        <w:spacing w:after="0" w:line="240" w:lineRule="auto"/>
        <w:ind w:left="2132" w:hanging="2132"/>
        <w:rPr>
          <w:rFonts w:ascii="Arial Narrow" w:hAnsi="Arial Narrow"/>
        </w:rPr>
      </w:pPr>
    </w:p>
    <w:p w14:paraId="61EBD0C4" w14:textId="77777777" w:rsidR="00DB478E" w:rsidRDefault="00DB478E" w:rsidP="00DB478E">
      <w:pPr>
        <w:spacing w:after="0" w:line="240" w:lineRule="auto"/>
        <w:rPr>
          <w:rFonts w:ascii="Arial Narrow" w:hAnsi="Arial Narrow"/>
        </w:rPr>
      </w:pPr>
      <w:r>
        <w:rPr>
          <w:rFonts w:ascii="Arial Narrow" w:hAnsi="Arial Narrow"/>
        </w:rPr>
        <w:t>Lima, 20 de julio de 2026</w:t>
      </w:r>
    </w:p>
    <w:p w14:paraId="68665E9B" w14:textId="77777777" w:rsidR="00DB478E" w:rsidRDefault="00DB478E" w:rsidP="00DB478E">
      <w:pPr>
        <w:spacing w:after="0" w:line="240" w:lineRule="auto"/>
        <w:rPr>
          <w:rFonts w:ascii="Arial Narrow" w:hAnsi="Arial Narrow"/>
        </w:rPr>
      </w:pPr>
    </w:p>
    <w:p w14:paraId="035E0DC7" w14:textId="77777777" w:rsidR="00DB478E" w:rsidRDefault="00DB478E" w:rsidP="00DB478E">
      <w:pPr>
        <w:tabs>
          <w:tab w:val="left" w:pos="567"/>
        </w:tabs>
        <w:spacing w:after="0" w:line="240" w:lineRule="auto"/>
        <w:ind w:left="567" w:hanging="567"/>
        <w:rPr>
          <w:rFonts w:ascii="Arial Narrow" w:hAnsi="Arial Narrow"/>
        </w:rPr>
      </w:pPr>
      <w:r>
        <w:rPr>
          <w:rFonts w:ascii="Arial Narrow" w:hAnsi="Arial Narrow"/>
        </w:rPr>
        <w:t>I.</w:t>
      </w:r>
      <w:r>
        <w:rPr>
          <w:rFonts w:ascii="Arial Narrow" w:hAnsi="Arial Narrow"/>
        </w:rPr>
        <w:tab/>
        <w:t>HECHOS</w:t>
      </w:r>
    </w:p>
    <w:p w14:paraId="4E58CB7F"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1.</w:t>
      </w:r>
      <w:r>
        <w:rPr>
          <w:rFonts w:ascii="Arial Narrow" w:hAnsi="Arial Narrow"/>
        </w:rPr>
        <w:tab/>
        <w:t>Mediante la denuncia</w:t>
      </w:r>
      <w:r>
        <w:rPr>
          <w:rStyle w:val="Refdenotaalpie"/>
        </w:rPr>
        <w:footnoteReference w:id="1"/>
      </w:r>
      <w:r>
        <w:rPr>
          <w:rFonts w:ascii="Arial Narrow" w:hAnsi="Arial Narrow"/>
        </w:rPr>
        <w:t xml:space="preserve"> del 22 de abril de 2026, el señor Efraín Coronel Quispe (en adelante, el señor Coronel) denunció a La Positiva Seguros y Reaseguros S.A.A. (en adelante, la compañía aseguradora) por presuntas infracciones a la Ley N° 29571, Código de Protección y Defensa del Consumidor</w:t>
      </w:r>
      <w:r>
        <w:rPr>
          <w:rStyle w:val="Refdenotaalpie"/>
        </w:rPr>
        <w:footnoteReference w:id="2"/>
      </w:r>
      <w:r>
        <w:rPr>
          <w:rFonts w:ascii="Arial Narrow" w:hAnsi="Arial Narrow"/>
        </w:rPr>
        <w:t xml:space="preserve"> (en adelante, el Código), señalando lo siguiente:</w:t>
      </w:r>
    </w:p>
    <w:p w14:paraId="361CDB81" w14:textId="77777777" w:rsidR="00DB478E" w:rsidRDefault="00DB478E" w:rsidP="00DB478E">
      <w:pPr>
        <w:tabs>
          <w:tab w:val="left" w:pos="1134"/>
        </w:tabs>
        <w:spacing w:after="0" w:line="240" w:lineRule="auto"/>
        <w:ind w:left="1134" w:hanging="567"/>
        <w:jc w:val="both"/>
        <w:rPr>
          <w:rFonts w:ascii="Arial Narrow" w:hAnsi="Arial Narrow"/>
        </w:rPr>
      </w:pPr>
      <w:r>
        <w:rPr>
          <w:rFonts w:ascii="Arial Narrow" w:hAnsi="Arial Narrow"/>
        </w:rPr>
        <w:t>(i)</w:t>
      </w:r>
      <w:r>
        <w:rPr>
          <w:rFonts w:ascii="Arial Narrow" w:hAnsi="Arial Narrow"/>
        </w:rPr>
        <w:tab/>
        <w:t>El 06 de julio de 2023, el señor Coronel contrató un seguro vehicular con la compañía aseguradora, respecto del vehículo de placa de rodaje BVO-787.</w:t>
      </w:r>
    </w:p>
    <w:p w14:paraId="2E73A58F" w14:textId="77777777" w:rsidR="00DB478E" w:rsidRDefault="00DB478E" w:rsidP="00DB478E">
      <w:pPr>
        <w:tabs>
          <w:tab w:val="left" w:pos="1134"/>
        </w:tabs>
        <w:spacing w:after="0" w:line="240" w:lineRule="auto"/>
        <w:ind w:left="1134" w:hanging="567"/>
        <w:jc w:val="both"/>
        <w:rPr>
          <w:rFonts w:ascii="Arial Narrow" w:hAnsi="Arial Narrow"/>
        </w:rPr>
      </w:pPr>
      <w:r>
        <w:rPr>
          <w:rFonts w:ascii="Arial Narrow" w:hAnsi="Arial Narrow"/>
        </w:rPr>
        <w:t>(ii)</w:t>
      </w:r>
      <w:r>
        <w:rPr>
          <w:rFonts w:ascii="Arial Narrow" w:hAnsi="Arial Narrow"/>
        </w:rPr>
        <w:tab/>
        <w:t>El 22 de mayo de 2024, el vehículo fue objeto de robo total; no obstante, la compañía aseguradora se habría negado a otorgar al denunciante la cobertura del siniestro de robo total de la póliza del seguro vehicular, argumentando que el vehículo era utilizado para alquiler, basándose en una exclusión sobre la cual, según señala el denunciante, no se le habría brindado información clara y suficiente al momento de la contratación.</w:t>
      </w:r>
    </w:p>
    <w:p w14:paraId="7F7089F3" w14:textId="77777777" w:rsidR="00DB478E" w:rsidRDefault="00DB478E" w:rsidP="00DB478E">
      <w:pPr>
        <w:tabs>
          <w:tab w:val="left" w:pos="1134"/>
        </w:tabs>
        <w:spacing w:after="0" w:line="240" w:lineRule="auto"/>
        <w:ind w:left="1134" w:hanging="567"/>
        <w:jc w:val="both"/>
        <w:rPr>
          <w:rFonts w:ascii="Arial Narrow" w:hAnsi="Arial Narrow"/>
        </w:rPr>
      </w:pPr>
      <w:r>
        <w:rPr>
          <w:rFonts w:ascii="Arial Narrow" w:hAnsi="Arial Narrow"/>
        </w:rPr>
        <w:t>(iii)</w:t>
      </w:r>
      <w:r>
        <w:rPr>
          <w:rFonts w:ascii="Arial Narrow" w:hAnsi="Arial Narrow"/>
        </w:rPr>
        <w:tab/>
        <w:t>Posteriormente, la compañía aseguradora habría continuado realizando cobros en la tarjeta CMR del denunciante por concepto de la renovación automática no solicitada de la póliza de seguro vehicular, por el periodo hasta julio de 2025.</w:t>
      </w:r>
    </w:p>
    <w:p w14:paraId="1202D4BC"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2.</w:t>
      </w:r>
      <w:r>
        <w:rPr>
          <w:rFonts w:ascii="Arial Narrow" w:hAnsi="Arial Narrow"/>
        </w:rPr>
        <w:tab/>
        <w:t>El señor Coronel solicitó en calidad de medida correctiva que la compañía aseguradora cumpla con otorgar la cobertura del siniestro por robo total; y, consecuentemente, devolver los importes cobrados por la renovación del seguro vehicular. Asimismo, solicitó el reembolso de costos y costas del presente procedimiento.</w:t>
      </w:r>
    </w:p>
    <w:p w14:paraId="7249E40C" w14:textId="77777777" w:rsidR="00DB478E" w:rsidRDefault="00DB478E" w:rsidP="00DB478E">
      <w:pPr>
        <w:tabs>
          <w:tab w:val="left" w:pos="567"/>
        </w:tabs>
        <w:spacing w:after="0" w:line="240" w:lineRule="auto"/>
        <w:ind w:left="567" w:hanging="567"/>
        <w:jc w:val="both"/>
        <w:rPr>
          <w:rFonts w:ascii="Arial Narrow" w:hAnsi="Arial Narrow"/>
        </w:rPr>
      </w:pPr>
    </w:p>
    <w:p w14:paraId="02C17880" w14:textId="77777777" w:rsidR="00DB478E" w:rsidRDefault="00DB478E" w:rsidP="00DB478E">
      <w:pPr>
        <w:tabs>
          <w:tab w:val="left" w:pos="567"/>
        </w:tabs>
        <w:spacing w:after="0" w:line="240" w:lineRule="auto"/>
        <w:ind w:left="567" w:hanging="567"/>
        <w:rPr>
          <w:rFonts w:ascii="Arial Narrow" w:hAnsi="Arial Narrow"/>
        </w:rPr>
      </w:pPr>
      <w:r>
        <w:rPr>
          <w:rFonts w:ascii="Arial Narrow" w:hAnsi="Arial Narrow"/>
        </w:rPr>
        <w:t>II.</w:t>
      </w:r>
      <w:r>
        <w:rPr>
          <w:rFonts w:ascii="Arial Narrow" w:hAnsi="Arial Narrow"/>
        </w:rPr>
        <w:tab/>
        <w:t>DE LA ADMISIÓN A TRÁMITE DE LA DENUNCIA</w:t>
      </w:r>
    </w:p>
    <w:p w14:paraId="7E1E0A18"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3.</w:t>
      </w:r>
      <w:r>
        <w:rPr>
          <w:rFonts w:ascii="Arial Narrow" w:hAnsi="Arial Narrow"/>
        </w:rPr>
        <w:tab/>
        <w:t>La Secretaría Técnica de la Comisión de Protección al Consumidor N°1 (en adelante, la Secretaría Técnica), en ejercicio de sus facultades</w:t>
      </w:r>
      <w:r>
        <w:rPr>
          <w:rStyle w:val="Refdenotaalpie"/>
        </w:rPr>
        <w:footnoteReference w:id="3"/>
      </w:r>
      <w:r>
        <w:rPr>
          <w:rFonts w:ascii="Arial Narrow" w:hAnsi="Arial Narrow"/>
        </w:rPr>
        <w:t xml:space="preserve">, considera que el hecho denunciado, consistente en que la </w:t>
      </w:r>
      <w:r>
        <w:rPr>
          <w:rFonts w:ascii="Arial Narrow" w:hAnsi="Arial Narrow"/>
        </w:rPr>
        <w:lastRenderedPageBreak/>
        <w:t>compañía aseguradora se habría negado a otorgar al denunciante la cobertura del siniestro de robo total de la póliza del seguro vehicular, argumentando que el vehículo era utilizado para alquiler; involucraría una presunta afectación a sus expectativas, quien no habría encontrado una correspondencia entre lo que esperaba recibir de parte del proveedor y lo que realmente recibió. Por consiguiente, corresponde calificar el hecho como una presunta infracción al deber de idoneidad, tipificado en los artículos 18° y 19° del Código.</w:t>
      </w:r>
    </w:p>
    <w:p w14:paraId="5109A17E"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4.</w:t>
      </w:r>
      <w:r>
        <w:rPr>
          <w:rFonts w:ascii="Arial Narrow" w:hAnsi="Arial Narrow"/>
        </w:rPr>
        <w:tab/>
        <w:t>Además, considera que el hecho denunciado, consistente en que la compañía aseguradora habría continuado realizando cobros en la tarjeta CMR del señor Coronel por concepto de la renovación automática no solicitada de la póliza de seguro vehicular, por el periodo hasta julio de 2025. Por consiguiente, corresponde calificar el hecho como una presunta infracción al deber de protección contra los métodos comerciales coercitivos, tipificado en el literal b) del artículo 56° del Código</w:t>
      </w:r>
      <w:r>
        <w:rPr>
          <w:rStyle w:val="Refdenotaalpie"/>
        </w:rPr>
        <w:footnoteReference w:id="4"/>
      </w:r>
      <w:r>
        <w:rPr>
          <w:rFonts w:ascii="Arial Narrow" w:hAnsi="Arial Narrow"/>
        </w:rPr>
        <w:t>.</w:t>
      </w:r>
    </w:p>
    <w:p w14:paraId="734E5DE9"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5.</w:t>
      </w:r>
      <w:r>
        <w:rPr>
          <w:rFonts w:ascii="Arial Narrow" w:hAnsi="Arial Narrow"/>
        </w:rPr>
        <w:tab/>
        <w:t>En tanto la denuncia reúne los requisitos establecidos por la norma citada, corresponde admitirla a trámite</w:t>
      </w:r>
      <w:r>
        <w:rPr>
          <w:rStyle w:val="Refdenotaalpie"/>
        </w:rPr>
        <w:footnoteReference w:id="5"/>
      </w:r>
      <w:r>
        <w:rPr>
          <w:rFonts w:ascii="Arial Narrow" w:hAnsi="Arial Narrow"/>
        </w:rPr>
        <w:t>.</w:t>
      </w:r>
    </w:p>
    <w:p w14:paraId="5A1D7012" w14:textId="77777777" w:rsidR="00DB478E" w:rsidRDefault="00DB478E" w:rsidP="00DB478E">
      <w:pPr>
        <w:tabs>
          <w:tab w:val="left" w:pos="567"/>
        </w:tabs>
        <w:spacing w:after="0" w:line="240" w:lineRule="auto"/>
        <w:ind w:left="567" w:hanging="567"/>
        <w:jc w:val="both"/>
        <w:rPr>
          <w:rFonts w:ascii="Arial Narrow" w:hAnsi="Arial Narrow"/>
        </w:rPr>
      </w:pPr>
    </w:p>
    <w:p w14:paraId="4B47C78E" w14:textId="77777777" w:rsidR="00DB478E" w:rsidRDefault="00DB478E" w:rsidP="00DB478E">
      <w:pPr>
        <w:tabs>
          <w:tab w:val="left" w:pos="567"/>
        </w:tabs>
        <w:spacing w:after="0" w:line="240" w:lineRule="auto"/>
        <w:ind w:left="567" w:hanging="567"/>
        <w:rPr>
          <w:rFonts w:ascii="Arial Narrow" w:hAnsi="Arial Narrow"/>
        </w:rPr>
      </w:pPr>
      <w:r>
        <w:rPr>
          <w:rFonts w:ascii="Arial Narrow" w:hAnsi="Arial Narrow"/>
        </w:rPr>
        <w:t>III.</w:t>
      </w:r>
      <w:r>
        <w:rPr>
          <w:rFonts w:ascii="Arial Narrow" w:hAnsi="Arial Narrow"/>
        </w:rPr>
        <w:tab/>
        <w:t>REQUERIMIENTO DE INFORMACIÓN</w:t>
      </w:r>
    </w:p>
    <w:p w14:paraId="587D6C0B"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6.</w:t>
      </w:r>
      <w:r>
        <w:rPr>
          <w:rFonts w:ascii="Arial Narrow" w:hAnsi="Arial Narrow"/>
        </w:rPr>
        <w:tab/>
        <w:t>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presentar lo siguiente:</w:t>
      </w:r>
    </w:p>
    <w:p w14:paraId="3F5DFCF2" w14:textId="77777777" w:rsidR="00DB478E" w:rsidRDefault="00DB478E" w:rsidP="00DB478E">
      <w:pPr>
        <w:tabs>
          <w:tab w:val="left" w:pos="1134"/>
        </w:tabs>
        <w:spacing w:after="0" w:line="240" w:lineRule="auto"/>
        <w:ind w:left="1134" w:hanging="567"/>
        <w:jc w:val="both"/>
        <w:rPr>
          <w:rFonts w:ascii="Arial Narrow" w:hAnsi="Arial Narrow"/>
        </w:rPr>
      </w:pPr>
      <w:r>
        <w:rPr>
          <w:rFonts w:ascii="Arial Narrow" w:hAnsi="Arial Narrow"/>
        </w:rPr>
        <w:t>(i)</w:t>
      </w:r>
      <w:r>
        <w:rPr>
          <w:rFonts w:ascii="Arial Narrow" w:hAnsi="Arial Narrow"/>
        </w:rPr>
        <w:tab/>
        <w:t>Una copia completa, legible y debidamente suscrita de la póliza de seguro vehicular y sus anexos;</w:t>
      </w:r>
    </w:p>
    <w:p w14:paraId="6F0C1870" w14:textId="77777777" w:rsidR="00DB478E" w:rsidRDefault="00DB478E" w:rsidP="00DB478E">
      <w:pPr>
        <w:tabs>
          <w:tab w:val="left" w:pos="1134"/>
        </w:tabs>
        <w:spacing w:after="0" w:line="240" w:lineRule="auto"/>
        <w:ind w:left="1134" w:hanging="567"/>
        <w:jc w:val="both"/>
        <w:rPr>
          <w:rFonts w:ascii="Arial Narrow" w:hAnsi="Arial Narrow"/>
        </w:rPr>
      </w:pPr>
      <w:r>
        <w:rPr>
          <w:rFonts w:ascii="Arial Narrow" w:hAnsi="Arial Narrow"/>
        </w:rPr>
        <w:t>(ii)</w:t>
      </w:r>
      <w:r>
        <w:rPr>
          <w:rFonts w:ascii="Arial Narrow" w:hAnsi="Arial Narrow"/>
        </w:rPr>
        <w:tab/>
        <w:t>Los medios probatorios que acrediten que la negativa de otorgamiento de cobertura fue justificada; y,</w:t>
      </w:r>
    </w:p>
    <w:p w14:paraId="636C64AA" w14:textId="77777777" w:rsidR="00DB478E" w:rsidRDefault="00DB478E" w:rsidP="00DB478E">
      <w:pPr>
        <w:tabs>
          <w:tab w:val="left" w:pos="1134"/>
        </w:tabs>
        <w:spacing w:after="0" w:line="240" w:lineRule="auto"/>
        <w:ind w:left="1134" w:hanging="567"/>
        <w:jc w:val="both"/>
        <w:rPr>
          <w:rFonts w:ascii="Arial Narrow" w:hAnsi="Arial Narrow"/>
        </w:rPr>
      </w:pPr>
      <w:r>
        <w:rPr>
          <w:rFonts w:ascii="Arial Narrow" w:hAnsi="Arial Narrow"/>
        </w:rPr>
        <w:t>(iii)</w:t>
      </w:r>
      <w:r>
        <w:rPr>
          <w:rFonts w:ascii="Arial Narrow" w:hAnsi="Arial Narrow"/>
        </w:rPr>
        <w:tab/>
        <w:t>Todas las comunicaciones cursadas con la parte denunciante en virtud de los hechos materia de denuncia.</w:t>
      </w:r>
    </w:p>
    <w:p w14:paraId="5D052B16" w14:textId="77777777" w:rsidR="00DB478E" w:rsidRDefault="00DB478E" w:rsidP="00DB478E">
      <w:pPr>
        <w:tabs>
          <w:tab w:val="left" w:pos="1134"/>
        </w:tabs>
        <w:spacing w:after="0" w:line="240" w:lineRule="auto"/>
        <w:ind w:left="1134" w:hanging="567"/>
        <w:jc w:val="both"/>
        <w:rPr>
          <w:rFonts w:ascii="Arial Narrow" w:hAnsi="Arial Narrow"/>
        </w:rPr>
      </w:pPr>
    </w:p>
    <w:p w14:paraId="44E88A75" w14:textId="77777777" w:rsidR="00DB478E" w:rsidRDefault="00DB478E" w:rsidP="00DB478E">
      <w:pPr>
        <w:tabs>
          <w:tab w:val="left" w:pos="567"/>
        </w:tabs>
        <w:spacing w:after="0" w:line="240" w:lineRule="auto"/>
        <w:ind w:left="567" w:hanging="567"/>
        <w:rPr>
          <w:rFonts w:ascii="Arial Narrow" w:hAnsi="Arial Narrow"/>
        </w:rPr>
      </w:pPr>
      <w:r>
        <w:rPr>
          <w:rFonts w:ascii="Arial Narrow" w:hAnsi="Arial Narrow"/>
        </w:rPr>
        <w:t>IV.</w:t>
      </w:r>
      <w:r>
        <w:rPr>
          <w:rFonts w:ascii="Arial Narrow" w:hAnsi="Arial Narrow"/>
        </w:rPr>
        <w:tab/>
        <w:t>RESOLUCIÓN DE LA SECRETARÍA TÉCNICA</w:t>
      </w:r>
    </w:p>
    <w:p w14:paraId="1EADEE6D"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PRIMERO: admitir a trámite la denuncia del 22 de abril de 2026, interpuesta por el señor Efraín Coronel Quispe contra La Positiva Seguros y Reaseguros S.A.A., por presuntas infracciones a la Ley N° 29571, Código de Protección y Defensa del Consumidor; imputándosele los siguientes cargos:</w:t>
      </w:r>
    </w:p>
    <w:p w14:paraId="75BB0E11"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(i)</w:t>
      </w:r>
      <w:r>
        <w:rPr>
          <w:rFonts w:ascii="Arial Narrow" w:hAnsi="Arial Narrow"/>
        </w:rPr>
        <w:tab/>
        <w:t>Presunta infracción a los artículos 18° y 19° de la Ley N° 29571, Código de Protección y Defensa del Consumidor, en tanto La Positiva Seguros y Reaseguros S.A.A. se habría negado a otorgar al denunciante la cobertura del siniestro de robo total de la póliza del seguro vehicular, argumentando que el vehículo era utilizado para alquiler.</w:t>
      </w:r>
    </w:p>
    <w:p w14:paraId="50009830"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(ii)</w:t>
      </w:r>
      <w:r>
        <w:rPr>
          <w:rFonts w:ascii="Arial Narrow" w:hAnsi="Arial Narrow"/>
        </w:rPr>
        <w:tab/>
        <w:t>Presunta infracción al literal b) del artículo 56° de la Ley N° 29571, Código de Protección y Defensa del Consumidor, en tanto La Positiva Seguros y Reaseguros S.A.A. habría continuado realizando cobros en la tarjeta CMR del señor Coronel por concepto de la renovación automática no solicitada de la póliza de seguro vehicular, por el periodo hasta julio de 2025.</w:t>
      </w:r>
    </w:p>
    <w:p w14:paraId="133DD1A4" w14:textId="77777777" w:rsidR="00DB478E" w:rsidRDefault="00DB478E" w:rsidP="00DB478E">
      <w:pPr>
        <w:tabs>
          <w:tab w:val="left" w:pos="567"/>
        </w:tabs>
        <w:spacing w:after="0" w:line="240" w:lineRule="auto"/>
        <w:ind w:left="567" w:hanging="567"/>
        <w:jc w:val="both"/>
        <w:rPr>
          <w:rFonts w:ascii="Arial Narrow" w:hAnsi="Arial Narrow"/>
        </w:rPr>
      </w:pPr>
    </w:p>
    <w:p w14:paraId="47A625E7"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SEGUNDO: tener por ofrecidos los medios probatorios presentados en el escrito de denuncia del 22 de abril de 2026, subsanado mediante escrito del 26 de junio de 2026.</w:t>
      </w:r>
    </w:p>
    <w:p w14:paraId="0D8B4401" w14:textId="77777777" w:rsidR="00DB478E" w:rsidRDefault="00DB478E" w:rsidP="00DB478E">
      <w:pPr>
        <w:tabs>
          <w:tab w:val="left" w:pos="567"/>
        </w:tabs>
        <w:spacing w:after="0" w:line="240" w:lineRule="auto"/>
        <w:ind w:left="567" w:hanging="567"/>
        <w:jc w:val="both"/>
        <w:rPr>
          <w:rFonts w:ascii="Arial Narrow" w:hAnsi="Arial Narrow"/>
        </w:rPr>
      </w:pPr>
    </w:p>
    <w:p w14:paraId="14156355"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TERCERO: requerir a La Positiva Seguros y Reaseguros S.A.A. que cumpla con lo siguiente:</w:t>
      </w:r>
    </w:p>
    <w:p w14:paraId="24B4ACEC"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(i)</w:t>
      </w:r>
      <w:r>
        <w:rPr>
          <w:rFonts w:ascii="Arial Narrow" w:hAnsi="Arial Narrow"/>
        </w:rPr>
        <w:tab/>
        <w:t>presentar documentos que acrediten su inscripción en los Registros Públicos o una declaración jurada que indique que cuenta con dicha inscripción;</w:t>
      </w:r>
    </w:p>
    <w:p w14:paraId="2C5763B2"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(ii)</w:t>
      </w:r>
      <w:r>
        <w:rPr>
          <w:rFonts w:ascii="Arial Narrow" w:hAnsi="Arial Narrow"/>
        </w:rPr>
        <w:tab/>
        <w:t>presentar copia simple de las facultades de representación de su representante legal en el presente procedimiento o la declaración jurada que indique que cuenta con dichas facultades y que estas se encuentran vigentes;</w:t>
      </w:r>
    </w:p>
    <w:p w14:paraId="080DCFCC"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(iii)</w:t>
      </w:r>
      <w:r>
        <w:rPr>
          <w:rFonts w:ascii="Arial Narrow" w:hAnsi="Arial Narrow"/>
        </w:rPr>
        <w:tab/>
        <w:t>consignar el Número de Registro Único de Contribuyentes (RUC); y,</w:t>
      </w:r>
    </w:p>
    <w:p w14:paraId="5CEED6B6"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(iv)</w:t>
      </w:r>
      <w:r>
        <w:rPr>
          <w:rFonts w:ascii="Arial Narrow" w:hAnsi="Arial Narrow"/>
        </w:rPr>
        <w:tab/>
        <w:t>fijar domicilio procesal para el procedimiento, de conformidad con el numeral 1 del artículo 442 del Código Procesal Civil. Para ello podrá señalar domicilio físico o una dirección electrónica a la que pueda remitirse las notificaciones.</w:t>
      </w:r>
    </w:p>
    <w:p w14:paraId="1CB5349C"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(v)</w:t>
      </w:r>
      <w:r>
        <w:rPr>
          <w:rFonts w:ascii="Arial Narrow" w:hAnsi="Arial Narrow"/>
        </w:rPr>
        <w:tab/>
        <w:t>en caso califique como micro empresa o pequeña empresa, presentar los documentos que acrediten su volumen de ventas o ingresos brutos percibidos el año anterior relativo a todas sus actividades económicas y el número de trabajadores con el que cuenta</w:t>
      </w:r>
      <w:r>
        <w:rPr>
          <w:rStyle w:val="Refdenotaalpie"/>
        </w:rPr>
        <w:footnoteReference w:id="6"/>
      </w:r>
      <w:r>
        <w:rPr>
          <w:rFonts w:ascii="Arial Narrow" w:hAnsi="Arial Narrow"/>
        </w:rPr>
        <w:t>. Ello, a fin de que la Comisión pueda meritar dicha documentación, conforme lo establece el artículo 110° del Código</w:t>
      </w:r>
      <w:r>
        <w:rPr>
          <w:rStyle w:val="Refdenotaalpie"/>
        </w:rPr>
        <w:footnoteReference w:id="7"/>
      </w:r>
      <w:r>
        <w:rPr>
          <w:rFonts w:ascii="Arial Narrow" w:hAnsi="Arial Narrow"/>
        </w:rPr>
        <w:t>.</w:t>
      </w:r>
    </w:p>
    <w:p w14:paraId="7278DCD3" w14:textId="77777777" w:rsidR="00DB478E" w:rsidRDefault="00DB478E" w:rsidP="00DB478E">
      <w:pPr>
        <w:tabs>
          <w:tab w:val="left" w:pos="567"/>
        </w:tabs>
        <w:spacing w:after="0" w:line="240" w:lineRule="auto"/>
        <w:ind w:left="567" w:hanging="567"/>
        <w:jc w:val="both"/>
        <w:rPr>
          <w:rFonts w:ascii="Arial Narrow" w:hAnsi="Arial Narrow"/>
        </w:rPr>
      </w:pPr>
    </w:p>
    <w:p w14:paraId="5893431A"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CUARTO: correr traslado de la denuncia interpuesta el 22 de abril de 2026, subsanado mediante escrito del 26 de junio de 2026, a La Positiva Seguros y Reaseguros S.A.A.,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317D7393" w14:textId="77777777" w:rsidR="00DB478E" w:rsidRDefault="00DB478E" w:rsidP="00DB478E">
      <w:pPr>
        <w:tabs>
          <w:tab w:val="left" w:pos="567"/>
        </w:tabs>
        <w:spacing w:after="0" w:line="240" w:lineRule="auto"/>
        <w:ind w:left="567" w:hanging="567"/>
        <w:jc w:val="both"/>
        <w:rPr>
          <w:rFonts w:ascii="Arial Narrow" w:hAnsi="Arial Narrow"/>
        </w:rPr>
      </w:pPr>
    </w:p>
    <w:p w14:paraId="79E21D99"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QUINTO: requerir a La Positiva Seguros y Reaseguros S.A.A. que, en un plazo no mayor de cinco (5) días hábiles contado a partir del día siguiente de la notificación de la presente resolución, cumpla con presentar lo siguiente:</w:t>
      </w:r>
    </w:p>
    <w:p w14:paraId="0D867ABE"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(i)</w:t>
      </w:r>
      <w:r>
        <w:rPr>
          <w:rFonts w:ascii="Arial Narrow" w:hAnsi="Arial Narrow"/>
        </w:rPr>
        <w:tab/>
        <w:t>Una copia completa, legible y debidamente suscrita de la póliza de seguro vehicular y sus anexos;</w:t>
      </w:r>
    </w:p>
    <w:p w14:paraId="00845A5A"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(ii)</w:t>
      </w:r>
      <w:r>
        <w:rPr>
          <w:rFonts w:ascii="Arial Narrow" w:hAnsi="Arial Narrow"/>
        </w:rPr>
        <w:tab/>
        <w:t>Los medios probatorios que acrediten que la negativa de otorgamiento de cobertura fue justificada; y,</w:t>
      </w:r>
    </w:p>
    <w:p w14:paraId="19A39437"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(iii)</w:t>
      </w:r>
      <w:r>
        <w:rPr>
          <w:rFonts w:ascii="Arial Narrow" w:hAnsi="Arial Narrow"/>
        </w:rPr>
        <w:tab/>
        <w:t>Todas las comunicaciones cursadas con la parte denunciante en virtud de los hechos materia de denuncia.</w:t>
      </w:r>
    </w:p>
    <w:p w14:paraId="5F6C9896" w14:textId="77777777" w:rsidR="00DB478E" w:rsidRDefault="00DB478E" w:rsidP="00DB478E">
      <w:pPr>
        <w:tabs>
          <w:tab w:val="left" w:pos="567"/>
        </w:tabs>
        <w:spacing w:after="0" w:line="240" w:lineRule="auto"/>
        <w:ind w:left="567" w:hanging="567"/>
        <w:jc w:val="both"/>
        <w:rPr>
          <w:rFonts w:ascii="Arial Narrow" w:hAnsi="Arial Narrow"/>
        </w:rPr>
      </w:pPr>
    </w:p>
    <w:p w14:paraId="0464599A"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SEXTO: requerir a las partes que en todos sus escritos y/o documentos que presenten consignen el número de expediente que figura en la parte superior derecha, caso contrario no se anexarán al mismo.</w:t>
      </w:r>
    </w:p>
    <w:p w14:paraId="358CD3C3" w14:textId="77777777" w:rsidR="00DB478E" w:rsidRDefault="00DB478E" w:rsidP="00DB478E">
      <w:pPr>
        <w:tabs>
          <w:tab w:val="left" w:pos="567"/>
        </w:tabs>
        <w:spacing w:after="0" w:line="240" w:lineRule="auto"/>
        <w:ind w:left="567" w:hanging="567"/>
        <w:jc w:val="both"/>
        <w:rPr>
          <w:rFonts w:ascii="Arial Narrow" w:hAnsi="Arial Narrow"/>
        </w:rPr>
      </w:pPr>
    </w:p>
    <w:p w14:paraId="54B4847A"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SÉTIMO: informar a La Positiva Seguros y Reaseguros S.A.A. que las infracciones a las normas de protección al consumidor y defensa de la competencia determinan la imposición de una multa de hasta 450 Unidades Impositivas Tributarias</w:t>
      </w:r>
      <w:r>
        <w:rPr>
          <w:rStyle w:val="Refdenotaalpie"/>
        </w:rPr>
        <w:footnoteReference w:id="8"/>
      </w:r>
      <w:r>
        <w:rPr>
          <w:rFonts w:ascii="Arial Narrow" w:hAnsi="Arial Narrow"/>
        </w:rPr>
        <w:t>; asimismo, conforme a lo establecido en la norma, se considerará como circunstancia atenuante especial el hecho que la parte denunciada, con anterioridad al vencimiento del plazo conferido para que presente sus descargos, acredite haber solucionado la controversia que dio lugar a la interposición de la denuncia</w:t>
      </w:r>
      <w:r>
        <w:rPr>
          <w:rStyle w:val="Refdenotaalpie"/>
        </w:rPr>
        <w:footnoteReference w:id="9"/>
      </w:r>
      <w:r>
        <w:rPr>
          <w:rFonts w:ascii="Arial Narrow" w:hAnsi="Arial Narrow"/>
        </w:rPr>
        <w:t>.</w:t>
      </w:r>
    </w:p>
    <w:p w14:paraId="59A07D6A" w14:textId="77777777" w:rsidR="00DB478E" w:rsidRDefault="00DB478E" w:rsidP="00DB478E">
      <w:pPr>
        <w:tabs>
          <w:tab w:val="left" w:pos="567"/>
        </w:tabs>
        <w:spacing w:after="0" w:line="240" w:lineRule="auto"/>
        <w:ind w:left="567" w:hanging="567"/>
        <w:jc w:val="both"/>
        <w:rPr>
          <w:rFonts w:ascii="Arial Narrow" w:hAnsi="Arial Narrow"/>
        </w:rPr>
      </w:pPr>
    </w:p>
    <w:p w14:paraId="5CFD904E"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OCTAVO: comunicar a las partes que la Comisión de Protección al Consumidor Nº 1 en cualquier etapa del procedimiento promoverá la conclusión del procedimiento a través de la conciliación</w:t>
      </w:r>
      <w:r>
        <w:rPr>
          <w:rStyle w:val="Refdenotaalpie"/>
        </w:rPr>
        <w:footnoteReference w:id="10"/>
      </w:r>
      <w:r>
        <w:rPr>
          <w:rFonts w:ascii="Arial Narrow" w:hAnsi="Arial Narrow"/>
        </w:rPr>
        <w:t>. Así como, tienen expedito su derecho al desistimiento, debiendo comunicar fehacientemente de la misma a la Secretaría Técnica, para lo cual deberán tener en cuenta lo dispuesto en la normativa vigente</w:t>
      </w:r>
      <w:r>
        <w:rPr>
          <w:rStyle w:val="Refdenotaalpie"/>
        </w:rPr>
        <w:footnoteReference w:id="11"/>
      </w:r>
      <w:r>
        <w:rPr>
          <w:rFonts w:ascii="Arial Narrow" w:hAnsi="Arial Narrow"/>
        </w:rPr>
        <w:t>.</w:t>
      </w:r>
    </w:p>
    <w:p w14:paraId="416C1927" w14:textId="77777777" w:rsidR="00DB478E" w:rsidRDefault="00DB478E" w:rsidP="00DB478E">
      <w:pPr>
        <w:tabs>
          <w:tab w:val="left" w:pos="567"/>
        </w:tabs>
        <w:spacing w:after="0" w:line="240" w:lineRule="auto"/>
        <w:ind w:left="567" w:hanging="567"/>
        <w:jc w:val="both"/>
        <w:rPr>
          <w:rFonts w:ascii="Arial Narrow" w:hAnsi="Arial Narrow"/>
        </w:rPr>
      </w:pPr>
    </w:p>
    <w:p w14:paraId="1B652F1C"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NOVENO: informar a las partes que para la validez del otorgamiento de facultades de representación mediante carta poder simple se debe tener en cuenta lo establecido en la directiva aplicable al presente procedimiento</w:t>
      </w:r>
      <w:r>
        <w:rPr>
          <w:rStyle w:val="Refdenotaalpie"/>
        </w:rPr>
        <w:footnoteReference w:id="12"/>
      </w:r>
      <w:r>
        <w:rPr>
          <w:rFonts w:ascii="Arial Narrow" w:hAnsi="Arial Narrow"/>
        </w:rPr>
        <w:t>.</w:t>
      </w:r>
    </w:p>
    <w:p w14:paraId="3E0654F4" w14:textId="77777777" w:rsidR="00DB478E" w:rsidRDefault="00DB478E" w:rsidP="00DB478E">
      <w:pPr>
        <w:tabs>
          <w:tab w:val="left" w:pos="567"/>
        </w:tabs>
        <w:spacing w:after="0" w:line="240" w:lineRule="auto"/>
        <w:ind w:left="567" w:hanging="567"/>
        <w:jc w:val="both"/>
        <w:rPr>
          <w:rFonts w:ascii="Arial Narrow" w:hAnsi="Arial Narrow"/>
        </w:rPr>
      </w:pPr>
    </w:p>
    <w:p w14:paraId="03C40A7B"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DÉCIMO: requerir al señor Coronel para que efectúe el acuse de recibo mediante la confirmación de recepción de la notificación remitida por este despacho al correo electrónico señalado, dentro de los dos (2) primeros días hábiles siguientes a la fecha en que recibe la notificación, conforme a lo dispuesto en el artículo 20</w:t>
      </w:r>
      <w:r>
        <w:rPr>
          <w:rStyle w:val="Refdenotaalpie"/>
        </w:rPr>
        <w:footnoteReference w:id="13"/>
      </w:r>
      <w:r>
        <w:rPr>
          <w:rFonts w:ascii="Arial Narrow" w:hAnsi="Arial Narrow"/>
        </w:rPr>
        <w:t xml:space="preserve"> del TUO de la Ley del Procedimiento Administrativo General (LPAG), bajo apercibimiento de notificar la resolución al domicilio físico señalado.</w:t>
      </w:r>
    </w:p>
    <w:p w14:paraId="3C7116E9" w14:textId="77777777" w:rsidR="00DB478E" w:rsidRDefault="00DB478E" w:rsidP="00DB478E">
      <w:pPr>
        <w:tabs>
          <w:tab w:val="left" w:pos="567"/>
        </w:tabs>
        <w:spacing w:after="0" w:line="240" w:lineRule="auto"/>
        <w:ind w:left="567" w:hanging="567"/>
        <w:jc w:val="both"/>
        <w:rPr>
          <w:rFonts w:ascii="Arial Narrow" w:hAnsi="Arial Narrow"/>
        </w:rPr>
      </w:pPr>
    </w:p>
    <w:p w14:paraId="1148C177" w14:textId="77777777" w:rsidR="00DB478E" w:rsidRDefault="00DB478E" w:rsidP="00DB478E">
      <w:pPr>
        <w:tabs>
          <w:tab w:val="left" w:pos="567"/>
        </w:tabs>
        <w:spacing w:after="0" w:line="240" w:lineRule="auto"/>
        <w:ind w:left="567" w:hanging="567"/>
        <w:jc w:val="both"/>
        <w:rPr>
          <w:rFonts w:ascii="Arial Narrow" w:hAnsi="Arial Narrow"/>
        </w:rPr>
      </w:pPr>
      <w:r>
        <w:rPr>
          <w:rFonts w:ascii="Arial Narrow" w:hAnsi="Arial Narrow"/>
        </w:rPr>
        <w:t>DÉCIMO PRIMERO: requerir a La Positiva Seguros y Reaseguros S.A.A. para que efectúe el acuse de recibo mediante la confirmación de recepción de la notificación remitida por este despacho a su Casilla Electrónica, dentro de los cinco (5) primeros días hábiles siguientes a la fecha en que recibe la notificación</w:t>
      </w:r>
      <w:r>
        <w:rPr>
          <w:rStyle w:val="Refdenotaalpie"/>
        </w:rPr>
        <w:footnoteReference w:id="14"/>
      </w:r>
      <w:r>
        <w:rPr>
          <w:rFonts w:ascii="Arial Narrow" w:hAnsi="Arial Narrow"/>
        </w:rPr>
        <w:t>.</w:t>
      </w:r>
    </w:p>
    <w:p w14:paraId="442E8C62" w14:textId="77777777" w:rsidR="00DB478E" w:rsidRDefault="00DB478E" w:rsidP="00DB478E">
      <w:pPr>
        <w:tabs>
          <w:tab w:val="left" w:pos="567"/>
        </w:tabs>
        <w:spacing w:after="0" w:line="240" w:lineRule="auto"/>
        <w:ind w:left="567" w:hanging="567"/>
        <w:jc w:val="both"/>
        <w:rPr>
          <w:rFonts w:ascii="Arial Narrow" w:hAnsi="Arial Narrow"/>
        </w:rPr>
      </w:pPr>
    </w:p>
    <w:p w14:paraId="65DAC085" w14:textId="77777777" w:rsidR="00DB478E" w:rsidRDefault="00DB478E" w:rsidP="00DB478E">
      <w:pPr>
        <w:tabs>
          <w:tab w:val="left" w:pos="567"/>
        </w:tabs>
        <w:spacing w:after="0" w:line="240" w:lineRule="auto"/>
        <w:ind w:left="567" w:hanging="567"/>
        <w:jc w:val="both"/>
        <w:rPr>
          <w:rFonts w:ascii="Arial Narrow" w:hAnsi="Arial Narrow"/>
        </w:rPr>
      </w:pPr>
    </w:p>
    <w:p w14:paraId="103429C7" w14:textId="77777777" w:rsidR="00DB478E" w:rsidRDefault="00DB478E" w:rsidP="00DB478E">
      <w:pPr>
        <w:tabs>
          <w:tab w:val="left" w:pos="567"/>
        </w:tabs>
        <w:spacing w:after="0" w:line="240" w:lineRule="auto"/>
        <w:ind w:left="567" w:hanging="567"/>
        <w:jc w:val="both"/>
        <w:rPr>
          <w:rFonts w:ascii="Arial Narrow" w:hAnsi="Arial Narrow"/>
        </w:rPr>
      </w:pPr>
    </w:p>
    <w:p w14:paraId="74AAB5F4" w14:textId="3C337B07" w:rsidR="001B5674" w:rsidRPr="00DB478E" w:rsidRDefault="00DB478E" w:rsidP="00DB478E">
      <w:pPr>
        <w:spacing w:after="0" w:line="240" w:lineRule="auto"/>
        <w:jc w:val="right"/>
        <w:rPr>
          <w:rFonts w:ascii="Arial Narrow" w:hAnsi="Arial Narrow"/>
          <w:sz w:val="16"/>
        </w:rPr>
      </w:pPr>
      <w:r w:rsidRPr="00DB478E">
        <w:rPr>
          <w:rFonts w:ascii="Arial Narrow" w:hAnsi="Arial Narrow"/>
          <w:sz w:val="16"/>
        </w:rPr>
        <w:t>LGP / JCQ</w:t>
      </w:r>
    </w:p>
    <w:sectPr w:rsidR="001B5674" w:rsidRPr="00DB478E" w:rsidSect="00DB478E">
      <w:headerReference w:type="even" r:id="rId8"/>
      <w:headerReference w:type="default" r:id="rId9"/>
      <w:footerReference w:type="even" r:id="rId10"/>
      <w:footerReference w:type="default" r:id="rId11"/>
      <w:headerReference w:type="first" r:id="rId12"/>
      <w:footerReference w:type="first" r:id="rId13"/>
      <w:pgSz w:w="11906" w:h="16838"/>
      <w:pgMar w:top="1296" w:right="1699" w:bottom="1296" w:left="169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31F78" w14:textId="77777777" w:rsidR="00DB551A" w:rsidRDefault="00DB551A" w:rsidP="00DA79A0">
      <w:pPr>
        <w:spacing w:after="0" w:line="240" w:lineRule="auto"/>
      </w:pPr>
      <w:r>
        <w:separator/>
      </w:r>
    </w:p>
  </w:endnote>
  <w:endnote w:type="continuationSeparator" w:id="0">
    <w:p w14:paraId="302DAC67" w14:textId="77777777" w:rsidR="00DB551A" w:rsidRDefault="00DB551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1361D" w14:textId="77777777" w:rsidR="00DB551A" w:rsidRDefault="00DB551A" w:rsidP="00DA79A0">
      <w:pPr>
        <w:spacing w:after="0" w:line="240" w:lineRule="auto"/>
      </w:pPr>
      <w:r>
        <w:separator/>
      </w:r>
    </w:p>
  </w:footnote>
  <w:footnote w:type="continuationSeparator" w:id="0">
    <w:p w14:paraId="20B4E06D" w14:textId="77777777" w:rsidR="00DB551A" w:rsidRDefault="00DB551A" w:rsidP="00DA79A0">
      <w:pPr>
        <w:spacing w:after="0" w:line="240" w:lineRule="auto"/>
      </w:pPr>
      <w:r>
        <w:continuationSeparator/>
      </w:r>
    </w:p>
  </w:footnote>
  <w:footnote w:id="1">
    <w:p w14:paraId="1F535801" w14:textId="0698F350" w:rsidR="00DB478E" w:rsidRPr="00DB478E" w:rsidRDefault="00DB478E" w:rsidP="00DB478E">
      <w:pPr>
        <w:pStyle w:val="Textonotapie"/>
        <w:spacing w:after="200"/>
        <w:ind w:left="567" w:hanging="567"/>
        <w:jc w:val="both"/>
        <w:rPr>
          <w:lang w:val="es-MX"/>
        </w:rPr>
      </w:pPr>
      <w:r>
        <w:rPr>
          <w:rStyle w:val="Refdenotaalpie"/>
        </w:rPr>
        <w:footnoteRef/>
      </w:r>
      <w:r>
        <w:t xml:space="preserve"> </w:t>
      </w:r>
      <w:r>
        <w:tab/>
      </w:r>
      <w:r w:rsidRPr="00DB478E">
        <w:t xml:space="preserve">Denuncia remitida a esta Comisión mediante </w:t>
      </w:r>
      <w:r w:rsidRPr="00DB478E">
        <w:rPr>
          <w:b/>
        </w:rPr>
        <w:t>DOCUMENTO DE TRASLADO N° 1452-2026/PS1</w:t>
      </w:r>
      <w:r w:rsidRPr="00DB478E">
        <w:t xml:space="preserve"> de fecha 15 de julio de 2026, recepcionada el 15 de julio de 2026.</w:t>
      </w:r>
    </w:p>
  </w:footnote>
  <w:footnote w:id="2">
    <w:p w14:paraId="58EB9044" w14:textId="187E98D9" w:rsidR="00DB478E" w:rsidRPr="00DB478E" w:rsidRDefault="00DB478E" w:rsidP="00DB478E">
      <w:pPr>
        <w:pStyle w:val="Textonotapie"/>
        <w:spacing w:after="200"/>
        <w:ind w:left="567" w:hanging="567"/>
        <w:jc w:val="both"/>
        <w:rPr>
          <w:lang w:val="es-MX"/>
        </w:rPr>
      </w:pPr>
      <w:r>
        <w:rPr>
          <w:rStyle w:val="Refdenotaalpie"/>
        </w:rPr>
        <w:footnoteRef/>
      </w:r>
      <w:r>
        <w:t xml:space="preserve"> </w:t>
      </w:r>
      <w:r>
        <w:tab/>
      </w:r>
      <w:r w:rsidRPr="00DB478E">
        <w:rPr>
          <w:b/>
        </w:rPr>
        <w:t>LEY N° 29571, CÓDIGO DE PROTECCIÓN Y DEFENSA DEL CONSUMIDOR</w:t>
      </w:r>
      <w:r w:rsidRPr="00DB478E">
        <w:t>, publicado el 2 de setiembre de 2010 y modificado por Decreto Legislativo N° 1308.</w:t>
      </w:r>
    </w:p>
  </w:footnote>
  <w:footnote w:id="3">
    <w:p w14:paraId="79D3A18E" w14:textId="767B915A" w:rsidR="00DB478E" w:rsidRPr="00DB478E" w:rsidRDefault="00DB478E" w:rsidP="00DB478E">
      <w:pPr>
        <w:pStyle w:val="Textonotapie"/>
        <w:spacing w:after="200"/>
        <w:ind w:left="567" w:hanging="567"/>
        <w:jc w:val="both"/>
        <w:rPr>
          <w:lang w:val="es-MX"/>
        </w:rPr>
      </w:pPr>
      <w:r>
        <w:rPr>
          <w:rStyle w:val="Refdenotaalpie"/>
        </w:rPr>
        <w:footnoteRef/>
      </w:r>
      <w:r>
        <w:t xml:space="preserve"> </w:t>
      </w:r>
      <w:r>
        <w:tab/>
      </w:r>
      <w:r w:rsidRPr="00DB478E">
        <w:rPr>
          <w:b/>
        </w:rPr>
        <w:t>LEY N° 29571, CÓDIGO DE PROTECCIÓN Y DEFENSA DEL CONSUMIDOR</w:t>
      </w:r>
      <w:r>
        <w:rPr>
          <w:b/>
        </w:rPr>
        <w:tab/>
      </w:r>
      <w:r>
        <w:rPr>
          <w:b/>
        </w:rPr>
        <w:br/>
      </w:r>
      <w:r w:rsidRPr="00DB478E">
        <w:rPr>
          <w:b/>
          <w:lang w:val="es-MX"/>
        </w:rPr>
        <w:t>Artículo 105.- Autoridad competente.</w:t>
      </w:r>
      <w:r>
        <w:rPr>
          <w:b/>
          <w:lang w:val="es-MX"/>
        </w:rPr>
        <w:tab/>
      </w:r>
      <w:r>
        <w:rPr>
          <w:b/>
          <w:lang w:val="es-MX"/>
        </w:rPr>
        <w:br/>
      </w:r>
      <w:r w:rsidRPr="00DB478E">
        <w:rPr>
          <w:lang w:val="es-MX"/>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 lo dispuesto en el </w:t>
      </w:r>
      <w:r w:rsidRPr="00DB478E">
        <w:rPr>
          <w:b/>
          <w:lang w:val="es-MX"/>
        </w:rPr>
        <w:t>Decreto Legislativo Núm. 1033, Ley de Organización y Funciones del Indecopi</w:t>
      </w:r>
      <w:r w:rsidRPr="00DB478E">
        <w:rPr>
          <w:lang w:val="es-MX"/>
        </w:rPr>
        <w:t>. Dicha competencia solo puede ser negada cuando ella haya sido asignada o se asigne a favor de otro organismo por norma expresa con rango de ley.</w:t>
      </w:r>
      <w:r>
        <w:rPr>
          <w:lang w:val="es-MX"/>
        </w:rPr>
        <w:tab/>
      </w:r>
      <w:r>
        <w:rPr>
          <w:lang w:val="es-MX"/>
        </w:rPr>
        <w:br/>
      </w:r>
      <w:r w:rsidRPr="00DB478E">
        <w:rPr>
          <w:lang w:val="es-MX"/>
        </w:rPr>
        <w:t>Para los procedimientos de protección al consumidor, se consideran autoridades competentes del Indecopi:</w:t>
      </w:r>
      <w:r>
        <w:rPr>
          <w:lang w:val="es-MX"/>
        </w:rPr>
        <w:tab/>
      </w:r>
      <w:r>
        <w:rPr>
          <w:lang w:val="es-MX"/>
        </w:rPr>
        <w:br/>
      </w:r>
      <w:r w:rsidRPr="00DB478E">
        <w:rPr>
          <w:lang w:val="es-MX"/>
        </w:rPr>
        <w:t>1. La Comisión de Protección al Consumidor.</w:t>
      </w:r>
      <w:r>
        <w:rPr>
          <w:lang w:val="es-MX"/>
        </w:rPr>
        <w:tab/>
      </w:r>
      <w:r>
        <w:rPr>
          <w:lang w:val="es-MX"/>
        </w:rPr>
        <w:br/>
      </w:r>
      <w:r w:rsidRPr="00DB478E">
        <w:rPr>
          <w:lang w:val="es-MX"/>
        </w:rPr>
        <w:t>2. Los Órganos Resolutivos de Procedimientos Sumarísimos de Protección al Consumidor adscritos a las sedes de la Comisión de Protección al Consumidor, los cuales son creados por el Consejo Directivo del Indecopi.</w:t>
      </w:r>
      <w:r>
        <w:rPr>
          <w:lang w:val="es-MX"/>
        </w:rPr>
        <w:tab/>
      </w:r>
      <w:r>
        <w:rPr>
          <w:lang w:val="es-MX"/>
        </w:rPr>
        <w:br/>
      </w:r>
      <w:r w:rsidRPr="00DB478E">
        <w:rPr>
          <w:lang w:val="es-MX"/>
        </w:rPr>
        <w:t>3. El Tribunal de Defensa de la Competencia y de la Protección de la Propiedad Intelectual.</w:t>
      </w:r>
      <w:r>
        <w:rPr>
          <w:lang w:val="es-MX"/>
        </w:rPr>
        <w:tab/>
      </w:r>
      <w:r>
        <w:rPr>
          <w:lang w:val="es-MX"/>
        </w:rPr>
        <w:br/>
      </w:r>
      <w:r>
        <w:rPr>
          <w:lang w:val="es-MX"/>
        </w:rPr>
        <w:tab/>
      </w:r>
      <w:r>
        <w:rPr>
          <w:lang w:val="es-MX"/>
        </w:rPr>
        <w:br/>
      </w:r>
      <w:r w:rsidRPr="00DB478E">
        <w:rPr>
          <w:b/>
          <w:lang w:val="es-MX"/>
        </w:rPr>
        <w:t>LEY DE ORGANIZACIÓN Y FUNCIONES DEL INDECOPI (LEY N° 1033)</w:t>
      </w:r>
      <w:r>
        <w:rPr>
          <w:b/>
          <w:lang w:val="es-MX"/>
        </w:rPr>
        <w:tab/>
      </w:r>
      <w:r>
        <w:rPr>
          <w:b/>
          <w:lang w:val="es-MX"/>
        </w:rPr>
        <w:br/>
      </w:r>
      <w:r w:rsidRPr="00DB478E">
        <w:rPr>
          <w:b/>
          <w:lang w:val="es-MX"/>
        </w:rPr>
        <w:t>Artículo 27.- De las Secretarías Técnicas.</w:t>
      </w:r>
      <w:r>
        <w:rPr>
          <w:b/>
          <w:lang w:val="es-MX"/>
        </w:rPr>
        <w:tab/>
      </w:r>
      <w:r>
        <w:rPr>
          <w:b/>
          <w:lang w:val="es-MX"/>
        </w:rPr>
        <w:br/>
      </w:r>
      <w:r w:rsidRPr="00DB478E">
        <w:rPr>
          <w:lang w:val="es-MX"/>
        </w:rPr>
        <w:t>Las Comisiones y el Tribunal cuentan con Secretarías Técnicas. Éstas proporcionan soporte técnico y administrativo al órgano resolutivo al cual se encuentran adscritas y facilitan el ejercicio de sus funciones. El Consejo Directivo aprueba las directivas que rigen el funcionamiento de las Secretarías Técnicas. Excepcionalmente, el Consejo Directivo podrá disponer que la Secretaría Técnica se encuentre adscrita a más de un órgano resolutivo.</w:t>
      </w:r>
      <w:r>
        <w:rPr>
          <w:lang w:val="es-MX"/>
        </w:rPr>
        <w:tab/>
      </w:r>
      <w:r>
        <w:rPr>
          <w:lang w:val="es-MX"/>
        </w:rPr>
        <w:br/>
      </w:r>
      <w:r w:rsidRPr="00DB478E">
        <w:rPr>
          <w:lang w:val="es-MX"/>
        </w:rPr>
        <w:t>Los procedimientos que se sigan ante las Comisiones se inician siempre de oficio, sea por propia iniciativa de la Secretaría Técnica o a pedido de parte. En este último supuesto, el Secretario Técnico goza de la facultad de admitir a trámite o de rechazar la denuncia respectiva. Las resoluciones que denieguen el inicio de un procedimiento podrán ser apeladas ante el propio órgano colegiado.</w:t>
      </w:r>
    </w:p>
  </w:footnote>
  <w:footnote w:id="4">
    <w:p w14:paraId="1A71D2FF" w14:textId="054E2666" w:rsidR="00DB478E" w:rsidRPr="00DB478E" w:rsidRDefault="00DB478E" w:rsidP="00DB478E">
      <w:pPr>
        <w:pStyle w:val="Textonotapie"/>
        <w:spacing w:after="200"/>
        <w:ind w:left="567" w:hanging="567"/>
        <w:jc w:val="both"/>
        <w:rPr>
          <w:lang w:val="es-MX"/>
        </w:rPr>
      </w:pPr>
      <w:r>
        <w:rPr>
          <w:rStyle w:val="Refdenotaalpie"/>
        </w:rPr>
        <w:footnoteRef/>
      </w:r>
      <w:r>
        <w:t xml:space="preserve"> </w:t>
      </w:r>
      <w:r>
        <w:tab/>
      </w:r>
      <w:r w:rsidRPr="00DB478E">
        <w:rPr>
          <w:b/>
        </w:rPr>
        <w:t>LEY N° 29571, CÓDIGO DE PROTECCIÓN Y DEFENSA DEL CONSUMIDOR</w:t>
      </w:r>
      <w:r>
        <w:rPr>
          <w:b/>
        </w:rPr>
        <w:tab/>
      </w:r>
      <w:r>
        <w:rPr>
          <w:b/>
        </w:rPr>
        <w:br/>
      </w:r>
      <w:r w:rsidRPr="00DB478E">
        <w:rPr>
          <w:b/>
          <w:lang w:val="es-MX"/>
        </w:rPr>
        <w:t>Artículo 56.- Métodos comerciales coercitivos</w:t>
      </w:r>
      <w:r>
        <w:rPr>
          <w:b/>
          <w:lang w:val="es-MX"/>
        </w:rPr>
        <w:tab/>
      </w:r>
      <w:r>
        <w:rPr>
          <w:b/>
          <w:lang w:val="es-MX"/>
        </w:rPr>
        <w:br/>
      </w:r>
      <w:r w:rsidRPr="00DB478E">
        <w:rPr>
          <w:lang w:val="es-MX"/>
        </w:rPr>
        <w:t>(...)</w:t>
      </w:r>
      <w:r>
        <w:rPr>
          <w:lang w:val="es-MX"/>
        </w:rPr>
        <w:tab/>
      </w:r>
      <w:r>
        <w:rPr>
          <w:lang w:val="es-MX"/>
        </w:rPr>
        <w:br/>
      </w:r>
      <w:r w:rsidRPr="00DB478E">
        <w:rPr>
          <w:lang w:val="es-MX"/>
        </w:rPr>
        <w:t>b. Obligar al consumidor a asumir prestaciones que no ha pactado o a efectuar pagos por productos o servicios que no han sido requeridos previamente. En ningún caso puede interpretarse el silencio del consumidor como aceptación de dichas prestaciones o pagos, salvo que lo haya autorizado expresamente con anterioridad.</w:t>
      </w:r>
      <w:r>
        <w:rPr>
          <w:lang w:val="es-MX"/>
        </w:rPr>
        <w:tab/>
      </w:r>
      <w:r>
        <w:rPr>
          <w:lang w:val="es-MX"/>
        </w:rPr>
        <w:br/>
      </w:r>
      <w:r w:rsidRPr="00DB478E">
        <w:rPr>
          <w:lang w:val="es-MX"/>
        </w:rPr>
        <w:t>(...).</w:t>
      </w:r>
    </w:p>
  </w:footnote>
  <w:footnote w:id="5">
    <w:p w14:paraId="3EB89C4E" w14:textId="40869CBA" w:rsidR="00DB478E" w:rsidRPr="00DB478E" w:rsidRDefault="00DB478E" w:rsidP="00DB478E">
      <w:pPr>
        <w:pStyle w:val="Textonotapie"/>
        <w:spacing w:after="200"/>
        <w:ind w:left="567" w:hanging="567"/>
        <w:jc w:val="both"/>
        <w:rPr>
          <w:lang w:val="es-MX"/>
        </w:rPr>
      </w:pPr>
      <w:r>
        <w:rPr>
          <w:rStyle w:val="Refdenotaalpie"/>
        </w:rPr>
        <w:footnoteRef/>
      </w:r>
      <w:r>
        <w:t xml:space="preserve"> </w:t>
      </w:r>
      <w:r>
        <w:tab/>
      </w:r>
      <w:r w:rsidRPr="00DB478E">
        <w:rPr>
          <w:b/>
        </w:rPr>
        <w:t>LEY SOBRE FACULTADES, NORMAS Y ORGANIZACIÓN DEL INDECOPI, APROBADA POR DECRETO LEGISLATIVO N° 807</w:t>
      </w:r>
      <w:r>
        <w:rPr>
          <w:b/>
        </w:rPr>
        <w:tab/>
      </w:r>
      <w:r>
        <w:rPr>
          <w:b/>
        </w:rPr>
        <w:br/>
      </w:r>
      <w:r w:rsidRPr="00DB478E">
        <w:rPr>
          <w:b/>
          <w:lang w:val="es-MX"/>
        </w:rPr>
        <w:t>Artículo 24.-</w:t>
      </w:r>
      <w:r w:rsidRPr="00DB478E">
        <w:rPr>
          <w:lang w:val="es-MX"/>
        </w:rPr>
        <w:t xml:space="preserve"> El Secretario Técnico se encargará de la tramitación del procedimiento. Para ello, cuenta con las siguientes facultades:</w:t>
      </w:r>
      <w:r>
        <w:rPr>
          <w:lang w:val="es-MX"/>
        </w:rPr>
        <w:tab/>
      </w:r>
      <w:r>
        <w:rPr>
          <w:lang w:val="es-MX"/>
        </w:rPr>
        <w:br/>
      </w:r>
      <w:r w:rsidRPr="00DB478E">
        <w:rPr>
          <w:lang w:val="es-MX"/>
        </w:rPr>
        <w:t>(...)</w:t>
      </w:r>
      <w:r>
        <w:rPr>
          <w:lang w:val="es-MX"/>
        </w:rPr>
        <w:tab/>
      </w:r>
      <w:r>
        <w:rPr>
          <w:lang w:val="es-MX"/>
        </w:rPr>
        <w:br/>
      </w:r>
      <w:r w:rsidRPr="00DB478E">
        <w:rPr>
          <w:lang w:val="es-MX"/>
        </w:rPr>
        <w:t>c) Admitir denuncias a trámite, en aquellos casos en que la Comisión le haya delegado esta facultad.</w:t>
      </w:r>
      <w:r>
        <w:rPr>
          <w:lang w:val="es-MX"/>
        </w:rPr>
        <w:tab/>
      </w:r>
      <w:r>
        <w:rPr>
          <w:lang w:val="es-MX"/>
        </w:rPr>
        <w:br/>
      </w:r>
      <w:r w:rsidRPr="00DB478E">
        <w:rPr>
          <w:lang w:val="es-MX"/>
        </w:rPr>
        <w:t>(...).</w:t>
      </w:r>
    </w:p>
  </w:footnote>
  <w:footnote w:id="6">
    <w:p w14:paraId="418B9989" w14:textId="50FDFB6E" w:rsidR="00DB478E" w:rsidRPr="00DB478E" w:rsidRDefault="00DB478E" w:rsidP="00DB478E">
      <w:pPr>
        <w:pStyle w:val="Textonotapie"/>
        <w:spacing w:after="200"/>
        <w:ind w:left="567" w:hanging="567"/>
        <w:jc w:val="both"/>
        <w:rPr>
          <w:lang w:val="es-MX"/>
        </w:rPr>
      </w:pPr>
      <w:r>
        <w:rPr>
          <w:rStyle w:val="Refdenotaalpie"/>
        </w:rPr>
        <w:footnoteRef/>
      </w:r>
      <w:r>
        <w:t xml:space="preserve"> </w:t>
      </w:r>
      <w:r>
        <w:tab/>
      </w:r>
      <w:r w:rsidRPr="00DB478E">
        <w:t xml:space="preserve">El número de trabajadores se atenderá siempre que la empresa haya sido constituida antes de la vigencia de la </w:t>
      </w:r>
      <w:r w:rsidRPr="00DB478E">
        <w:rPr>
          <w:b/>
        </w:rPr>
        <w:t>Ley Nº 30056</w:t>
      </w:r>
      <w:r w:rsidRPr="00DB478E">
        <w:t xml:space="preserve">, publicada el 2 de julio de 2013, que modificó el artículo 5 del </w:t>
      </w:r>
      <w:r w:rsidRPr="00DB478E">
        <w:rPr>
          <w:b/>
        </w:rPr>
        <w:t>Texto Único Ordenado de la Ley de Promoción de la Competitividad, Formalización y Desarrollo de la Micro y Pequeña Empresa y de Acceso al Empleo Decente (LEY MYPE)</w:t>
      </w:r>
      <w:r w:rsidRPr="00DB478E">
        <w:t xml:space="preserv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w:t>
      </w:r>
      <w:r w:rsidRPr="00DB478E">
        <w:rPr>
          <w:b/>
        </w:rPr>
        <w:t>Decreto Legislativo 1086</w:t>
      </w:r>
      <w:r w:rsidRPr="00DB478E">
        <w:t>.</w:t>
      </w:r>
    </w:p>
  </w:footnote>
  <w:footnote w:id="7">
    <w:p w14:paraId="67F27B12" w14:textId="593E486F" w:rsidR="00DB478E" w:rsidRPr="00DB478E" w:rsidRDefault="00DB478E" w:rsidP="00DB478E">
      <w:pPr>
        <w:pStyle w:val="Textonotapie"/>
        <w:spacing w:after="200"/>
        <w:ind w:left="567" w:hanging="567"/>
        <w:jc w:val="both"/>
        <w:rPr>
          <w:lang w:val="es-MX"/>
        </w:rPr>
      </w:pPr>
      <w:r>
        <w:rPr>
          <w:rStyle w:val="Refdenotaalpie"/>
        </w:rPr>
        <w:footnoteRef/>
      </w:r>
      <w:r>
        <w:t xml:space="preserve"> </w:t>
      </w:r>
      <w:r>
        <w:tab/>
      </w:r>
      <w:r w:rsidRPr="00DB478E">
        <w:rPr>
          <w:b/>
        </w:rPr>
        <w:t>LEY N° 29571, CÓDIGO DE PROTECCIÓN Y DEFENSA DEL CONSUMIDOR</w:t>
      </w:r>
      <w:r>
        <w:rPr>
          <w:b/>
        </w:rPr>
        <w:tab/>
      </w:r>
      <w:r>
        <w:rPr>
          <w:b/>
        </w:rPr>
        <w:br/>
      </w:r>
      <w:r w:rsidRPr="00DB478E">
        <w:rPr>
          <w:b/>
          <w:lang w:val="es-MX"/>
        </w:rPr>
        <w:t>Artículo 110.- Sanciones Administrativas</w:t>
      </w:r>
      <w:r>
        <w:rPr>
          <w:b/>
          <w:lang w:val="es-MX"/>
        </w:rPr>
        <w:tab/>
      </w:r>
      <w:r>
        <w:rPr>
          <w:b/>
          <w:lang w:val="es-MX"/>
        </w:rPr>
        <w:br/>
      </w:r>
      <w:r w:rsidRPr="00DB478E">
        <w:rPr>
          <w:lang w:val="es-MX"/>
        </w:rPr>
        <w:t>(...)</w:t>
      </w:r>
      <w:r>
        <w:rPr>
          <w:lang w:val="es-MX"/>
        </w:rPr>
        <w:tab/>
      </w:r>
      <w:r>
        <w:rPr>
          <w:lang w:val="es-MX"/>
        </w:rPr>
        <w:br/>
      </w:r>
      <w:r w:rsidRPr="00DB478E">
        <w:rPr>
          <w:lang w:val="es-MX"/>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r>
        <w:rPr>
          <w:lang w:val="es-MX"/>
        </w:rPr>
        <w:tab/>
      </w:r>
      <w:r>
        <w:rPr>
          <w:lang w:val="es-MX"/>
        </w:rPr>
        <w:br/>
      </w:r>
      <w:r w:rsidRPr="00DB478E">
        <w:rPr>
          <w:lang w:val="es-MX"/>
        </w:rPr>
        <w:t>(...).</w:t>
      </w:r>
    </w:p>
  </w:footnote>
  <w:footnote w:id="8">
    <w:p w14:paraId="714A9AD1" w14:textId="787E0B6F" w:rsidR="00DB478E" w:rsidRPr="00DB478E" w:rsidRDefault="00DB478E" w:rsidP="00DB478E">
      <w:pPr>
        <w:pStyle w:val="Textonotapie"/>
        <w:spacing w:after="200"/>
        <w:ind w:left="567" w:hanging="567"/>
        <w:jc w:val="both"/>
        <w:rPr>
          <w:lang w:val="es-MX"/>
        </w:rPr>
      </w:pPr>
      <w:r>
        <w:rPr>
          <w:rStyle w:val="Refdenotaalpie"/>
        </w:rPr>
        <w:footnoteRef/>
      </w:r>
      <w:r>
        <w:t xml:space="preserve"> </w:t>
      </w:r>
      <w:r>
        <w:tab/>
      </w:r>
      <w:r w:rsidRPr="00DB478E">
        <w:rPr>
          <w:b/>
        </w:rPr>
        <w:t>LEY N° 29571, CÓDIGO DE PROTECCIÓN Y DEFENSA DEL CONSUMIDOR</w:t>
      </w:r>
      <w:r>
        <w:rPr>
          <w:b/>
        </w:rPr>
        <w:tab/>
      </w:r>
      <w:r>
        <w:rPr>
          <w:b/>
        </w:rPr>
        <w:br/>
      </w:r>
      <w:r w:rsidRPr="00DB478E">
        <w:rPr>
          <w:b/>
          <w:lang w:val="es-MX"/>
        </w:rPr>
        <w:t>Artículo 114.- Multas.</w:t>
      </w:r>
      <w:r>
        <w:rPr>
          <w:b/>
          <w:lang w:val="es-MX"/>
        </w:rPr>
        <w:tab/>
      </w:r>
      <w:r>
        <w:rPr>
          <w:b/>
          <w:lang w:val="es-MX"/>
        </w:rPr>
        <w:br/>
      </w:r>
      <w:r w:rsidRPr="00DB478E">
        <w:rPr>
          <w:lang w:val="es-MX"/>
        </w:rPr>
        <w:t>El Indecopi puede sancionar las infracciones administrativas a que se refiere el artículo 108 con amonestación y multas de hasta cuatrocientas cincuenta (450) Unidades Impositivas Tributarias (UIT), las cuales son calificadas de la siguiente manera:</w:t>
      </w:r>
      <w:r>
        <w:rPr>
          <w:lang w:val="es-MX"/>
        </w:rPr>
        <w:tab/>
      </w:r>
      <w:r>
        <w:rPr>
          <w:lang w:val="es-MX"/>
        </w:rPr>
        <w:br/>
      </w:r>
      <w:r w:rsidRPr="00DB478E">
        <w:rPr>
          <w:lang w:val="es-MX"/>
        </w:rPr>
        <w:t>1. Infracciones leves, con una amonestación o con una multa de hasta cincuenta (50) UIT.</w:t>
      </w:r>
      <w:r>
        <w:rPr>
          <w:lang w:val="es-MX"/>
        </w:rPr>
        <w:tab/>
      </w:r>
      <w:r>
        <w:rPr>
          <w:lang w:val="es-MX"/>
        </w:rPr>
        <w:br/>
      </w:r>
      <w:r w:rsidRPr="00DB478E">
        <w:rPr>
          <w:lang w:val="es-MX"/>
        </w:rPr>
        <w:t>2. Infracciones graves, con una multa de hasta ciento cincuenta (150) UIT.</w:t>
      </w:r>
      <w:r>
        <w:rPr>
          <w:lang w:val="es-MX"/>
        </w:rPr>
        <w:tab/>
      </w:r>
      <w:r>
        <w:rPr>
          <w:lang w:val="es-MX"/>
        </w:rPr>
        <w:br/>
      </w:r>
      <w:r w:rsidRPr="00DB478E">
        <w:rPr>
          <w:lang w:val="es-MX"/>
        </w:rPr>
        <w:t>3. Infracciones muy graves, con una multa de hasta cuatrocientas cincuenta (450) UIT.</w:t>
      </w:r>
      <w:r>
        <w:rPr>
          <w:lang w:val="es-MX"/>
        </w:rPr>
        <w:tab/>
      </w:r>
      <w:r>
        <w:rPr>
          <w:lang w:val="es-MX"/>
        </w:rPr>
        <w:br/>
      </w:r>
      <w:r w:rsidRPr="00DB478E">
        <w:rPr>
          <w:lang w:val="es-MX"/>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footnote>
  <w:footnote w:id="9">
    <w:p w14:paraId="28B0687A" w14:textId="7A7A9F1D" w:rsidR="00DB478E" w:rsidRPr="00DB478E" w:rsidRDefault="00DB478E" w:rsidP="00DB478E">
      <w:pPr>
        <w:pStyle w:val="Textonotapie"/>
        <w:spacing w:after="200"/>
        <w:ind w:left="567" w:hanging="567"/>
        <w:jc w:val="both"/>
        <w:rPr>
          <w:lang w:val="es-MX"/>
        </w:rPr>
      </w:pPr>
      <w:r>
        <w:rPr>
          <w:rStyle w:val="Refdenotaalpie"/>
        </w:rPr>
        <w:footnoteRef/>
      </w:r>
      <w:r>
        <w:t xml:space="preserve"> </w:t>
      </w:r>
      <w:r>
        <w:tab/>
      </w:r>
      <w:r w:rsidRPr="00DB478E">
        <w:rPr>
          <w:b/>
        </w:rPr>
        <w:t>LEY N° 29571, CÓDIGO DE PROTECCIÓN Y DEFENSA DEL CONSUMIDOR</w:t>
      </w:r>
      <w:r>
        <w:rPr>
          <w:b/>
        </w:rPr>
        <w:tab/>
      </w:r>
      <w:r>
        <w:rPr>
          <w:b/>
        </w:rPr>
        <w:br/>
      </w:r>
      <w:r w:rsidRPr="00DB478E">
        <w:rPr>
          <w:b/>
          <w:lang w:val="es-MX"/>
        </w:rPr>
        <w:t>Artículo 112.- Criterios de graduación de las sanciones administrativas.</w:t>
      </w:r>
      <w:r>
        <w:rPr>
          <w:b/>
          <w:lang w:val="es-MX"/>
        </w:rPr>
        <w:tab/>
      </w:r>
      <w:r>
        <w:rPr>
          <w:b/>
          <w:lang w:val="es-MX"/>
        </w:rPr>
        <w:br/>
      </w:r>
      <w:r w:rsidRPr="00DB478E">
        <w:rPr>
          <w:lang w:val="es-MX"/>
        </w:rPr>
        <w:t>(…)</w:t>
      </w:r>
      <w:r>
        <w:rPr>
          <w:lang w:val="es-MX"/>
        </w:rPr>
        <w:tab/>
      </w:r>
      <w:r>
        <w:rPr>
          <w:lang w:val="es-MX"/>
        </w:rPr>
        <w:br/>
      </w:r>
      <w:r w:rsidRPr="00DB478E">
        <w:rPr>
          <w:lang w:val="es-MX"/>
        </w:rPr>
        <w:t>Para determinar la gravedad de la infracción y la aplicación de las multas correspondientes, se considerarán como circunstancias atenuantes especiales, las siguientes:</w:t>
      </w:r>
      <w:r>
        <w:rPr>
          <w:lang w:val="es-MX"/>
        </w:rPr>
        <w:tab/>
      </w:r>
      <w:r>
        <w:rPr>
          <w:lang w:val="es-MX"/>
        </w:rPr>
        <w:br/>
      </w:r>
      <w:r w:rsidRPr="00DB478E">
        <w:rPr>
          <w:lang w:val="es-MX"/>
        </w:rPr>
        <w:t>a. La presentación por el proveedor de una propuesta de conciliación, que coincida con la medida correctiva ordenada por el Indecopi, o que, a criterio de éste, resulte favorable para el consumidor. Esta atenuante será de aplicación, siempre que la propuesta se haya presentado con anterioridad al vencimiento del plazo para la formulación de los descargos y que, una vez rechazada, quede como constancia en el expediente.</w:t>
      </w:r>
      <w:r>
        <w:rPr>
          <w:lang w:val="es-MX"/>
        </w:rPr>
        <w:tab/>
      </w:r>
      <w:r>
        <w:rPr>
          <w:lang w:val="es-MX"/>
        </w:rPr>
        <w:br/>
      </w:r>
      <w:r w:rsidRPr="00DB478E">
        <w:rPr>
          <w:lang w:val="es-MX"/>
        </w:rPr>
        <w:t>b. Acreditar haber concluido con la conducta ilegal tan pronto el infractor tuvo conocimiento de la misma y haber iniciado las acciones necesarias para resarcir los efectos de la misma, antes de la notificación con la resolución de imputación de cargos.</w:t>
      </w:r>
      <w:r>
        <w:rPr>
          <w:lang w:val="es-MX"/>
        </w:rPr>
        <w:tab/>
      </w:r>
      <w:r>
        <w:rPr>
          <w:lang w:val="es-MX"/>
        </w:rPr>
        <w:br/>
      </w:r>
      <w:r w:rsidRPr="00DB478E">
        <w:rPr>
          <w:lang w:val="es-MX"/>
        </w:rPr>
        <w:t>(…).</w:t>
      </w:r>
    </w:p>
  </w:footnote>
  <w:footnote w:id="10">
    <w:p w14:paraId="1B873D16" w14:textId="147A4B00" w:rsidR="00DB478E" w:rsidRPr="00DB478E" w:rsidRDefault="00DB478E" w:rsidP="00DB478E">
      <w:pPr>
        <w:pStyle w:val="Textonotapie"/>
        <w:spacing w:after="200"/>
        <w:ind w:left="567" w:hanging="567"/>
        <w:jc w:val="both"/>
        <w:rPr>
          <w:lang w:val="es-MX"/>
        </w:rPr>
      </w:pPr>
      <w:r>
        <w:rPr>
          <w:rStyle w:val="Refdenotaalpie"/>
        </w:rPr>
        <w:footnoteRef/>
      </w:r>
      <w:r>
        <w:t xml:space="preserve"> </w:t>
      </w:r>
      <w:r>
        <w:tab/>
      </w:r>
      <w:r w:rsidRPr="00DB478E">
        <w:rPr>
          <w:b/>
        </w:rPr>
        <w:t>LEY SOBRE FACULTADES, NORMAS Y ORGANIZACIÓN DEL INDECOPI, APROBADA POR DECRETO LEGISLATIVO N° 807</w:t>
      </w:r>
      <w:r>
        <w:rPr>
          <w:b/>
        </w:rPr>
        <w:tab/>
      </w:r>
      <w:r>
        <w:rPr>
          <w:b/>
        </w:rPr>
        <w:br/>
      </w:r>
      <w:r w:rsidRPr="00DB478E">
        <w:rPr>
          <w:b/>
          <w:lang w:val="es-MX"/>
        </w:rPr>
        <w:t>Artículo 29.-</w:t>
      </w:r>
      <w:r w:rsidRPr="00DB478E">
        <w:rPr>
          <w:lang w:val="es-MX"/>
        </w:rPr>
        <w:t xml:space="preserve"> En cualquier etapa del procedimiento, e incluso antes de admitirse a trámite la denuncia, el Secretario Técnico de la Comisión, un representante designado por él o la persona o institución a la cual se fije tal atribución conforme al artículo siguiente, podrá citar a las partes a una audiencia de conciliación. El acuerdo al que se llegue en la conciliación tendrá efectos de transacción extrajudicial.</w:t>
      </w:r>
    </w:p>
  </w:footnote>
  <w:footnote w:id="11">
    <w:p w14:paraId="61726387" w14:textId="3B1A309B" w:rsidR="00DB478E" w:rsidRPr="00DB478E" w:rsidRDefault="00DB478E" w:rsidP="00DB478E">
      <w:pPr>
        <w:pStyle w:val="Textonotapie"/>
        <w:spacing w:after="200"/>
        <w:ind w:left="567" w:hanging="567"/>
        <w:jc w:val="both"/>
        <w:rPr>
          <w:lang w:val="es-MX"/>
        </w:rPr>
      </w:pPr>
      <w:r>
        <w:rPr>
          <w:rStyle w:val="Refdenotaalpie"/>
        </w:rPr>
        <w:footnoteRef/>
      </w:r>
      <w:r>
        <w:t xml:space="preserve"> </w:t>
      </w:r>
      <w:r>
        <w:tab/>
      </w:r>
      <w:r w:rsidRPr="00DB478E">
        <w:rPr>
          <w:b/>
        </w:rPr>
        <w:t>LEY N° 29571, CÓDIGO DE PROTECCIÓN Y DEFENSA DEL CONSUMIDOR</w:t>
      </w:r>
      <w:r>
        <w:rPr>
          <w:b/>
        </w:rPr>
        <w:tab/>
      </w:r>
      <w:r>
        <w:rPr>
          <w:b/>
        </w:rPr>
        <w:br/>
      </w:r>
      <w:r w:rsidRPr="00DB478E">
        <w:rPr>
          <w:b/>
          <w:lang w:val="es-MX"/>
        </w:rPr>
        <w:t>Artículo 116.- Acuerdos que concluyen el procedimiento</w:t>
      </w:r>
      <w:r>
        <w:rPr>
          <w:b/>
          <w:lang w:val="es-MX"/>
        </w:rPr>
        <w:tab/>
      </w:r>
      <w:r>
        <w:rPr>
          <w:b/>
          <w:lang w:val="es-MX"/>
        </w:rPr>
        <w:br/>
      </w:r>
      <w:r w:rsidRPr="00DB478E">
        <w:rPr>
          <w:lang w:val="es-MX"/>
        </w:rPr>
        <w:t>Las partes pueden acordar someter la controversia a arbitraje, conciliación o mediación, o arribar a una transacción, desistimiento, o cualquier otro acuerdo que implique el fin del procedimiento en cualquier etapa del mismo. En este supuesto, la autoridad que conoce del procedimiento procede a su conclusión, correspondiéndole el conocimiento del expediente a la instancia correspondiente, para lo cual tiene en consideración lo establecido en la materia por la ley. Sin perjuicio de lo expuesto y de la naturaleza del acuerdo, la Comisión de Protección al Consumidor podrá, de considerarlo pertinente, continuar de oficio con el procedimiento.</w:t>
      </w:r>
      <w:r>
        <w:rPr>
          <w:lang w:val="es-MX"/>
        </w:rPr>
        <w:tab/>
      </w:r>
      <w:r>
        <w:rPr>
          <w:lang w:val="es-MX"/>
        </w:rPr>
        <w:br/>
      </w:r>
      <w:r>
        <w:rPr>
          <w:lang w:val="es-MX"/>
        </w:rPr>
        <w:tab/>
      </w:r>
      <w:r>
        <w:rPr>
          <w:lang w:val="es-MX"/>
        </w:rPr>
        <w:br/>
      </w:r>
      <w:r w:rsidRPr="00DB478E">
        <w:rPr>
          <w:b/>
          <w:lang w:val="es-MX"/>
        </w:rPr>
        <w:t>TUO DE LA LEY DEL PROCEDIMIENTO ADMINISTRATIVO GENERAL (DECRETO SUPREMO N° 006-2026-JUS)</w:t>
      </w:r>
      <w:r>
        <w:rPr>
          <w:b/>
          <w:lang w:val="es-MX"/>
        </w:rPr>
        <w:tab/>
      </w:r>
      <w:r>
        <w:rPr>
          <w:b/>
          <w:lang w:val="es-MX"/>
        </w:rPr>
        <w:br/>
      </w:r>
      <w:r w:rsidRPr="00DB478E">
        <w:rPr>
          <w:b/>
          <w:lang w:val="es-MX"/>
        </w:rPr>
        <w:t>Artículo 200.- Desistimiento del procedimiento o de la pretensión</w:t>
      </w:r>
      <w:r>
        <w:rPr>
          <w:b/>
          <w:lang w:val="es-MX"/>
        </w:rPr>
        <w:tab/>
      </w:r>
      <w:r>
        <w:rPr>
          <w:b/>
          <w:lang w:val="es-MX"/>
        </w:rPr>
        <w:br/>
      </w:r>
      <w:r w:rsidRPr="00DB478E">
        <w:rPr>
          <w:lang w:val="es-MX"/>
        </w:rPr>
        <w:t>(…)</w:t>
      </w:r>
      <w:r>
        <w:rPr>
          <w:lang w:val="es-MX"/>
        </w:rPr>
        <w:tab/>
      </w:r>
      <w:r>
        <w:rPr>
          <w:lang w:val="es-MX"/>
        </w:rPr>
        <w:br/>
      </w:r>
      <w:r w:rsidRPr="00DB478E">
        <w:rPr>
          <w:lang w:val="es-MX"/>
        </w:rPr>
        <w:t>200.3 El desistimiento de alguna pretensión no implica desistirse del procedimiento, el cual continuará respecto a las demás pretensiones no comprendidas. El desistimiento del procedimiento importará la culminación de los actos procedimentales; pero no impedirá que posteriormente vuelva a plantearse igual pretensión en otro procedimiento.</w:t>
      </w:r>
      <w:r>
        <w:rPr>
          <w:lang w:val="es-MX"/>
        </w:rPr>
        <w:tab/>
      </w:r>
      <w:r>
        <w:rPr>
          <w:lang w:val="es-MX"/>
        </w:rPr>
        <w:br/>
      </w:r>
      <w:r w:rsidRPr="00DB478E">
        <w:rPr>
          <w:lang w:val="es-MX"/>
        </w:rPr>
        <w:t>200.4 El desistimiento sólo afectará a quienes lo hubieren formulado.</w:t>
      </w:r>
      <w:r>
        <w:rPr>
          <w:lang w:val="es-MX"/>
        </w:rPr>
        <w:tab/>
      </w:r>
      <w:r>
        <w:rPr>
          <w:lang w:val="es-MX"/>
        </w:rPr>
        <w:br/>
      </w:r>
      <w:r w:rsidRPr="00DB478E">
        <w:rPr>
          <w:lang w:val="es-MX"/>
        </w:rPr>
        <w:t>200.5 El desistimiento podrá hacerse por cualquier medio que permita su constancia y señalando su contenido y alcance. Debe preceder a la resolución que ponga fin al procedimiento.</w:t>
      </w:r>
      <w:r>
        <w:rPr>
          <w:lang w:val="es-MX"/>
        </w:rPr>
        <w:tab/>
      </w:r>
      <w:r>
        <w:rPr>
          <w:lang w:val="es-MX"/>
        </w:rPr>
        <w:br/>
      </w:r>
      <w:r w:rsidRPr="00DB478E">
        <w:rPr>
          <w:lang w:val="es-MX"/>
        </w:rPr>
        <w:t>(...)</w:t>
      </w:r>
    </w:p>
  </w:footnote>
  <w:footnote w:id="12">
    <w:p w14:paraId="1820931A" w14:textId="61A047D6" w:rsidR="00DB478E" w:rsidRPr="00DB478E" w:rsidRDefault="00DB478E" w:rsidP="00DB478E">
      <w:pPr>
        <w:pStyle w:val="Textonotapie"/>
        <w:spacing w:after="200"/>
        <w:ind w:left="567" w:hanging="567"/>
        <w:jc w:val="both"/>
        <w:rPr>
          <w:lang w:val="es-MX"/>
        </w:rPr>
      </w:pPr>
      <w:r>
        <w:rPr>
          <w:rStyle w:val="Refdenotaalpie"/>
        </w:rPr>
        <w:footnoteRef/>
      </w:r>
      <w:r>
        <w:t xml:space="preserve"> </w:t>
      </w:r>
      <w:r>
        <w:tab/>
      </w:r>
      <w:r w:rsidRPr="00DB478E">
        <w:rPr>
          <w:b/>
        </w:rPr>
        <w:t>RESOLUCIÓN N° 138-2022-INDECOPI-COD</w:t>
      </w:r>
      <w:r>
        <w:rPr>
          <w:b/>
        </w:rPr>
        <w:tab/>
      </w:r>
      <w:r>
        <w:rPr>
          <w:b/>
        </w:rPr>
        <w:br/>
      </w:r>
      <w:r w:rsidRPr="00DB478E">
        <w:rPr>
          <w:b/>
          <w:lang w:val="es-MX"/>
        </w:rPr>
        <w:t>Artículo 1.-</w:t>
      </w:r>
      <w:r w:rsidRPr="00DB478E">
        <w:rPr>
          <w:lang w:val="es-MX"/>
        </w:rPr>
        <w:t xml:space="preserve"> Aprobar la </w:t>
      </w:r>
      <w:r w:rsidRPr="00DB478E">
        <w:rPr>
          <w:b/>
          <w:lang w:val="es-MX"/>
        </w:rPr>
        <w:t>Directiva N° 001-2022-DIR-COD-INDECOPI</w:t>
      </w:r>
      <w:r w:rsidRPr="00DB478E">
        <w:rPr>
          <w:lang w:val="es-MX"/>
        </w:rPr>
        <w:t xml:space="preserve"> “Directiva que aprueba el régimen de delegación de facultades y de representación para la participación de audiencias de conciliación, la atención de requerimientos de información y el empleo de casilla electrónica en los procedimientos administrativos que se siguen ante el Indecopi”, que se adjunta y forma parte integrante de la presente Resolución.</w:t>
      </w:r>
      <w:r>
        <w:rPr>
          <w:lang w:val="es-MX"/>
        </w:rPr>
        <w:tab/>
      </w:r>
      <w:r>
        <w:rPr>
          <w:lang w:val="es-MX"/>
        </w:rPr>
        <w:br/>
      </w:r>
      <w:r w:rsidRPr="00DB478E">
        <w:rPr>
          <w:lang w:val="es-MX"/>
        </w:rPr>
        <w:t>(...)</w:t>
      </w:r>
      <w:r>
        <w:rPr>
          <w:lang w:val="es-MX"/>
        </w:rPr>
        <w:tab/>
      </w:r>
      <w:r>
        <w:rPr>
          <w:lang w:val="es-MX"/>
        </w:rPr>
        <w:br/>
      </w:r>
      <w:r>
        <w:rPr>
          <w:lang w:val="es-MX"/>
        </w:rPr>
        <w:tab/>
      </w:r>
      <w:r>
        <w:rPr>
          <w:lang w:val="es-MX"/>
        </w:rPr>
        <w:br/>
      </w:r>
      <w:r w:rsidRPr="00DB478E">
        <w:rPr>
          <w:b/>
          <w:lang w:val="es-MX"/>
        </w:rPr>
        <w:t>DIRECTIVA QUE APRUEBA EL RÉGIMEN DE DELEGACIÓN DE FACULTADES Y DE REPRESENTACIÓN PARA LA PARTICIPACIÓN EN AUDIENCIAS DE CONCILIACIÓN, LA ATENCIÓN DE REQUERIMIENTOS DE INFORMACIÓN Y EL EMPLEO DE CASILLA ELECTRÓNICA EN LOS PROCEDIMIENTOS ADMINISTRATIVOS QUE SE SIGUEN ANTE EL INDECOPI</w:t>
      </w:r>
      <w:r>
        <w:rPr>
          <w:b/>
          <w:lang w:val="es-MX"/>
        </w:rPr>
        <w:tab/>
      </w:r>
      <w:r>
        <w:rPr>
          <w:b/>
          <w:lang w:val="es-MX"/>
        </w:rPr>
        <w:br/>
      </w:r>
      <w:r w:rsidRPr="00DB478E">
        <w:rPr>
          <w:b/>
          <w:lang w:val="es-MX"/>
        </w:rPr>
        <w:t>DIRECTIVA Nº 001-2022-DIR-COD-INDECOPI</w:t>
      </w:r>
      <w:r>
        <w:rPr>
          <w:b/>
          <w:lang w:val="es-MX"/>
        </w:rPr>
        <w:tab/>
      </w:r>
      <w:r>
        <w:rPr>
          <w:b/>
          <w:lang w:val="es-MX"/>
        </w:rPr>
        <w:br/>
      </w:r>
      <w:r w:rsidRPr="00DB478E">
        <w:rPr>
          <w:lang w:val="es-MX"/>
        </w:rPr>
        <w:t>(...)</w:t>
      </w:r>
      <w:r>
        <w:rPr>
          <w:lang w:val="es-MX"/>
        </w:rPr>
        <w:tab/>
      </w:r>
      <w:r>
        <w:rPr>
          <w:lang w:val="es-MX"/>
        </w:rPr>
        <w:br/>
      </w:r>
      <w:r w:rsidRPr="00DB478E">
        <w:rPr>
          <w:b/>
          <w:lang w:val="es-MX"/>
        </w:rPr>
        <w:t>4. DISPOSICIONES GENERALES</w:t>
      </w:r>
      <w:r>
        <w:rPr>
          <w:b/>
          <w:lang w:val="es-MX"/>
        </w:rPr>
        <w:tab/>
      </w:r>
      <w:r>
        <w:rPr>
          <w:b/>
          <w:lang w:val="es-MX"/>
        </w:rPr>
        <w:br/>
      </w:r>
      <w:r w:rsidRPr="00DB478E">
        <w:rPr>
          <w:b/>
          <w:lang w:val="es-MX"/>
        </w:rPr>
        <w:t>4.1. Formalidad para la presentación de los poderes</w:t>
      </w:r>
      <w:r>
        <w:rPr>
          <w:b/>
          <w:lang w:val="es-MX"/>
        </w:rPr>
        <w:tab/>
      </w:r>
      <w:r>
        <w:rPr>
          <w:b/>
          <w:lang w:val="es-MX"/>
        </w:rPr>
        <w:br/>
      </w:r>
      <w:r w:rsidRPr="00DB478E">
        <w:rPr>
          <w:lang w:val="es-MX"/>
        </w:rPr>
        <w:t>El otorgamiento de poderes para el ejercicio de las facultades reguladas en el artículo 115 del CPDC, el artículo 29 del DL 807, la delegación de facultades para absolver requerimientos de información que se efectúen al amparo del artículo 15 del DL 807; así como, para administrar y/o gestionar el buzón asociado a una Casilla Electrónica institucional de conformidad con la Directiva N° 001-2013/TRI-INDECOPI y sus modificatorias, debe ser presentado ante el órgano respectivo dentro del plazo otorgado y estar acompañado de su correspondiente declaración jurada, a fin de que obre en el expediente correspondiente.</w:t>
      </w:r>
      <w:r>
        <w:rPr>
          <w:lang w:val="es-MX"/>
        </w:rPr>
        <w:tab/>
      </w:r>
      <w:r>
        <w:rPr>
          <w:lang w:val="es-MX"/>
        </w:rPr>
        <w:br/>
      </w:r>
      <w:r w:rsidRPr="00DB478E">
        <w:rPr>
          <w:lang w:val="es-MX"/>
        </w:rPr>
        <w:t>Solo en el caso en el que se utilice una carta poder para el otorgamiento de poder, la delegación de facultades y/o representación, el documento que la contiene debe indicar obligatoriamente:</w:t>
      </w:r>
      <w:r>
        <w:rPr>
          <w:lang w:val="es-MX"/>
        </w:rPr>
        <w:tab/>
      </w:r>
      <w:r>
        <w:rPr>
          <w:lang w:val="es-MX"/>
        </w:rPr>
        <w:br/>
      </w:r>
      <w:r w:rsidRPr="00DB478E">
        <w:rPr>
          <w:lang w:val="es-MX"/>
        </w:rPr>
        <w:t>i) Nombre o razón social del poderdante.</w:t>
      </w:r>
      <w:r>
        <w:rPr>
          <w:lang w:val="es-MX"/>
        </w:rPr>
        <w:tab/>
      </w:r>
      <w:r>
        <w:rPr>
          <w:lang w:val="es-MX"/>
        </w:rPr>
        <w:br/>
      </w:r>
      <w:r w:rsidRPr="00DB478E">
        <w:rPr>
          <w:lang w:val="es-MX"/>
        </w:rPr>
        <w:t>ii) Nombre del apoderado.</w:t>
      </w:r>
      <w:r>
        <w:rPr>
          <w:lang w:val="es-MX"/>
        </w:rPr>
        <w:tab/>
      </w:r>
      <w:r>
        <w:rPr>
          <w:lang w:val="es-MX"/>
        </w:rPr>
        <w:br/>
      </w:r>
      <w:r w:rsidRPr="00DB478E">
        <w:rPr>
          <w:lang w:val="es-MX"/>
        </w:rPr>
        <w:t>iii) Domicilio legal del poderdante, correo electrónico y/o número telefónico.</w:t>
      </w:r>
      <w:r>
        <w:rPr>
          <w:lang w:val="es-MX"/>
        </w:rPr>
        <w:tab/>
      </w:r>
      <w:r>
        <w:rPr>
          <w:lang w:val="es-MX"/>
        </w:rPr>
        <w:br/>
      </w:r>
      <w:r w:rsidRPr="00DB478E">
        <w:rPr>
          <w:lang w:val="es-MX"/>
        </w:rPr>
        <w:t>iv) Facultades expresamente otorgadas, indicando claramente la fecha y firma del poderdante.</w:t>
      </w:r>
      <w:r>
        <w:rPr>
          <w:lang w:val="es-MX"/>
        </w:rPr>
        <w:tab/>
      </w:r>
      <w:r>
        <w:rPr>
          <w:lang w:val="es-MX"/>
        </w:rPr>
        <w:br/>
      </w:r>
      <w:r w:rsidRPr="00DB478E">
        <w:rPr>
          <w:lang w:val="es-MX"/>
        </w:rPr>
        <w:t>(...).</w:t>
      </w:r>
    </w:p>
  </w:footnote>
  <w:footnote w:id="13">
    <w:p w14:paraId="3A57EFC9" w14:textId="3502FA95" w:rsidR="00DB478E" w:rsidRPr="00DB478E" w:rsidRDefault="00DB478E" w:rsidP="00DB478E">
      <w:pPr>
        <w:pStyle w:val="Textonotapie"/>
        <w:spacing w:after="200"/>
        <w:ind w:left="567" w:hanging="567"/>
        <w:jc w:val="both"/>
        <w:rPr>
          <w:lang w:val="es-MX"/>
        </w:rPr>
      </w:pPr>
      <w:r>
        <w:rPr>
          <w:rStyle w:val="Refdenotaalpie"/>
        </w:rPr>
        <w:footnoteRef/>
      </w:r>
      <w:r>
        <w:t xml:space="preserve"> </w:t>
      </w:r>
      <w:r>
        <w:tab/>
      </w:r>
      <w:r w:rsidRPr="00DB478E">
        <w:rPr>
          <w:b/>
        </w:rPr>
        <w:t>TUO DE LA LEY DEL PROCEDIMIENTO ADMINISTRATIVO GENERAL (DECRETO SUPREMO N° 006-2026-JUS)</w:t>
      </w:r>
      <w:r>
        <w:rPr>
          <w:b/>
        </w:rPr>
        <w:tab/>
      </w:r>
      <w:r>
        <w:rPr>
          <w:b/>
        </w:rPr>
        <w:br/>
      </w:r>
      <w:r w:rsidRPr="00DB478E">
        <w:rPr>
          <w:b/>
          <w:lang w:val="es-MX"/>
        </w:rPr>
        <w:t>Artículo 20.- Modalidades de notificación</w:t>
      </w:r>
      <w:r>
        <w:rPr>
          <w:b/>
          <w:lang w:val="es-MX"/>
        </w:rPr>
        <w:tab/>
      </w:r>
      <w:r>
        <w:rPr>
          <w:b/>
          <w:lang w:val="es-MX"/>
        </w:rPr>
        <w:br/>
      </w:r>
      <w:r w:rsidRPr="00DB478E">
        <w:rPr>
          <w:lang w:val="es-MX"/>
        </w:rPr>
        <w:t>20.1 Las notificaciones son efectuadas a través de las siguientes modalidades, según este respectivo orden de prelación:</w:t>
      </w:r>
      <w:r>
        <w:rPr>
          <w:lang w:val="es-MX"/>
        </w:rPr>
        <w:tab/>
      </w:r>
      <w:r>
        <w:rPr>
          <w:lang w:val="es-MX"/>
        </w:rPr>
        <w:br/>
      </w:r>
      <w:r w:rsidRPr="00DB478E">
        <w:rPr>
          <w:lang w:val="es-MX"/>
        </w:rPr>
        <w:t>(...)</w:t>
      </w:r>
      <w:r>
        <w:rPr>
          <w:lang w:val="es-MX"/>
        </w:rPr>
        <w:tab/>
      </w:r>
      <w:r>
        <w:rPr>
          <w:lang w:val="es-MX"/>
        </w:rPr>
        <w:br/>
      </w:r>
      <w:r w:rsidRPr="00DB478E">
        <w:rPr>
          <w:lang w:val="es-MX"/>
        </w:rPr>
        <w:t>2. Mediante correo electrónico u otro medio electrónico o telemático que permita comprobar fehacientemente su despacho y su recepción, siempre que el administrado haya autorizado expresamente y por escrito el uso de este medio de notificación o se proceda de conformidad con el numeral 20.4 del presente artículo.</w:t>
      </w:r>
      <w:r>
        <w:rPr>
          <w:lang w:val="es-MX"/>
        </w:rPr>
        <w:tab/>
      </w:r>
      <w:r>
        <w:rPr>
          <w:lang w:val="es-MX"/>
        </w:rPr>
        <w:br/>
      </w:r>
      <w:r w:rsidRPr="00DB478E">
        <w:rPr>
          <w:lang w:val="es-MX"/>
        </w:rPr>
        <w:t>20.4 El administrado e interesado prestan su consentimiento expreso para que la entidad cumpla con notificar cualquier acto administrativo al amparo del presente procedimiento mediante la casilla electrónica administrada por el Ministerio de Transportes y Comunicaciones o la que se establezca por norma expresa. Excepcionalmente y de manera adicional, las entidades notificarán, la resolución que pone fin al procedimiento, mediante el sistema de casilla electrónica o el correo electrónico a que se refiere el numeral 20.1.</w:t>
      </w:r>
      <w:r>
        <w:rPr>
          <w:lang w:val="es-MX"/>
        </w:rPr>
        <w:tab/>
      </w:r>
      <w:r>
        <w:rPr>
          <w:lang w:val="es-MX"/>
        </w:rPr>
        <w:br/>
      </w:r>
      <w:r w:rsidRPr="00DB478E">
        <w:rPr>
          <w:lang w:val="es-MX"/>
        </w:rPr>
        <w:t>(...).</w:t>
      </w:r>
    </w:p>
  </w:footnote>
  <w:footnote w:id="14">
    <w:p w14:paraId="6B6B7798" w14:textId="76CE4BFC" w:rsidR="00DB478E" w:rsidRPr="00DB478E" w:rsidRDefault="00DB478E" w:rsidP="00DB478E">
      <w:pPr>
        <w:pStyle w:val="Textonotapie"/>
        <w:spacing w:after="200"/>
        <w:ind w:left="567" w:hanging="567"/>
        <w:jc w:val="both"/>
        <w:rPr>
          <w:lang w:val="es-MX"/>
        </w:rPr>
      </w:pPr>
      <w:r>
        <w:rPr>
          <w:rStyle w:val="Refdenotaalpie"/>
        </w:rPr>
        <w:footnoteRef/>
      </w:r>
      <w:r>
        <w:t xml:space="preserve"> </w:t>
      </w:r>
      <w:r>
        <w:tab/>
      </w:r>
      <w:r w:rsidRPr="00DB478E">
        <w:rPr>
          <w:b/>
        </w:rPr>
        <w:t>DIRECTIVA QUE REGULA EL RÉGIMEN DE NOTIFICACIONES DE LOS ACTOS ADMINISTRATIVOS MEDIANTE EL EMPLEO DEL SISTEMA DE CASILLAS ELECTRÓNICAS DEL INDECOPI</w:t>
      </w:r>
      <w:r>
        <w:rPr>
          <w:b/>
        </w:rPr>
        <w:tab/>
      </w:r>
      <w:r>
        <w:rPr>
          <w:b/>
        </w:rPr>
        <w:br/>
      </w:r>
      <w:r w:rsidRPr="00DB478E">
        <w:rPr>
          <w:b/>
          <w:lang w:val="es-MX"/>
        </w:rPr>
        <w:t>RESOLUCIÓN Nº 052-2020-INDECOPI-COD</w:t>
      </w:r>
      <w:r>
        <w:rPr>
          <w:b/>
          <w:lang w:val="es-MX"/>
        </w:rPr>
        <w:tab/>
      </w:r>
      <w:r>
        <w:rPr>
          <w:b/>
          <w:lang w:val="es-MX"/>
        </w:rPr>
        <w:br/>
      </w:r>
      <w:r w:rsidRPr="00DB478E">
        <w:rPr>
          <w:lang w:val="es-MX"/>
        </w:rPr>
        <w:t>(...)</w:t>
      </w:r>
      <w:r>
        <w:rPr>
          <w:lang w:val="es-MX"/>
        </w:rPr>
        <w:tab/>
      </w:r>
      <w:r>
        <w:rPr>
          <w:lang w:val="es-MX"/>
        </w:rPr>
        <w:br/>
      </w:r>
      <w:r w:rsidRPr="00DB478E">
        <w:rPr>
          <w:b/>
          <w:lang w:val="es-MX"/>
        </w:rPr>
        <w:t>7.3 Recepción y Acuse de la notificación en la Casilla Electrónica.</w:t>
      </w:r>
      <w:r>
        <w:rPr>
          <w:b/>
          <w:lang w:val="es-MX"/>
        </w:rPr>
        <w:tab/>
      </w:r>
      <w:r>
        <w:rPr>
          <w:b/>
          <w:lang w:val="es-MX"/>
        </w:rPr>
        <w:br/>
      </w:r>
      <w:r w:rsidRPr="00DB478E">
        <w:rPr>
          <w:lang w:val="es-MX"/>
        </w:rPr>
        <w:t>Al ingresar a su Casilla Electrónica para acceder al contenido del acto administrativo notificado, el Usuario del Sistema genera automáticamente el Acuse de Recibo en el Sistema de Casillas Electrónicas del Indecopi, por lo que, para todo efecto legal se tendrá por válidamente notificado con la respectiva fecha y hora de emisión del Acuse de Recibo.</w:t>
      </w:r>
      <w:r>
        <w:rPr>
          <w:lang w:val="es-MX"/>
        </w:rPr>
        <w:tab/>
      </w:r>
      <w:r>
        <w:rPr>
          <w:lang w:val="es-MX"/>
        </w:rPr>
        <w:br/>
      </w:r>
      <w:r w:rsidRPr="00DB478E">
        <w:rPr>
          <w:lang w:val="es-MX"/>
        </w:rPr>
        <w:t>En caso que el Usuario del Sistema no acceda al contenido del acto administrativo notificado dentro de los cinco (5) días hábiles siguientes a la fecha de remisión del mismo a su Casilla Electrónica, el Acuse de Recibo se generará de manera automática en el Sistema de Casillas Electrónicas del Indecopi con la fecha y hora de vencimiento del aludido plazo, por lo que, para todo efecto legal se tendrá por válidamente notificado.</w:t>
      </w:r>
      <w:r>
        <w:rPr>
          <w:lang w:val="es-MX"/>
        </w:rPr>
        <w:tab/>
      </w:r>
      <w:r>
        <w:rPr>
          <w:lang w:val="es-MX"/>
        </w:rPr>
        <w:br/>
      </w:r>
      <w:r w:rsidRPr="00DB478E">
        <w:rPr>
          <w:lang w:val="es-MX"/>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390470296">
    <w:abstractNumId w:val="8"/>
  </w:num>
  <w:num w:numId="2" w16cid:durableId="471866762">
    <w:abstractNumId w:val="1"/>
  </w:num>
  <w:num w:numId="3" w16cid:durableId="811288249">
    <w:abstractNumId w:val="6"/>
  </w:num>
  <w:num w:numId="4" w16cid:durableId="1195801131">
    <w:abstractNumId w:val="3"/>
  </w:num>
  <w:num w:numId="5" w16cid:durableId="1220169242">
    <w:abstractNumId w:val="7"/>
  </w:num>
  <w:num w:numId="6" w16cid:durableId="1358582651">
    <w:abstractNumId w:val="0"/>
  </w:num>
  <w:num w:numId="7" w16cid:durableId="1991905704">
    <w:abstractNumId w:val="4"/>
  </w:num>
  <w:num w:numId="8" w16cid:durableId="161969541">
    <w:abstractNumId w:val="2"/>
  </w:num>
  <w:num w:numId="9" w16cid:durableId="9063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95CB5"/>
    <w:rsid w:val="00DA02A5"/>
    <w:rsid w:val="00DA79A0"/>
    <w:rsid w:val="00DB0075"/>
    <w:rsid w:val="00DB05E2"/>
    <w:rsid w:val="00DB478E"/>
    <w:rsid w:val="00DB4DD5"/>
    <w:rsid w:val="00DB551A"/>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1445</Words>
  <Characters>7948</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 Chavez</cp:lastModifiedBy>
  <cp:revision>2</cp:revision>
  <dcterms:created xsi:type="dcterms:W3CDTF">2026-07-20T07:28:00Z</dcterms:created>
  <dcterms:modified xsi:type="dcterms:W3CDTF">2026-07-20T07:28:00Z</dcterms:modified>
</cp:coreProperties>
</file>