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9154A">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w14:paraId="5D6F077D" w14:textId="77777777" w:rsidR="00902B4F" w:rsidRPr="00902B4F" w:rsidRDefault="00902B4F" w:rsidP="00902B4F">
      <w:pPr>
        <w:pStyle w:val="Prrafodelista"/>
        <w:rPr>
          <w:rFonts w:ascii="Arial Narrow" w:hAnsi="Arial Narrow" w:cs="Arial"/>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w14:paraId="17393585" w14:textId="77777777" w:rsidR="003310C3" w:rsidRPr="003310C3" w:rsidRDefault="003310C3" w:rsidP="003310C3">
      <w:pPr>
        <w:pStyle w:val="Prrafodelista"/>
        <w:rPr>
          <w:rFonts w:ascii="Arial Narrow" w:hAnsi="Arial Narrow"/>
          <w:color w:val="000000" w:themeColor="text1"/>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hAnsi="Arial Narrow" w:cs="Arial"/>
          <w:color w:val="000000" w:themeColor="text1"/>
          <w:sz w:val="16"/>
          <w:szCs w:val="16"/>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w14:paraId="0C6B0AC8" w14:textId="77777777" w:rsidR="00330CCF" w:rsidRPr="00330CCF" w:rsidRDefault="00330CCF" w:rsidP="00330CCF">
      <w:pPr>
        <w:pStyle w:val="Prrafodelista"/>
        <w:rPr>
          <w:rFonts w:ascii="Arial Narrow" w:hAnsi="Arial Narrow" w:cs="Arial"/>
          <w:color w:val="000000" w:themeColor="text1"/>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rPr>
        <w:footnoteReference w:id="4"/>
      </w:r>
      <w:r w:rsidR="004B1619" w:rsidRPr="0039628A">
        <w:rPr>
          <w:rFonts w:ascii="Arial Narrow" w:eastAsia="Arial Narrow" w:hAnsi="Arial Narrow" w:cs="Arial"/>
          <w:bCs/>
          <w:color w:val="000000"/>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27E805BD" w14: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w14:paraId="0B30EA8C" w14:textId="77777777" w:rsidR="00BA0B6C" w:rsidRDefault="00BA0B6C" w:rsidP="00BA0B6C">
      <w:pPr>
        <w:spacing w:after="0" w:line="240" w:lineRule="auto"/>
        <w:jc w:val="both"/>
        <w:rPr>
          <w:rFonts w:ascii="Arial Narrow" w:eastAsia="Times New Roman" w:hAnsi="Arial Narrow"/>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w14:paraId="0FC8D109" w14: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hAnsi="Arial Narrow"/>
          <w:shd w:val="clear" w:color="auto" w:fill="FFFFFF"/>
        </w:rPr>
      </w:pPr>
    </w:p>
    <w:p w14:paraId="0FE62772" w14:textId="77777777" w:rsidR="00087611" w:rsidRDefault="00087611" w:rsidP="0016514E">
      <w:pPr>
        <w:spacing w:line="240" w:lineRule="auto"/>
        <w:jc w:val="both"/>
        <w:rPr>
          <w:rStyle w:val="normaltextrun"/>
          <w:rFonts w:ascii="Arial Narrow" w:hAnsi="Arial Narrow"/>
          <w:shd w:val="clear" w:color="auto" w:fill="FFFFFF"/>
        </w:rPr>
      </w:pPr>
    </w:p>
    <w:p w14:paraId="02A677FC" w14:textId="77777777" w:rsidR="00087611" w:rsidRPr="005F67F0" w:rsidRDefault="00087611" w:rsidP="0016514E">
      <w:pPr>
        <w:spacing w:line="240" w:lineRule="auto"/>
        <w:jc w:val="both"/>
        <w:rPr>
          <w:b/>
          <w:bCs/>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w14:paraId="30D2A63E" w14: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F7B410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w:t>
      </w:r>
      <w:r w:rsidR="00042A1E">
        <w:rPr>
          <w:rFonts w:ascii="Arial Narrow" w:hAnsi="Arial Narrow"/>
        </w:rPr>
        <w:t xml:space="preserve"> </w:t>
      </w:r>
      <w:r w:rsidR="00B5043F">
        <w:rPr>
          <w:rFonts w:ascii="Arial Narrow" w:hAnsi="Arial Narrow"/>
        </w:rPr>
        <w:t>1 de setiembre de 2025</w:t>
      </w:r>
      <w:r w:rsidR="00526F09">
        <w:rPr>
          <w:rFonts w:ascii="Arial Narrow" w:hAnsi="Arial Narrow"/>
        </w:rPr>
        <w:t>,</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831226">
        <w:rPr>
          <w:rFonts w:ascii="Arial Narrow" w:hAnsi="Arial Narrow"/>
        </w:rPr>
        <w:t xml:space="preserve">Pacífico Compañía de Seguros y Reaseguros 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 xml:space="preserve">alegaciones y </w:t>
      </w:r>
      <w:r w:rsidR="002764B0" w:rsidRPr="00615915">
        <w:rPr>
          <w:rFonts w:ascii="Arial Narrow" w:hAnsi="Arial Narrow" w:cs="Arial"/>
          <w:lang w:val="es-ES" w:eastAsia="es-ES"/>
        </w:rPr>
        <w:lastRenderedPageBreak/>
        <w:t>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1C3EE44" w14: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13E58474" w14:textId="77777777" w:rsidR="00831226" w:rsidRPr="000F5200" w:rsidRDefault="00831226"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3CBA8833" w14: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