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1B0767" w14:textId="77777777" w:rsidR="00CA59A2" w:rsidRPr="00717AB7" w:rsidRDefault="00CA59A2" w:rsidP="00717AB7">
      <w:pPr>
        <w:tabs>
          <w:tab w:val="left" w:pos="1701"/>
        </w:tabs>
        <w:spacing w:after="0" w:line="240" w:lineRule="auto"/>
        <w:jc w:val="both"/>
        <w:rPr>
          <w:rFonts w:ascii="Arial Narrow" w:eastAsia="Times New Roman" w:hAnsi="Arial Narrow" w:cs="Times New Roman"/>
          <w:color w:val="000000"/>
          <w:kern w:val="0"/>
          <w:lang w:eastAsia="es-PE"/>
          <w14:ligatures w14:val="none"/>
        </w:rPr>
      </w:pPr>
      <w:r w:rsidRPr="00717AB7">
        <w:rPr>
          <w:rFonts w:ascii="Arial Narrow" w:eastAsia="Arial Narrow" w:hAnsi="Arial Narrow"/>
          <w:b/>
          <w:color w:val="000000"/>
        </w:rPr>
        <w:t>EXPEDIENTE</w:t>
      </w:r>
      <w:r w:rsidRPr="00717AB7">
        <w:rPr>
          <w:rFonts w:ascii="Arial Narrow" w:eastAsia="Arial Narrow" w:hAnsi="Arial Narrow"/>
          <w:b/>
          <w:color w:val="000000"/>
        </w:rPr>
        <w:tab/>
        <w:t>:</w:t>
      </w:r>
      <w:r w:rsidRPr="00717AB7">
        <w:rPr>
          <w:rFonts w:ascii="Arial Narrow" w:eastAsia="Arial Narrow" w:hAnsi="Arial Narrow"/>
          <w:b/>
          <w:color w:val="000000"/>
        </w:rPr>
        <w:tab/>
        <w:t>2282-2026/CC1</w:t>
      </w:r>
    </w:p>
    <w:p w14:paraId="32F7C160"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b/>
          <w:color w:val="000000"/>
        </w:rPr>
        <w:t xml:space="preserve">DENUNCIANTE:[DENUNCIANTE] (SEÑORA [APELLIDO])</w:t>
      </w:r>
      <w:r w:rsidRPr="00717AB7">
        <w:rPr>
          <w:rFonts w:ascii="Arial Narrow" w:eastAsia="Arial Narrow" w:hAnsi="Arial Narrow"/>
          <w:b/>
          <w:color w:val="000000"/>
        </w:rPr>
        <w:tab/>
        <w:t/>
      </w:r>
      <w:r w:rsidRPr="00717AB7">
        <w:rPr>
          <w:rFonts w:ascii="Arial Narrow" w:eastAsia="Arial Narrow" w:hAnsi="Arial Narrow"/>
          <w:b/>
          <w:color w:val="000000"/>
        </w:rPr>
        <w:tab/>
        <w:t/>
      </w:r>
    </w:p>
    <w:p w14:paraId="65C25A3D" w14:textId="77777777"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b/>
          <w:color w:val="000000"/>
        </w:rPr>
        <w:t>DENUNCIADO</w:t>
      </w:r>
      <w:r w:rsidRPr="00717AB7">
        <w:rPr>
          <w:rFonts w:ascii="Arial Narrow" w:eastAsia="Arial Narrow" w:hAnsi="Arial Narrow"/>
          <w:b/>
          <w:color w:val="000000"/>
        </w:rPr>
        <w:tab/>
        <w:t>:</w:t>
      </w:r>
      <w:r w:rsidRPr="00717AB7">
        <w:rPr>
          <w:rFonts w:ascii="Arial Narrow" w:eastAsia="Arial Narrow" w:hAnsi="Arial Narrow"/>
          <w:b/>
          <w:color w:val="000000"/>
        </w:rPr>
        <w:tab/>
        <w:t>RÍMAC SEGUROS Y REASEGUROS S.A. (RÍMAC)</w:t>
      </w:r>
    </w:p>
    <w:p w14:paraId="6C0CB23F" w14:textId="01973BC6" w:rsidR="00CA59A2" w:rsidRPr="00717AB7" w:rsidRDefault="00CA59A2" w:rsidP="00717AB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MATERIAS</w:t>
      </w:r>
      <w:r w:rsidRPr="00717AB7">
        <w:rPr>
          <w:rFonts w:ascii="Arial Narrow" w:eastAsia="Arial Narrow" w:hAnsi="Arial Narrow" w:cs="Arial Narrow"/>
          <w:b/>
          <w:color w:val="000000"/>
          <w:kern w:val="0"/>
          <w:lang w:eastAsia="es-PE"/>
          <w14:ligatures w14:val="none"/>
        </w:rPr>
        <w:tab/>
        <w:t>:</w:t>
      </w:r>
      <w:r w:rsidR="00717AB7" w:rsidRPr="00717AB7">
        <w:rPr>
          <w:rFonts w:ascii="Arial Narrow" w:eastAsia="Arial Narrow" w:hAnsi="Arial Narrow" w:cs="Arial Narrow"/>
          <w:b/>
          <w:color w:val="000000"/>
          <w:kern w:val="0"/>
          <w:lang w:eastAsia="es-PE"/>
          <w14:ligatures w14:val="none"/>
        </w:rPr>
        <w:t xml:space="preserve"> </w:t>
      </w:r>
      <w:r w:rsidRPr="00717AB7">
        <w:rPr>
          <w:rFonts w:ascii="Arial Narrow" w:eastAsia="Arial Narrow" w:hAnsi="Arial Narrow" w:cs="Arial Narrow"/>
          <w:b/>
          <w:color w:val="000000"/>
          <w:kern w:val="0"/>
          <w:lang w:eastAsia="es-PE"/>
          <w14:ligatures w14:val="none"/>
        </w:rPr>
        <w:t xml:space="preserve"> </w:t>
      </w:r>
      <w:r w:rsidRPr="00717AB7">
        <w:rPr>
          <w:rFonts w:ascii="Arial Narrow" w:eastAsia="Arial Narrow" w:hAnsi="Arial Narrow" w:cs="Arial Narrow"/>
          <w:b/>
          <w:color w:val="000000"/>
          <w:kern w:val="0"/>
          <w:lang w:eastAsia="es-PE"/>
          <w14:ligatures w14:val="none"/>
        </w:rPr>
        <w:tab/>
        <w:t>ADMISIÓN A TRÁMITE</w:t>
      </w:r>
    </w:p>
    <w:p w14:paraId="3E1EFDCB" w14:textId="77777777" w:rsidR="00CA59A2" w:rsidRPr="00717AB7" w:rsidRDefault="00CA59A2" w:rsidP="00717AB7">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 xml:space="preserve">REQUERIMIENTO DE INFORMACIÓN </w:t>
      </w:r>
    </w:p>
    <w:p w14:paraId="45FB2598" w14:textId="77777777" w:rsidR="00CA59A2" w:rsidRPr="00717AB7" w:rsidRDefault="00CA59A2" w:rsidP="00717AB7">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b/>
          <w:color w:val="000000"/>
        </w:rPr>
        <w:t>RESOLUCIÓN</w:t>
      </w:r>
      <w:r w:rsidRPr="00717AB7">
        <w:rPr>
          <w:rFonts w:ascii="Arial Narrow" w:eastAsia="Arial Narrow" w:hAnsi="Arial Narrow"/>
          <w:b/>
          <w:color w:val="000000"/>
        </w:rPr>
        <w:tab/>
        <w:t>:</w:t>
      </w:r>
      <w:r w:rsidRPr="00717AB7">
        <w:rPr>
          <w:rFonts w:ascii="Arial Narrow" w:eastAsia="Arial Narrow" w:hAnsi="Arial Narrow"/>
          <w:b/>
          <w:color w:val="000000"/>
        </w:rPr>
        <w:tab/>
        <w:t>2</w:t>
      </w:r>
    </w:p>
    <w:p w14:paraId="4EDE11AF" w14:textId="77777777"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38593BC5" w14:textId="11B611F5"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717AB7">
        <w:rPr>
          <w:rFonts w:ascii="Arial Narrow" w:eastAsia="Arial Narrow" w:hAnsi="Arial Narrow"/>
          <w:color w:val="000000"/>
        </w:rPr>
        <w:t xml:space="preserve">Lima, </w:t>
      </w:r>
      <w:r w:rsidR="00330361">
        <w:rPr>
          <w:rFonts w:ascii="Arial Narrow" w:eastAsia="Arial Narrow" w:hAnsi="Arial Narrow"/>
          <w:color w:val="000000"/>
        </w:rPr>
        <w:t>20</w:t>
      </w:r>
      <w:r w:rsidRPr="00717AB7">
        <w:rPr>
          <w:rFonts w:ascii="Arial Narrow" w:eastAsia="Arial Narrow" w:hAnsi="Arial Narrow"/>
          <w:color w:val="000000"/>
        </w:rPr>
        <w:t xml:space="preserve"> de julio de 2026</w:t>
      </w:r>
    </w:p>
    <w:p w14:paraId="5256BC32" w14:textId="77777777" w:rsidR="00CA59A2" w:rsidRPr="00717AB7" w:rsidRDefault="00CA59A2" w:rsidP="00717AB7">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647EBCE1" w14:textId="77777777" w:rsidR="00CA59A2" w:rsidRPr="00717AB7" w:rsidRDefault="00CA59A2" w:rsidP="00717AB7">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717AB7">
        <w:rPr>
          <w:rFonts w:ascii="Arial Narrow" w:eastAsia="Arial Narrow" w:hAnsi="Arial Narrow" w:cs="Arial Narrow"/>
          <w:b/>
          <w:color w:val="000000"/>
          <w:kern w:val="0"/>
          <w:lang w:eastAsia="es-PE"/>
          <w14:ligatures w14:val="none"/>
        </w:rPr>
        <w:t xml:space="preserve">HECHOS </w:t>
      </w:r>
    </w:p>
    <w:p w14:paraId="6D20E119" w14:textId="77777777" w:rsidR="00CA59A2" w:rsidRPr="00717AB7" w:rsidRDefault="00CA59A2" w:rsidP="00717AB7">
      <w:pPr>
        <w:spacing w:after="0" w:line="240" w:lineRule="auto"/>
        <w:jc w:val="both"/>
        <w:rPr>
          <w:rFonts w:ascii="Arial Narrow" w:eastAsia="Times New Roman" w:hAnsi="Arial Narrow" w:cs="Times New Roman"/>
          <w:color w:val="000000"/>
          <w:kern w:val="0"/>
          <w:lang w:eastAsia="es-PE"/>
          <w14:ligatures w14:val="none"/>
        </w:rPr>
      </w:pPr>
    </w:p>
    <w:p w14:paraId="2168625D" w14:textId="761F5B6E" w:rsidR="00CA59A2" w:rsidRPr="00717AB7" w:rsidRDefault="00CA59A2" w:rsidP="00717AB7">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color w:val="000000"/>
        </w:rPr>
        <w:t xml:space="preserve">Mediante el escrito del 19 de junio de 2026, la señora [APELLIDO] denunció a Rímac por presuntas infracciones a la Ley 29571, Código de Protección y Defensa del Consumidor (en adelante, el Código), señalando lo siguiente:</w:t>
      </w:r>
      <w:r w:rsidR="00717AB7" w:rsidRPr="00717AB7">
        <w:rPr>
          <w:rStyle w:val="Refdenotaalpie"/>
          <w:rFonts w:ascii="Arial Narrow" w:eastAsia="Arial Narrow" w:hAnsi="Arial Narrow"/>
          <w:color w:val="000000"/>
        </w:rPr>
        <w:footnoteReference w:id="1"/>
      </w:r>
      <w:r w:rsidRPr="00717AB7">
        <w:rPr>
          <w:rFonts w:ascii="Arial Narrow" w:eastAsia="Arial Narrow" w:hAnsi="Arial Narrow"/>
          <w:color w:val="000000"/>
        </w:rPr>
        <w:t/>
      </w:r>
    </w:p>
    <w:p w14:paraId="3C923B03" w14:textId="77777777" w:rsidR="00CA59A2" w:rsidRPr="00717AB7" w:rsidRDefault="00CA59A2" w:rsidP="00717AB7">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42C5FD4" w14:textId="056A0EA4" w:rsidR="00CA59A2" w:rsidRPr="00330361" w:rsidRDefault="00330361" w:rsidP="00330361">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Arial Narrow" w:hAnsi="Arial Narrow"/>
          <w:color w:val="000000"/>
        </w:rPr>
        <w:t>Adquirió</w:t>
      </w:r>
      <w:r w:rsidR="00CA59A2" w:rsidRPr="00717AB7">
        <w:rPr>
          <w:rFonts w:ascii="Arial Narrow" w:eastAsia="Arial Narrow" w:hAnsi="Arial Narrow"/>
          <w:color w:val="000000"/>
        </w:rPr>
        <w:t xml:space="preserve"> el Seguro de Vida – </w:t>
      </w:r>
      <w:r w:rsidR="00CA59A2" w:rsidRPr="00330361">
        <w:rPr>
          <w:rFonts w:ascii="Arial Narrow" w:eastAsia="Arial Narrow" w:hAnsi="Arial Narrow"/>
          <w:color w:val="000000"/>
        </w:rPr>
        <w:t>Póliza 0270578</w:t>
      </w:r>
      <w:r>
        <w:rPr>
          <w:rFonts w:ascii="Arial Narrow" w:eastAsia="Arial Narrow" w:hAnsi="Arial Narrow"/>
          <w:color w:val="000000"/>
        </w:rPr>
        <w:t xml:space="preserve"> emitido por </w:t>
      </w:r>
      <w:r w:rsidRPr="00717AB7">
        <w:rPr>
          <w:rFonts w:ascii="Arial Narrow" w:eastAsia="Arial Narrow" w:hAnsi="Arial Narrow"/>
          <w:color w:val="000000"/>
        </w:rPr>
        <w:t>Rímac</w:t>
      </w:r>
      <w:r w:rsidR="00CA59A2" w:rsidRPr="00330361">
        <w:rPr>
          <w:rFonts w:ascii="Arial Narrow" w:eastAsia="Arial Narrow" w:hAnsi="Arial Narrow"/>
          <w:color w:val="000000"/>
        </w:rPr>
        <w:t>.</w:t>
      </w:r>
      <w:r>
        <w:rPr>
          <w:rFonts w:ascii="Arial Narrow" w:eastAsia="Arial Narrow" w:hAnsi="Arial Narrow"/>
          <w:color w:val="000000"/>
        </w:rPr>
        <w:t xml:space="preserve"> Posteriormente</w:t>
      </w:r>
      <w:r w:rsidR="00CA59A2" w:rsidRPr="00330361">
        <w:rPr>
          <w:rFonts w:ascii="Arial Narrow" w:eastAsia="Arial Narrow" w:hAnsi="Arial Narrow"/>
          <w:color w:val="000000"/>
        </w:rPr>
        <w:t xml:space="preserve">, el 14 de abril de 2026, solicitó la cancelación </w:t>
      </w:r>
      <w:r w:rsidR="00555B9B">
        <w:rPr>
          <w:rFonts w:ascii="Arial Narrow" w:eastAsia="Arial Narrow" w:hAnsi="Arial Narrow"/>
          <w:color w:val="000000"/>
        </w:rPr>
        <w:t xml:space="preserve">del </w:t>
      </w:r>
      <w:r w:rsidR="00555B9B" w:rsidRPr="00717AB7">
        <w:rPr>
          <w:rFonts w:ascii="Arial Narrow" w:eastAsia="Arial Narrow" w:hAnsi="Arial Narrow"/>
          <w:color w:val="000000"/>
        </w:rPr>
        <w:t>Seguro de Vida</w:t>
      </w:r>
      <w:r w:rsidR="00CA59A2" w:rsidRPr="00330361">
        <w:rPr>
          <w:rFonts w:ascii="Arial Narrow" w:eastAsia="Arial Narrow" w:hAnsi="Arial Narrow"/>
          <w:color w:val="000000"/>
        </w:rPr>
        <w:t xml:space="preserve"> y el pago del valor de rescate acumulado. Sin embargo, al efectuarse la liquidación, advirtió que </w:t>
      </w:r>
      <w:r w:rsidR="00555B9B">
        <w:rPr>
          <w:rFonts w:ascii="Arial Narrow" w:eastAsia="Arial Narrow" w:hAnsi="Arial Narrow"/>
          <w:color w:val="000000"/>
        </w:rPr>
        <w:t>la compañía aseguradora</w:t>
      </w:r>
      <w:r w:rsidR="00CA59A2" w:rsidRPr="00330361">
        <w:rPr>
          <w:rFonts w:ascii="Arial Narrow" w:eastAsia="Arial Narrow" w:hAnsi="Arial Narrow"/>
          <w:color w:val="000000"/>
        </w:rPr>
        <w:t xml:space="preserve"> redujo de forma unilateral e injustificada el monto del valor </w:t>
      </w:r>
      <w:r w:rsidR="0031639C">
        <w:rPr>
          <w:rFonts w:ascii="Arial Narrow" w:eastAsia="Arial Narrow" w:hAnsi="Arial Narrow"/>
          <w:color w:val="000000"/>
        </w:rPr>
        <w:t>inicial del indice</w:t>
      </w:r>
      <w:r w:rsidR="00CA59A2" w:rsidRPr="00330361">
        <w:rPr>
          <w:rFonts w:ascii="Arial Narrow" w:eastAsia="Arial Narrow" w:hAnsi="Arial Narrow"/>
          <w:color w:val="000000"/>
        </w:rPr>
        <w:t xml:space="preserve"> de</w:t>
      </w:r>
      <w:r w:rsidR="00555B9B">
        <w:rPr>
          <w:rFonts w:ascii="Arial Narrow" w:eastAsia="Arial Narrow" w:hAnsi="Arial Narrow"/>
          <w:color w:val="000000"/>
        </w:rPr>
        <w:t xml:space="preserve"> </w:t>
      </w:r>
      <w:r w:rsidR="00CA59A2" w:rsidRPr="00330361">
        <w:rPr>
          <w:rFonts w:ascii="Arial Narrow" w:eastAsia="Arial Narrow" w:hAnsi="Arial Narrow"/>
          <w:color w:val="000000"/>
        </w:rPr>
        <w:t>127,77 a 109,80, reduciendo así el capital de rescate en un 12 % aproximadamente.</w:t>
      </w:r>
      <w:r w:rsidR="00555B9B">
        <w:rPr>
          <w:rFonts w:ascii="Arial Narrow" w:eastAsia="Arial Narrow" w:hAnsi="Arial Narrow"/>
          <w:color w:val="000000"/>
        </w:rPr>
        <w:t xml:space="preserve"> </w:t>
      </w:r>
    </w:p>
    <w:p w14:paraId="0FCEC2F0" w14:textId="77777777" w:rsidR="008253FC" w:rsidRPr="00717AB7" w:rsidRDefault="008253FC" w:rsidP="00717AB7">
      <w:pPr>
        <w:spacing w:after="0" w:line="240" w:lineRule="auto"/>
        <w:jc w:val="both"/>
        <w:rPr>
          <w:rFonts w:ascii="Arial Narrow" w:hAnsi="Arial Narrow"/>
        </w:rPr>
      </w:pPr>
    </w:p>
    <w:p w14:paraId="0A193D9F" w14:textId="19F52DD3" w:rsidR="00CA59A2" w:rsidRPr="00717AB7" w:rsidRDefault="00CA59A2" w:rsidP="00717AB7">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717AB7">
        <w:rPr>
          <w:rFonts w:ascii="Arial Narrow" w:eastAsia="Arial Narrow" w:hAnsi="Arial Narrow"/>
          <w:color w:val="000000"/>
        </w:rPr>
        <w:t>Asimismo, evidenció un trato discriminatorio por parte de la compañía aseguradora, toda vez que, ante sus solicitudes, Rímac se negó a dejar sin efecto la actualización del valor cuota, pese a que en un caso análogo (reclamo SBS 26-SBS022241, Póliza 0270962), la compañía aseguradora sí restituyó el valor total de rescate al consumidor afectado, aplicando un trato desigual frente a situaciones idénticas.</w:t>
      </w:r>
    </w:p>
    <w:p w14:paraId="055DA2BC" w14:textId="77777777" w:rsidR="00CA59A2" w:rsidRPr="00717AB7" w:rsidRDefault="00CA59A2" w:rsidP="00717AB7">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438C524" w14:textId="446D019E" w:rsidR="00CA59A2" w:rsidRPr="00717AB7" w:rsidRDefault="00CA59A2" w:rsidP="00717AB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color w:val="000000"/>
        </w:rPr>
        <w:t xml:space="preserve">La señora [APELLIDO] solicitó, en calidad de medida correctiva, que Rímac cumpla con realizar la cancelación inmediata de la póliza y liquidar el importe máximo de rescate completo, dejando sin efecto el ajuste derivado de la actualización del valor cuota. Asimismo, requirió de manera expresa el pago de costas y costos del presente procedimiento.</w:t>
      </w:r>
      <w:r w:rsidR="00C76258">
        <w:rPr>
          <w:rFonts w:ascii="Arial Narrow" w:eastAsia="Arial Narrow" w:hAnsi="Arial Narrow"/>
          <w:color w:val="000000"/>
        </w:rPr>
        <w:t/>
      </w:r>
      <w:r w:rsidRPr="00717AB7">
        <w:rPr>
          <w:rFonts w:ascii="Arial Narrow" w:eastAsia="Arial Narrow" w:hAnsi="Arial Narrow"/>
          <w:color w:val="000000"/>
        </w:rPr>
        <w:t xml:space="preserve"/>
      </w:r>
    </w:p>
    <w:p w14:paraId="40EFE6FA" w14: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lang w:eastAsia="es-PE"/>
          <w14:ligatures w14:val="none"/>
        </w:rPr>
      </w:pPr>
    </w:p>
    <w:p w14:paraId="4E7CDC43"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DE LA ADMISIÓN A TRÁMITE DE LA DENUNCIA</w:t>
      </w:r>
    </w:p>
    <w:p w14:paraId="271ACF35" w14:textId="77777777" w:rsidR="00CA59A2" w:rsidRPr="00717AB7" w:rsidRDefault="00CA59A2" w:rsidP="00717AB7">
      <w:pPr>
        <w:spacing w:after="0" w:line="240" w:lineRule="auto"/>
        <w:contextualSpacing/>
        <w:jc w:val="both"/>
        <w:rPr>
          <w:rFonts w:ascii="Arial Narrow" w:eastAsia="Arial Narrow" w:hAnsi="Arial Narrow" w:cs="Arial Narrow"/>
          <w:b/>
          <w:color w:val="000000"/>
          <w:kern w:val="0"/>
          <w:lang w:eastAsia="es-PE"/>
          <w14:ligatures w14:val="none"/>
        </w:rPr>
      </w:pPr>
      <w:bookmarkStart w:id="0" w:name="_Hlk212795168"/>
      <w:bookmarkStart w:id="1" w:name="_Hlk218848146"/>
    </w:p>
    <w:p w14:paraId="127798AC" w14:textId="1E746EF4" w:rsidR="00C67EE7" w:rsidRPr="00C67EE7" w:rsidRDefault="00CA59A2"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17AB7">
        <w:rPr>
          <w:rFonts w:ascii="Arial Narrow" w:eastAsia="Arial Narrow" w:hAnsi="Arial Narrow"/>
          <w:color w:val="000000"/>
        </w:rPr>
        <w:t xml:space="preserve">La Secretaría Técnica de la </w:t>
      </w:r>
      <w:r w:rsidRPr="00C67EE7">
        <w:rPr>
          <w:rFonts w:ascii="Arial Narrow" w:eastAsia="Arial Narrow" w:hAnsi="Arial Narrow"/>
          <w:color w:val="000000"/>
        </w:rPr>
        <w:t>Comisión de Protección al Consumidor 1</w:t>
      </w:r>
      <w:r w:rsidR="00717AB7" w:rsidRPr="00C67EE7">
        <w:rPr>
          <w:rStyle w:val="Refdenotaalpie"/>
          <w:rFonts w:ascii="Arial Narrow" w:eastAsia="Arial Narrow" w:hAnsi="Arial Narrow"/>
          <w:color w:val="000000"/>
        </w:rPr>
        <w:footnoteReference w:id="2"/>
      </w:r>
      <w:r w:rsidRPr="00C67EE7">
        <w:rPr>
          <w:rFonts w:ascii="Arial Narrow" w:eastAsia="Arial Narrow" w:hAnsi="Arial Narrow"/>
          <w:color w:val="000000"/>
        </w:rPr>
        <w:t xml:space="preserve"> (en adelante, la Secretaría Técnica), en ejercicio de sus facultades</w:t>
      </w:r>
      <w:r w:rsidR="00717AB7" w:rsidRPr="00C67EE7">
        <w:rPr>
          <w:rStyle w:val="Refdenotaalpie"/>
          <w:rFonts w:ascii="Arial Narrow" w:eastAsia="Arial Narrow" w:hAnsi="Arial Narrow"/>
          <w:color w:val="000000"/>
        </w:rPr>
        <w:footnoteReference w:id="3"/>
      </w:r>
      <w:r w:rsidRPr="00C67EE7">
        <w:rPr>
          <w:rFonts w:ascii="Arial Narrow" w:eastAsia="Arial Narrow" w:hAnsi="Arial Narrow"/>
          <w:color w:val="000000"/>
        </w:rPr>
        <w:t xml:space="preserve">, </w:t>
      </w:r>
      <w:r w:rsidR="00C67EE7" w:rsidRPr="00C67EE7">
        <w:rPr>
          <w:rFonts w:ascii="Arial Narrow" w:eastAsia="Times New Roman" w:hAnsi="Arial Narrow" w:cs="Segoe UI"/>
          <w:color w:val="000000"/>
          <w:kern w:val="0"/>
          <w:lang w:eastAsia="es-PE"/>
          <w14:ligatures w14:val="none"/>
        </w:rPr>
        <w:t xml:space="preserve">considera </w:t>
      </w:r>
      <w:r w:rsidR="00C67EE7" w:rsidRPr="00C67EE7">
        <w:rPr>
          <w:rFonts w:ascii="Arial Narrow" w:eastAsia="Arial Narrow" w:hAnsi="Arial Narrow" w:cs="Arial Narrow"/>
          <w:kern w:val="0"/>
          <w14:ligatures w14:val="none"/>
        </w:rPr>
        <w:t xml:space="preserve">que el hecho denunciado, consistente en que </w:t>
      </w:r>
      <w:bookmarkStart w:id="2" w:name="_Hlk213160885"/>
      <w:bookmarkStart w:id="3" w:name="_Hlk213151898"/>
      <w:r w:rsidR="00C67EE7" w:rsidRPr="00C67EE7">
        <w:rPr>
          <w:rFonts w:ascii="Arial Narrow" w:eastAsia="Arial Narrow" w:hAnsi="Arial Narrow"/>
          <w:color w:val="000000"/>
        </w:rPr>
        <w:t>la compañía aseguradora habría reducido de forma injustificada el monto del valor inicial del indice de 127,77 a 109,80 durante la liquidación de la Póliza 0270578 del Seguro de Vida, reduciendo así el valor de rescate que correspondía a la denunciante</w:t>
      </w:r>
      <w:r w:rsidR="00C67EE7" w:rsidRPr="00C67EE7">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w:t>
      </w:r>
      <w:r w:rsidR="00C67EE7" w:rsidRPr="00C67EE7">
        <w:rPr>
          <w:rFonts w:ascii="Arial Narrow" w:eastAsia="Arial Narrow" w:hAnsi="Arial Narrow" w:cs="Arial Narrow"/>
          <w:kern w:val="0"/>
          <w14:ligatures w14:val="none"/>
        </w:rPr>
        <w:lastRenderedPageBreak/>
        <w:t>parte del proveedor y lo que realmente recibió. Por consiguiente, corresponde calificar el hecho materia de denuncia como una presunta infracción al deber de idoneidad, tipificado en los artículos 18 y 19 del Código</w:t>
      </w:r>
      <w:bookmarkStart w:id="4" w:name="_Hlk213160896"/>
      <w:bookmarkEnd w:id="2"/>
      <w:r w:rsidR="00C67EE7" w:rsidRPr="00C67EE7">
        <w:rPr>
          <w:rFonts w:ascii="Arial Narrow" w:eastAsia="Arial Narrow" w:hAnsi="Arial Narrow" w:cs="Arial"/>
          <w:kern w:val="0"/>
          <w:vertAlign w:val="superscript"/>
          <w14:ligatures w14:val="none"/>
        </w:rPr>
        <w:footnoteReference w:id="4"/>
      </w:r>
      <w:bookmarkEnd w:id="4"/>
      <w:r w:rsidR="00C67EE7" w:rsidRPr="00C67EE7">
        <w:rPr>
          <w:rFonts w:ascii="Arial Narrow" w:eastAsia="Arial Narrow" w:hAnsi="Arial Narrow" w:cs="Arial Narrow"/>
          <w:kern w:val="0"/>
          <w14:ligatures w14:val="none"/>
        </w:rPr>
        <w:t>.</w:t>
      </w:r>
      <w:bookmarkEnd w:id="3"/>
    </w:p>
    <w:p w14:paraId="1128B7CF" w14:textId="77777777" w:rsidR="00C67EE7" w:rsidRPr="00C67EE7" w:rsidRDefault="00C67EE7" w:rsidP="00C67EE7">
      <w:pPr>
        <w:spacing w:after="0" w:line="240" w:lineRule="auto"/>
        <w:jc w:val="both"/>
        <w:rPr>
          <w:rFonts w:ascii="Arial Narrow" w:eastAsia="Arial Narrow" w:hAnsi="Arial Narrow" w:cs="Arial Narrow"/>
          <w:kern w:val="0"/>
          <w14:ligatures w14:val="none"/>
        </w:rPr>
      </w:pPr>
    </w:p>
    <w:p w14:paraId="622031F3" w14:textId="330A7BD1" w:rsidR="00C67EE7" w:rsidRPr="002E79B4" w:rsidRDefault="00C67EE7" w:rsidP="00C67EE7">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C67EE7">
        <w:rPr>
          <w:rFonts w:ascii="Arial Narrow" w:eastAsia="Arial Narrow" w:hAnsi="Arial Narrow" w:cs="Arial"/>
          <w:bCs/>
          <w:color w:val="000000"/>
          <w:kern w:val="0"/>
          <w:lang w:eastAsia="es-PE"/>
          <w14:ligatures w14:val="none"/>
        </w:rPr>
        <w:t>Además,</w:t>
      </w:r>
      <w:r w:rsidRPr="00C67EE7">
        <w:rPr>
          <w:rFonts w:ascii="Arial Narrow" w:eastAsia="Arial Narrow" w:hAnsi="Arial Narrow" w:cs="Arial Narrow"/>
          <w:kern w:val="0"/>
          <w14:ligatures w14:val="none"/>
        </w:rPr>
        <w:t xml:space="preserve"> la Secretaría Técnica, en</w:t>
      </w:r>
      <w:r w:rsidRPr="00FB31E4">
        <w:rPr>
          <w:rFonts w:ascii="Arial Narrow" w:eastAsia="Arial Narrow" w:hAnsi="Arial Narrow" w:cs="Arial Narrow"/>
          <w:kern w:val="0"/>
          <w14:ligatures w14:val="none"/>
        </w:rPr>
        <w:t xml:space="preserve"> ejercicio de sus facultades, </w:t>
      </w:r>
      <w:r w:rsidRPr="00FB31E4">
        <w:rPr>
          <w:rFonts w:ascii="Arial Narrow" w:eastAsia="Times New Roman" w:hAnsi="Arial Narrow" w:cs="Arial"/>
          <w:color w:val="000000"/>
          <w:kern w:val="0"/>
          <w:lang w:eastAsia="es-PE"/>
          <w14:ligatures w14:val="none"/>
        </w:rPr>
        <w:t xml:space="preserve">considera </w:t>
      </w:r>
      <w:r w:rsidRPr="00FB31E4">
        <w:rPr>
          <w:rFonts w:ascii="Arial Narrow" w:eastAsia="Arial Narrow" w:hAnsi="Arial Narrow" w:cs="Arial"/>
          <w:kern w:val="0"/>
          <w14:ligatures w14:val="none"/>
        </w:rPr>
        <w:t xml:space="preserve">que el hecho denunciado, consistente en que </w:t>
      </w:r>
      <w:r>
        <w:rPr>
          <w:rFonts w:ascii="Arial Narrow" w:eastAsia="Arial Narrow" w:hAnsi="Arial Narrow"/>
          <w:color w:val="000000"/>
        </w:rPr>
        <w:t>la compañía aseguradora</w:t>
      </w:r>
      <w:r w:rsidRPr="00717AB7">
        <w:rPr>
          <w:rFonts w:ascii="Arial Narrow" w:eastAsia="Arial Narrow" w:hAnsi="Arial Narrow"/>
          <w:color w:val="000000"/>
        </w:rPr>
        <w:t xml:space="preserve"> habría tenido un trato discriminatorio con la denunciante al no dejar sin efecto la actualización del valor </w:t>
      </w:r>
      <w:r>
        <w:rPr>
          <w:rFonts w:ascii="Arial Narrow" w:eastAsia="Arial Narrow" w:hAnsi="Arial Narrow"/>
          <w:color w:val="000000"/>
        </w:rPr>
        <w:t xml:space="preserve">de la </w:t>
      </w:r>
      <w:r w:rsidRPr="00717AB7">
        <w:rPr>
          <w:rFonts w:ascii="Arial Narrow" w:eastAsia="Arial Narrow" w:hAnsi="Arial Narrow"/>
          <w:color w:val="000000"/>
        </w:rPr>
        <w:t xml:space="preserve">cuota </w:t>
      </w:r>
      <w:r>
        <w:rPr>
          <w:rFonts w:ascii="Arial Narrow" w:eastAsia="Arial Narrow" w:hAnsi="Arial Narrow"/>
          <w:color w:val="000000"/>
        </w:rPr>
        <w:t xml:space="preserve">de </w:t>
      </w:r>
      <w:r w:rsidRPr="00717AB7">
        <w:rPr>
          <w:rFonts w:ascii="Arial Narrow" w:eastAsia="Arial Narrow" w:hAnsi="Arial Narrow"/>
          <w:color w:val="000000"/>
        </w:rPr>
        <w:t>la Póliza 0270578</w:t>
      </w:r>
      <w:r>
        <w:rPr>
          <w:rFonts w:ascii="Arial Narrow" w:eastAsia="Arial Narrow" w:hAnsi="Arial Narrow"/>
          <w:color w:val="000000"/>
        </w:rPr>
        <w:t xml:space="preserve"> del Seguro de Vida</w:t>
      </w:r>
      <w:r w:rsidRPr="00717AB7">
        <w:rPr>
          <w:rFonts w:ascii="Arial Narrow" w:eastAsia="Arial Narrow" w:hAnsi="Arial Narrow"/>
          <w:color w:val="000000"/>
        </w:rPr>
        <w:t xml:space="preserve"> ante sus solicitudes, pese a que en un caso análogo </w:t>
      </w:r>
      <w:r>
        <w:rPr>
          <w:rFonts w:ascii="Arial Narrow" w:eastAsia="Arial Narrow" w:hAnsi="Arial Narrow"/>
          <w:color w:val="000000"/>
        </w:rPr>
        <w:t xml:space="preserve">referente a la </w:t>
      </w:r>
      <w:r w:rsidRPr="00717AB7">
        <w:rPr>
          <w:rFonts w:ascii="Arial Narrow" w:eastAsia="Arial Narrow" w:hAnsi="Arial Narrow"/>
          <w:color w:val="000000"/>
        </w:rPr>
        <w:t>Póliza 0270962 sí procedió a restituir el valor total de rescate</w:t>
      </w:r>
      <w:r w:rsidRPr="00FB31E4">
        <w:rPr>
          <w:rFonts w:ascii="Arial Narrow" w:eastAsia="Times New Roman" w:hAnsi="Arial Narrow" w:cs="Segoe UI"/>
          <w:color w:val="000000"/>
          <w:kern w:val="0"/>
          <w:lang w:eastAsia="es-PE"/>
          <w14:ligatures w14:val="none"/>
        </w:rPr>
        <w:t xml:space="preserve">. Por </w:t>
      </w:r>
      <w:r w:rsidRPr="00CD590F">
        <w:rPr>
          <w:rFonts w:ascii="Arial Narrow" w:eastAsia="Times New Roman" w:hAnsi="Arial Narrow" w:cs="Segoe UI"/>
          <w:color w:val="000000"/>
          <w:kern w:val="0"/>
          <w:lang w:eastAsia="es-PE"/>
          <w14:ligatures w14:val="none"/>
        </w:rPr>
        <w:t xml:space="preserve">consiguiente, corresponde calificar el hecho materia de denuncia como una presunta infracción al </w:t>
      </w:r>
      <w:r w:rsidRPr="00CD590F">
        <w:rPr>
          <w:rFonts w:ascii="Arial Narrow" w:eastAsia="Times New Roman" w:hAnsi="Arial Narrow" w:cs="Times New Roman"/>
          <w:color w:val="000000"/>
          <w:kern w:val="0"/>
          <w:shd w:val="clear" w:color="auto" w:fill="FFFFFF"/>
          <w:lang w:eastAsia="es-PE"/>
          <w14:ligatures w14:val="none"/>
        </w:rPr>
        <w:t>a</w:t>
      </w:r>
      <w:r>
        <w:rPr>
          <w:rFonts w:ascii="Arial Narrow" w:eastAsia="Times New Roman" w:hAnsi="Arial Narrow" w:cs="Times New Roman"/>
          <w:color w:val="000000"/>
          <w:kern w:val="0"/>
          <w:shd w:val="clear" w:color="auto" w:fill="FFFFFF"/>
          <w:lang w:eastAsia="es-PE"/>
          <w14:ligatures w14:val="none"/>
        </w:rPr>
        <w:t>rtículo 38</w:t>
      </w:r>
      <w:r w:rsidRPr="00966CD2">
        <w:rPr>
          <w:rFonts w:ascii="Arial Narrow" w:eastAsia="Times New Roman" w:hAnsi="Arial Narrow" w:cs="Times New Roman"/>
          <w:color w:val="000000"/>
          <w:kern w:val="0"/>
          <w:shd w:val="clear" w:color="auto" w:fill="FFFFFF"/>
          <w:lang w:eastAsia="es-PE"/>
          <w14:ligatures w14:val="none"/>
        </w:rPr>
        <w:t/>
      </w:r>
      <w:r>
        <w:rPr>
          <w:rFonts w:ascii="Arial Narrow" w:eastAsia="Times New Roman" w:hAnsi="Arial Narrow" w:cs="Times New Roman"/>
          <w:color w:val="000000"/>
          <w:kern w:val="0"/>
          <w:shd w:val="clear" w:color="auto" w:fill="FFFFFF"/>
          <w:lang w:eastAsia="es-PE"/>
          <w14:ligatures w14:val="none"/>
        </w:rPr>
        <w:t xml:space="preserve"> del </w:t>
      </w:r>
      <w:r w:rsidRPr="00FB31E4">
        <w:rPr>
          <w:rFonts w:ascii="Arial Narrow" w:eastAsia="Arial Narrow" w:hAnsi="Arial Narrow" w:cs="Arial Narrow"/>
          <w:kern w:val="0"/>
          <w14:ligatures w14:val="none"/>
        </w:rPr>
        <w:t>Código</w:t>
      </w:r>
      <w:r w:rsidRPr="00FB31E4">
        <w:rPr>
          <w:rFonts w:ascii="Arial Narrow" w:eastAsia="Arial Narrow" w:hAnsi="Arial Narrow" w:cs="Arial"/>
          <w:kern w:val="0"/>
          <w:vertAlign w:val="superscript"/>
          <w14:ligatures w14:val="none"/>
        </w:rPr>
        <w:footnoteReference w:id="5"/>
      </w:r>
      <w:r w:rsidRPr="00FB31E4">
        <w:rPr>
          <w:rFonts w:ascii="Arial Narrow" w:eastAsia="Arial Narrow" w:hAnsi="Arial Narrow" w:cs="Arial Narrow"/>
          <w:kern w:val="0"/>
          <w14:ligatures w14:val="none"/>
        </w:rPr>
        <w:t>.</w:t>
      </w:r>
    </w:p>
    <w:p w14:paraId="6D8FD687" w14:textId="0829287F" w:rsidR="00121544" w:rsidRPr="00C67EE7" w:rsidRDefault="00121544" w:rsidP="00C67EE7">
      <w:pPr>
        <w:spacing w:after="0" w:line="240" w:lineRule="auto"/>
        <w:jc w:val="both"/>
        <w:rPr>
          <w:rFonts w:ascii="Arial Narrow" w:eastAsia="Arial Narrow" w:hAnsi="Arial Narrow" w:cs="Arial Narrow"/>
          <w:kern w:val="0"/>
          <w14:ligatures w14:val="none"/>
        </w:rPr>
      </w:pPr>
    </w:p>
    <w:bookmarkEnd w:id="0"/>
    <w:bookmarkEnd w:id="1"/>
    <w:p w14:paraId="4225F1AD" w14:textId="77777777" w:rsidR="00CA59A2" w:rsidRPr="00717AB7" w:rsidRDefault="00CA59A2" w:rsidP="00717AB7">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17AB7">
        <w:rPr>
          <w:rFonts w:ascii="Arial Narrow" w:eastAsia="Arial Narrow" w:hAnsi="Arial Narrow" w:cs="Arial"/>
          <w:color w:val="000000"/>
          <w:kern w:val="0"/>
          <w:lang w:eastAsia="es-PE"/>
          <w14:ligatures w14:val="none"/>
        </w:rPr>
        <w:t>En tanto la denuncia reúne los requisitos establecidos por la norma citada, corresponde admitirla a trámite</w:t>
      </w:r>
      <w:r w:rsidRPr="00717AB7">
        <w:rPr>
          <w:rFonts w:ascii="Arial Narrow" w:eastAsia="Arial Narrow" w:hAnsi="Arial Narrow" w:cs="Arial Narrow"/>
          <w:color w:val="000000"/>
          <w:kern w:val="0"/>
          <w:vertAlign w:val="superscript"/>
          <w14:ligatures w14:val="none"/>
        </w:rPr>
        <w:footnoteReference w:id="6"/>
      </w:r>
      <w:r w:rsidRPr="00717AB7">
        <w:rPr>
          <w:rFonts w:ascii="Arial Narrow" w:eastAsia="Arial Narrow" w:hAnsi="Arial Narrow" w:cs="Arial"/>
          <w:color w:val="000000"/>
          <w:kern w:val="0"/>
          <w:lang w:eastAsia="es-PE"/>
          <w14:ligatures w14:val="none"/>
        </w:rPr>
        <w:t>.</w:t>
      </w:r>
    </w:p>
    <w:p w14:paraId="44B564C5" w14:textId="77777777" w:rsidR="00CA59A2" w:rsidRPr="00717AB7" w:rsidRDefault="00CA59A2" w:rsidP="00717AB7">
      <w:pPr>
        <w:spacing w:after="0" w:line="240" w:lineRule="auto"/>
        <w:ind w:left="567"/>
        <w:contextualSpacing/>
        <w:jc w:val="both"/>
        <w:rPr>
          <w:rFonts w:ascii="Arial Narrow" w:eastAsia="Arial Narrow" w:hAnsi="Arial Narrow" w:cs="Arial Narrow"/>
          <w:color w:val="000000"/>
          <w:kern w:val="0"/>
          <w:lang w:eastAsia="es-PE"/>
          <w14:ligatures w14:val="none"/>
        </w:rPr>
      </w:pPr>
      <w:bookmarkStart w:id="5" w:name="_Hlk214963071"/>
    </w:p>
    <w:p w14:paraId="7DE7BB1F" w14:textId="77777777"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t>REQUERIMIENTO DE INFORMACIÓN</w:t>
      </w:r>
    </w:p>
    <w:p w14:paraId="3E028122" w14:textId="77777777" w:rsidR="00CA59A2" w:rsidRPr="00717AB7" w:rsidRDefault="00CA59A2" w:rsidP="00717AB7">
      <w:pPr>
        <w:spacing w:after="0" w:line="240" w:lineRule="auto"/>
        <w:jc w:val="both"/>
        <w:rPr>
          <w:rFonts w:ascii="Arial Narrow" w:eastAsia="Times New Roman" w:hAnsi="Arial Narrow" w:cs="Arial"/>
          <w:color w:val="000000"/>
          <w:kern w:val="0"/>
          <w:lang w:val="es-ES" w:eastAsia="es-ES"/>
          <w14:ligatures w14:val="none"/>
        </w:rPr>
      </w:pPr>
    </w:p>
    <w:p w14:paraId="0120CC59" w14:textId="77777777" w:rsidR="00CA59A2" w:rsidRPr="00717AB7" w:rsidRDefault="00CA59A2" w:rsidP="00717AB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bookmarkEnd w:id="5"/>
    <w:p w14:paraId="624C2163" w14:textId="77777777" w:rsidR="00CA59A2" w:rsidRPr="00717AB7" w:rsidRDefault="00CA59A2" w:rsidP="00717AB7">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DA9AF81" w14:textId="30DB66F4" w:rsidR="00CA59A2" w:rsidRPr="00717AB7" w:rsidRDefault="00CA59A2" w:rsidP="00717AB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17AB7">
        <w:rPr>
          <w:rFonts w:ascii="Arial Narrow" w:eastAsia="Arial Narrow" w:hAnsi="Arial Narrow" w:cs="Arial Narrow"/>
          <w:b/>
          <w:color w:val="000000"/>
          <w:kern w:val="0"/>
          <w:lang w:eastAsia="es-PE"/>
          <w14:ligatures w14:val="none"/>
        </w:rPr>
        <w:lastRenderedPageBreak/>
        <w:t>RESOLUCIÓN DE LA SECRETARÍA TÉCNICA</w:t>
      </w:r>
      <w:r w:rsidR="00717AB7" w:rsidRPr="00717AB7">
        <w:rPr>
          <w:rFonts w:ascii="Arial Narrow" w:eastAsia="Arial Narrow" w:hAnsi="Arial Narrow" w:cs="Arial Narrow"/>
          <w:b/>
          <w:color w:val="000000"/>
          <w:kern w:val="0"/>
          <w:lang w:eastAsia="es-PE"/>
          <w14:ligatures w14:val="none"/>
        </w:rPr>
        <w:t xml:space="preserve"> </w:t>
      </w:r>
    </w:p>
    <w:p w14:paraId="11BEB352" w14:textId="77777777" w:rsidR="00CA59A2" w:rsidRPr="00717AB7" w:rsidRDefault="00CA59A2" w:rsidP="00717AB7">
      <w:pPr>
        <w:spacing w:after="0" w:line="240" w:lineRule="auto"/>
        <w:jc w:val="both"/>
        <w:rPr>
          <w:rFonts w:ascii="Arial Narrow" w:eastAsia="Arial Narrow" w:hAnsi="Arial Narrow" w:cs="Arial Narrow"/>
          <w:b/>
          <w:color w:val="000000"/>
          <w:kern w:val="0"/>
          <w:lang w:eastAsia="es-PE"/>
          <w14:ligatures w14:val="none"/>
        </w:rPr>
      </w:pPr>
    </w:p>
    <w:p w14:paraId="5BF200E4" w14:textId="77777777" w:rsidR="00121544" w:rsidRPr="00717AB7" w:rsidRDefault="00CA59A2" w:rsidP="00717AB7">
      <w:pPr>
        <w:spacing w:after="0" w:line="240" w:lineRule="auto"/>
        <w:jc w:val="both"/>
        <w:rPr>
          <w:rFonts w:ascii="Arial Narrow" w:eastAsia="Calibri" w:hAnsi="Arial Narrow" w:cs="Arial Narrow"/>
          <w:color w:val="000000"/>
          <w:kern w:val="0"/>
          <w:lang w:eastAsia="es-PE"/>
          <w14:ligatures w14:val="none"/>
        </w:rPr>
      </w:pPr>
      <w:r w:rsidRPr="00717AB7">
        <w:rPr>
          <w:rFonts w:ascii="Arial Narrow" w:eastAsia="Arial Narrow" w:hAnsi="Arial Narrow"/>
          <w:b/>
          <w:color w:val="000000"/>
        </w:rPr>
        <w:t xml:space="preserve">PRIMERO: admitir a trámite la denuncia del 19 de junio de 2026 interpuesta por [DENUNCIANTE] contra Rímac Seguros y Reaseguros S.A., por lo siguiente:</w:t>
      </w:r>
      <w:r w:rsidRPr="00717AB7">
        <w:rPr>
          <w:rFonts w:ascii="Arial Narrow" w:eastAsia="Arial Narrow" w:hAnsi="Arial Narrow"/>
          <w:color w:val="000000"/>
        </w:rPr>
        <w:t/>
      </w:r>
    </w:p>
    <w:p w14:paraId="6E191C31" w14:textId="77777777" w:rsidR="00121544" w:rsidRPr="00717AB7" w:rsidRDefault="00121544" w:rsidP="00717AB7">
      <w:pPr>
        <w:spacing w:after="0" w:line="240" w:lineRule="auto"/>
        <w:jc w:val="both"/>
        <w:rPr>
          <w:rFonts w:ascii="Arial Narrow" w:eastAsia="Calibri" w:hAnsi="Arial Narrow" w:cs="Arial Narrow"/>
          <w:color w:val="000000"/>
          <w:kern w:val="0"/>
          <w:lang w:eastAsia="es-PE"/>
          <w14:ligatures w14:val="none"/>
        </w:rPr>
      </w:pPr>
    </w:p>
    <w:p w14:paraId="545B7D2F" w14:textId="5A5FCEFA"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17AB7">
        <w:rPr>
          <w:rFonts w:ascii="Arial Narrow" w:eastAsia="Arial Narrow" w:hAnsi="Arial Narrow"/>
          <w:color w:val="000000"/>
        </w:rPr>
        <w:t xml:space="preserve">Presunta infracción al deber de idoneidad, tipificada en los artículos 18 y 19 de la Ley 29571, Código de Protección y Defensa del Consumidor, en tanto </w:t>
      </w:r>
      <w:r w:rsidR="00605BF8">
        <w:rPr>
          <w:rFonts w:ascii="Arial Narrow" w:eastAsia="Arial Narrow" w:hAnsi="Arial Narrow"/>
          <w:color w:val="000000"/>
        </w:rPr>
        <w:t>la compañía aseguradora</w:t>
      </w:r>
      <w:r w:rsidR="00605BF8" w:rsidRPr="00717AB7">
        <w:rPr>
          <w:rFonts w:ascii="Arial Narrow" w:eastAsia="Arial Narrow" w:hAnsi="Arial Narrow"/>
          <w:color w:val="000000"/>
        </w:rPr>
        <w:t xml:space="preserve"> </w:t>
      </w:r>
      <w:r w:rsidRPr="00717AB7">
        <w:rPr>
          <w:rFonts w:ascii="Arial Narrow" w:eastAsia="Arial Narrow" w:hAnsi="Arial Narrow"/>
          <w:color w:val="000000"/>
        </w:rPr>
        <w:t xml:space="preserve">habría reducido de forma injustificada el monto del </w:t>
      </w:r>
      <w:r w:rsidR="00C613CB" w:rsidRPr="00330361">
        <w:rPr>
          <w:rFonts w:ascii="Arial Narrow" w:eastAsia="Arial Narrow" w:hAnsi="Arial Narrow"/>
          <w:color w:val="000000"/>
        </w:rPr>
        <w:t xml:space="preserve">valor </w:t>
      </w:r>
      <w:r w:rsidR="00C613CB">
        <w:rPr>
          <w:rFonts w:ascii="Arial Narrow" w:eastAsia="Arial Narrow" w:hAnsi="Arial Narrow"/>
          <w:color w:val="000000"/>
        </w:rPr>
        <w:t>inicial del indice</w:t>
      </w:r>
      <w:r w:rsidR="00C613CB" w:rsidRPr="00330361">
        <w:rPr>
          <w:rFonts w:ascii="Arial Narrow" w:eastAsia="Arial Narrow" w:hAnsi="Arial Narrow"/>
          <w:color w:val="000000"/>
        </w:rPr>
        <w:t xml:space="preserve"> </w:t>
      </w:r>
      <w:r w:rsidR="00C613CB">
        <w:rPr>
          <w:rFonts w:ascii="Arial Narrow" w:eastAsia="Arial Narrow" w:hAnsi="Arial Narrow"/>
          <w:color w:val="000000"/>
        </w:rPr>
        <w:t xml:space="preserve">de </w:t>
      </w:r>
      <w:r w:rsidRPr="00717AB7">
        <w:rPr>
          <w:rFonts w:ascii="Arial Narrow" w:eastAsia="Arial Narrow" w:hAnsi="Arial Narrow"/>
          <w:color w:val="000000"/>
        </w:rPr>
        <w:t>127,77 a 109,80 durante la liquidación de la Póliza 0270578</w:t>
      </w:r>
      <w:r w:rsidR="00595E82">
        <w:rPr>
          <w:rFonts w:ascii="Arial Narrow" w:eastAsia="Arial Narrow" w:hAnsi="Arial Narrow"/>
          <w:color w:val="000000"/>
        </w:rPr>
        <w:t xml:space="preserve"> del Seguro de Vida</w:t>
      </w:r>
      <w:r w:rsidRPr="00717AB7">
        <w:rPr>
          <w:rFonts w:ascii="Arial Narrow" w:eastAsia="Arial Narrow" w:hAnsi="Arial Narrow"/>
          <w:color w:val="000000"/>
        </w:rPr>
        <w:t>, reduciendo así el valor de rescate que correspondía a la denunciante.</w:t>
      </w:r>
    </w:p>
    <w:p w14:paraId="54DE57CE" w14:textId="77777777" w:rsidR="008253FC" w:rsidRPr="00717AB7" w:rsidRDefault="008253FC" w:rsidP="00717AB7">
      <w:pPr>
        <w:spacing w:after="0" w:line="240" w:lineRule="auto"/>
        <w:jc w:val="both"/>
        <w:rPr>
          <w:rFonts w:ascii="Arial Narrow" w:hAnsi="Arial Narrow"/>
        </w:rPr>
      </w:pPr>
    </w:p>
    <w:p w14:paraId="70DB4A9B" w14:textId="5B88B10E" w:rsidR="00121544" w:rsidRPr="00717AB7" w:rsidRDefault="00711750" w:rsidP="00717AB7">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717AB7">
        <w:rPr>
          <w:rFonts w:ascii="Arial Narrow" w:eastAsia="Arial Narrow" w:hAnsi="Arial Narrow"/>
          <w:color w:val="000000"/>
        </w:rPr>
        <w:t xml:space="preserve">Presunta infracción a la prohibición de discriminación, tipificada en el artículo 38 de la Ley 29571, Código de Protección y Defensa del Consumidor, en tanto </w:t>
      </w:r>
      <w:r w:rsidR="00605BF8">
        <w:rPr>
          <w:rFonts w:ascii="Arial Narrow" w:eastAsia="Arial Narrow" w:hAnsi="Arial Narrow"/>
          <w:color w:val="000000"/>
        </w:rPr>
        <w:t>la compañía aseguradora</w:t>
      </w:r>
      <w:r w:rsidRPr="00717AB7">
        <w:rPr>
          <w:rFonts w:ascii="Arial Narrow" w:eastAsia="Arial Narrow" w:hAnsi="Arial Narrow"/>
          <w:color w:val="000000"/>
        </w:rPr>
        <w:t xml:space="preserve"> habría tenido un trato discriminatorio con la denunciante al no dejar sin efecto la actualización del valor </w:t>
      </w:r>
      <w:r w:rsidR="00595E82">
        <w:rPr>
          <w:rFonts w:ascii="Arial Narrow" w:eastAsia="Arial Narrow" w:hAnsi="Arial Narrow"/>
          <w:color w:val="000000"/>
        </w:rPr>
        <w:t xml:space="preserve">de la </w:t>
      </w:r>
      <w:r w:rsidRPr="00717AB7">
        <w:rPr>
          <w:rFonts w:ascii="Arial Narrow" w:eastAsia="Arial Narrow" w:hAnsi="Arial Narrow"/>
          <w:color w:val="000000"/>
        </w:rPr>
        <w:t xml:space="preserve">cuota </w:t>
      </w:r>
      <w:r w:rsidR="00595E82">
        <w:rPr>
          <w:rFonts w:ascii="Arial Narrow" w:eastAsia="Arial Narrow" w:hAnsi="Arial Narrow"/>
          <w:color w:val="000000"/>
        </w:rPr>
        <w:t xml:space="preserve">de </w:t>
      </w:r>
      <w:r w:rsidR="00595E82" w:rsidRPr="00717AB7">
        <w:rPr>
          <w:rFonts w:ascii="Arial Narrow" w:eastAsia="Arial Narrow" w:hAnsi="Arial Narrow"/>
          <w:color w:val="000000"/>
        </w:rPr>
        <w:t>la Póliza 0270578</w:t>
      </w:r>
      <w:r w:rsidR="00595E82">
        <w:rPr>
          <w:rFonts w:ascii="Arial Narrow" w:eastAsia="Arial Narrow" w:hAnsi="Arial Narrow"/>
          <w:color w:val="000000"/>
        </w:rPr>
        <w:t xml:space="preserve"> del Seguro de Vida</w:t>
      </w:r>
      <w:r w:rsidR="00595E82" w:rsidRPr="00717AB7">
        <w:rPr>
          <w:rFonts w:ascii="Arial Narrow" w:eastAsia="Arial Narrow" w:hAnsi="Arial Narrow"/>
          <w:color w:val="000000"/>
        </w:rPr>
        <w:t xml:space="preserve"> </w:t>
      </w:r>
      <w:r w:rsidRPr="00717AB7">
        <w:rPr>
          <w:rFonts w:ascii="Arial Narrow" w:eastAsia="Arial Narrow" w:hAnsi="Arial Narrow"/>
          <w:color w:val="000000"/>
        </w:rPr>
        <w:t xml:space="preserve">ante sus solicitudes, pese a que en un caso análogo </w:t>
      </w:r>
      <w:r w:rsidR="00C67EE7">
        <w:rPr>
          <w:rFonts w:ascii="Arial Narrow" w:eastAsia="Arial Narrow" w:hAnsi="Arial Narrow"/>
          <w:color w:val="000000"/>
        </w:rPr>
        <w:t xml:space="preserve">referente a la </w:t>
      </w:r>
      <w:r w:rsidRPr="00717AB7">
        <w:rPr>
          <w:rFonts w:ascii="Arial Narrow" w:eastAsia="Arial Narrow" w:hAnsi="Arial Narrow"/>
          <w:color w:val="000000"/>
        </w:rPr>
        <w:t>Póliza 0270962 sí procedió a restituir el valor total de rescate.</w:t>
      </w:r>
    </w:p>
    <w:p w14:paraId="27CA152B" w14:textId="77777777" w:rsidR="008253FC" w:rsidRPr="00717AB7" w:rsidRDefault="008253FC" w:rsidP="00717AB7">
      <w:pPr>
        <w:spacing w:after="0" w:line="240" w:lineRule="auto"/>
        <w:jc w:val="both"/>
        <w:rPr>
          <w:rFonts w:ascii="Arial Narrow" w:hAnsi="Arial Narrow"/>
        </w:rPr>
      </w:pPr>
    </w:p>
    <w:p w14:paraId="0E9AEC04" w14:textId="77777777" w:rsidR="00CA59A2" w:rsidRPr="00717AB7" w:rsidRDefault="00CA59A2" w:rsidP="00717AB7">
      <w:pPr>
        <w:spacing w:after="0" w:line="240" w:lineRule="auto"/>
        <w:contextualSpacing/>
        <w:jc w:val="both"/>
        <w:rPr>
          <w:rFonts w:ascii="Arial Narrow" w:eastAsia="Calibri" w:hAnsi="Arial Narrow" w:cs="Arial"/>
          <w:kern w:val="0"/>
          <w14:ligatures w14:val="none"/>
        </w:rPr>
      </w:pPr>
      <w:r w:rsidRPr="00717AB7">
        <w:rPr>
          <w:rFonts w:ascii="Arial Narrow" w:eastAsia="Arial Narrow" w:hAnsi="Arial Narrow"/>
          <w:b/>
          <w:color w:val="000000"/>
        </w:rPr>
        <w:t xml:space="preserve">SEGUNDO: </w:t>
      </w:r>
      <w:r w:rsidRPr="00717AB7">
        <w:rPr>
          <w:rFonts w:ascii="Arial Narrow" w:eastAsia="Arial Narrow" w:hAnsi="Arial Narrow"/>
          <w:color w:val="000000"/>
        </w:rPr>
        <w:t>tener por ofrecidos los medios probatorios presentados en el escrito de denuncia del 19 de junio de 2026.</w:t>
      </w:r>
    </w:p>
    <w:p w14:paraId="685CFD50" w14:textId="77777777" w:rsidR="00CA59A2" w:rsidRPr="00717AB7" w:rsidRDefault="00CA59A2" w:rsidP="00717AB7">
      <w:pPr>
        <w:spacing w:after="0" w:line="240" w:lineRule="auto"/>
        <w:contextualSpacing/>
        <w:jc w:val="both"/>
        <w:rPr>
          <w:rFonts w:ascii="Arial Narrow" w:eastAsia="Times New Roman" w:hAnsi="Arial Narrow" w:cs="Times New Roman"/>
          <w:color w:val="000000"/>
          <w:kern w:val="0"/>
          <w:lang w:eastAsia="es-PE"/>
          <w14:ligatures w14:val="none"/>
        </w:rPr>
      </w:pPr>
    </w:p>
    <w:p w14:paraId="526ED82D"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b/>
          <w:color w:val="000000"/>
        </w:rPr>
        <w:t xml:space="preserve">TERCERO: </w:t>
      </w:r>
      <w:r w:rsidRPr="00717AB7">
        <w:rPr>
          <w:rFonts w:ascii="Arial Narrow" w:eastAsia="Arial Narrow" w:hAnsi="Arial Narrow"/>
          <w:color w:val="000000"/>
        </w:rPr>
        <w:t>requerir a Rímac Seguros y Reaseguros S.A. que cumpla con lo siguiente:</w:t>
      </w:r>
    </w:p>
    <w:p w14:paraId="016828B1" w14:textId="77777777" w:rsidR="00CA59A2" w:rsidRPr="00717AB7" w:rsidRDefault="00CA59A2" w:rsidP="00717AB7">
      <w:pPr>
        <w:spacing w:after="0" w:line="240" w:lineRule="auto"/>
        <w:jc w:val="both"/>
        <w:rPr>
          <w:rFonts w:ascii="Arial Narrow" w:eastAsia="Times New Roman" w:hAnsi="Arial Narrow" w:cs="Times New Roman"/>
          <w:color w:val="000000"/>
          <w:kern w:val="0"/>
          <w:lang w:eastAsia="es-PE"/>
          <w14:ligatures w14:val="none"/>
        </w:rPr>
      </w:pPr>
    </w:p>
    <w:p w14:paraId="13EDC8D3"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43DF4D0"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7E58A57" w14:textId="77777777" w:rsidR="00CA59A2" w:rsidRPr="00717AB7" w:rsidRDefault="00CA59A2" w:rsidP="00717AB7">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color w:val="000000"/>
          <w:kern w:val="0"/>
          <w:lang w:eastAsia="es-PE"/>
          <w14:ligatures w14:val="none"/>
        </w:rPr>
        <w:t>consignar el Número de Registro Único de Contribuyentes (RUC); y,</w:t>
      </w:r>
    </w:p>
    <w:p w14:paraId="3BF92BB2" w14:textId="77777777" w:rsidR="00CA59A2" w:rsidRPr="00717AB7" w:rsidRDefault="00CA59A2" w:rsidP="00717AB7">
      <w:pPr>
        <w:numPr>
          <w:ilvl w:val="0"/>
          <w:numId w:val="3"/>
        </w:numPr>
        <w:spacing w:after="0" w:line="240" w:lineRule="auto"/>
        <w:ind w:left="567" w:hanging="567"/>
        <w:jc w:val="both"/>
        <w:rPr>
          <w:rFonts w:ascii="Arial Narrow" w:eastAsia="Calibri" w:hAnsi="Arial Narrow" w:cs="Arial"/>
          <w:kern w:val="0"/>
          <w14:ligatures w14:val="none"/>
        </w:rPr>
      </w:pPr>
      <w:r w:rsidRPr="00717AB7">
        <w:rPr>
          <w:rFonts w:ascii="Arial Narrow" w:eastAsia="Arial Narrow" w:hAnsi="Arial Narrow" w:cs="Arial Narrow"/>
          <w:color w:val="000000"/>
          <w:kern w:val="0"/>
          <w:lang w:eastAsia="es-PE"/>
          <w14:ligatures w14:val="none"/>
        </w:rPr>
        <w:t xml:space="preserve">fijar domicilio procesal para el procedimiento, de conformidad con el numeral 1 del artículo 442 del Código Procesal Civil. </w:t>
      </w:r>
      <w:r w:rsidRPr="00717AB7">
        <w:rPr>
          <w:rFonts w:ascii="Arial Narrow" w:eastAsia="Arial Narrow" w:hAnsi="Arial Narrow" w:cs="Arial"/>
          <w:color w:val="000000"/>
          <w:kern w:val="0"/>
          <w14:ligatures w14:val="none"/>
        </w:rPr>
        <w:t>Para ello podrá señalar domicilio físico o una dirección electrónica a la que pueda remitirse las notificaciones</w:t>
      </w:r>
      <w:r w:rsidRPr="00717AB7">
        <w:rPr>
          <w:rFonts w:ascii="Arial Narrow" w:eastAsia="Arial Narrow" w:hAnsi="Arial Narrow" w:cs="Arial"/>
          <w:color w:val="000000"/>
          <w:kern w:val="0"/>
          <w:lang w:val="es"/>
          <w14:ligatures w14:val="none"/>
        </w:rPr>
        <w:t>;</w:t>
      </w:r>
    </w:p>
    <w:p w14:paraId="610E261A" w14:textId="77777777" w:rsidR="00CA59A2" w:rsidRPr="00717AB7" w:rsidRDefault="00CA59A2" w:rsidP="00717AB7">
      <w:pPr>
        <w:numPr>
          <w:ilvl w:val="0"/>
          <w:numId w:val="3"/>
        </w:numPr>
        <w:spacing w:after="0" w:line="240" w:lineRule="auto"/>
        <w:ind w:left="567" w:hanging="567"/>
        <w:jc w:val="both"/>
        <w:rPr>
          <w:rFonts w:ascii="Arial Narrow" w:eastAsia="Calibri" w:hAnsi="Arial Narrow" w:cs="Arial"/>
          <w:kern w:val="0"/>
          <w14:ligatures w14:val="none"/>
        </w:rPr>
      </w:pPr>
      <w:r w:rsidRPr="00717AB7">
        <w:rPr>
          <w:rFonts w:ascii="Arial Narrow" w:eastAsia="Arial Narrow" w:hAnsi="Arial Narrow" w:cs="Arial"/>
          <w:color w:val="000000"/>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717AB7">
        <w:rPr>
          <w:rFonts w:ascii="Arial Narrow" w:eastAsia="Arial Narrow" w:hAnsi="Arial Narrow" w:cs="Arial"/>
          <w:color w:val="000000"/>
          <w:kern w:val="0"/>
          <w:vertAlign w:val="superscript"/>
          <w14:ligatures w14:val="none"/>
        </w:rPr>
        <w:footnoteReference w:id="7"/>
      </w:r>
      <w:r w:rsidRPr="00717AB7">
        <w:rPr>
          <w:rFonts w:ascii="Arial Narrow" w:eastAsia="Arial Narrow" w:hAnsi="Arial Narrow" w:cs="Arial"/>
          <w:color w:val="000000"/>
          <w:kern w:val="0"/>
          <w14:ligatures w14:val="none"/>
        </w:rPr>
        <w:t xml:space="preserve">. Ello, a fin de que la Comisión pueda meritar dicha documentación, conforme lo establece el artículo 110 del </w:t>
      </w:r>
      <w:r w:rsidRPr="00717AB7">
        <w:rPr>
          <w:rFonts w:ascii="Arial Narrow" w:eastAsia="Arial Narrow" w:hAnsi="Arial Narrow" w:cs="Arial"/>
          <w:color w:val="000000"/>
          <w:spacing w:val="-2"/>
          <w:kern w:val="0"/>
          <w14:ligatures w14:val="none"/>
        </w:rPr>
        <w:t>Código</w:t>
      </w:r>
      <w:r w:rsidRPr="00717AB7">
        <w:rPr>
          <w:rFonts w:ascii="Arial Narrow" w:eastAsia="Arial Narrow" w:hAnsi="Arial Narrow" w:cs="Arial"/>
          <w:color w:val="000000"/>
          <w:spacing w:val="-2"/>
          <w:kern w:val="0"/>
          <w:vertAlign w:val="superscript"/>
          <w14:ligatures w14:val="none"/>
        </w:rPr>
        <w:footnoteReference w:id="8"/>
      </w:r>
      <w:r w:rsidRPr="00717AB7">
        <w:rPr>
          <w:rFonts w:ascii="Arial Narrow" w:eastAsia="Arial Narrow" w:hAnsi="Arial Narrow" w:cs="Arial"/>
          <w:color w:val="000000"/>
          <w:spacing w:val="-2"/>
          <w:kern w:val="0"/>
          <w14:ligatures w14:val="none"/>
        </w:rPr>
        <w:t>.</w:t>
      </w:r>
    </w:p>
    <w:p w14:paraId="76D8967F" w14:textId="77777777" w:rsidR="00CA59A2" w:rsidRPr="00717AB7" w:rsidRDefault="00CA59A2" w:rsidP="00717AB7">
      <w:pPr>
        <w:spacing w:after="0" w:line="240" w:lineRule="auto"/>
        <w:ind w:left="567"/>
        <w:jc w:val="both"/>
        <w:rPr>
          <w:rFonts w:ascii="Arial Narrow" w:eastAsia="Arial Narrow" w:hAnsi="Arial Narrow" w:cs="Arial Narrow"/>
          <w:color w:val="000000"/>
          <w:kern w:val="0"/>
          <w:lang w:eastAsia="es-PE"/>
          <w14:ligatures w14:val="none"/>
        </w:rPr>
      </w:pPr>
    </w:p>
    <w:p w14:paraId="6E128B48"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b/>
          <w:color w:val="000000"/>
        </w:rPr>
        <w:t xml:space="preserve">CUARTO: </w:t>
      </w:r>
      <w:r w:rsidRPr="00717AB7">
        <w:rPr>
          <w:rFonts w:ascii="Arial Narrow" w:eastAsia="Arial Narrow" w:hAnsi="Arial Narrow"/>
          <w:color w:val="000000"/>
        </w:rPr>
        <w:t>correr traslado de la denuncia interpuesta el 19 de junio de 2026 a Rímac Seguros y Reaseguros S.A., para que, de conformidad con lo dispuesto por el artículo 26 de la Ley sobre Facultades, Normas y Organización del Indecopi, aprobada por Decreto Legislativo 807, presente sus descargos en un plazo no mayor de cinco (5) días hábiles contados desde la notificación.</w:t>
      </w:r>
    </w:p>
    <w:p w14:paraId="587640D1"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p>
    <w:p w14:paraId="4BA16EE9" w14:textId="77777777" w:rsidR="00CA59A2" w:rsidRPr="00717AB7" w:rsidRDefault="00CA59A2" w:rsidP="00717AB7">
      <w:pPr>
        <w:spacing w:after="0" w:line="240" w:lineRule="auto"/>
        <w:jc w:val="both"/>
        <w:rPr>
          <w:rFonts w:ascii="Arial Narrow" w:eastAsia="Times New Roman" w:hAnsi="Arial Narrow" w:cs="Arial"/>
          <w:color w:val="000000"/>
          <w:kern w:val="0"/>
          <w:lang w:val="es-ES" w:eastAsia="es-ES"/>
          <w14:ligatures w14:val="none"/>
        </w:rPr>
      </w:pPr>
      <w:r w:rsidRPr="00717AB7">
        <w:rPr>
          <w:rFonts w:ascii="Arial Narrow" w:eastAsia="Arial Narrow" w:hAnsi="Arial Narrow"/>
          <w:b/>
          <w:color w:val="000000"/>
        </w:rPr>
        <w:t xml:space="preserve">QUINTO: </w:t>
      </w:r>
      <w:r w:rsidRPr="00717AB7">
        <w:rPr>
          <w:rFonts w:ascii="Arial Narrow" w:eastAsia="Arial Narrow" w:hAnsi="Arial Narrow"/>
          <w:color w:val="000000"/>
        </w:rPr>
        <w:t>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presentar todas las comunicaciones cursadas con la parte denunciante en virtud de los hechos materia de denuncia, así como cualquier otro medio probatorio que sustente su posición.</w:t>
      </w:r>
    </w:p>
    <w:p w14:paraId="0B28CA72" w14:textId="77777777" w:rsidR="00CA59A2" w:rsidRPr="00717AB7" w:rsidRDefault="00CA59A2" w:rsidP="00717AB7">
      <w:pPr>
        <w:spacing w:after="0" w:line="240" w:lineRule="auto"/>
        <w:jc w:val="both"/>
        <w:rPr>
          <w:rFonts w:ascii="Arial Narrow" w:eastAsia="Arial Narrow" w:hAnsi="Arial Narrow" w:cs="Arial Narrow"/>
          <w:b/>
          <w:color w:val="000000"/>
          <w:kern w:val="0"/>
          <w:lang w:val="es-ES" w:eastAsia="es-PE"/>
          <w14:ligatures w14:val="none"/>
        </w:rPr>
      </w:pPr>
    </w:p>
    <w:p w14:paraId="36EB3D2C"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b/>
          <w:color w:val="000000"/>
          <w:kern w:val="0"/>
          <w:lang w:eastAsia="es-PE"/>
          <w14:ligatures w14:val="none"/>
        </w:rPr>
        <w:t>SEXTO:</w:t>
      </w:r>
      <w:r w:rsidRPr="00717AB7">
        <w:rPr>
          <w:rFonts w:ascii="Arial Narrow" w:eastAsia="Arial Narrow" w:hAnsi="Arial Narrow" w:cs="Arial Narrow"/>
          <w:color w:val="000000"/>
          <w:kern w:val="0"/>
          <w:lang w:eastAsia="es-PE"/>
          <w14:ligatures w14:val="none"/>
        </w:rPr>
        <w:t xml:space="preserve"> </w:t>
      </w:r>
      <w:bookmarkStart w:id="6" w:name="_Hlk188286915"/>
      <w:r w:rsidRPr="00717AB7">
        <w:rPr>
          <w:rFonts w:ascii="Arial Narrow" w:eastAsia="Arial Narrow" w:hAnsi="Arial Narrow" w:cs="Arial Narrow"/>
          <w:color w:val="000000"/>
          <w:kern w:val="0"/>
          <w:lang w:eastAsia="es-PE"/>
          <w14:ligatures w14:val="none"/>
        </w:rPr>
        <w:t xml:space="preserve">informar a las partes que el artículo 110 de la Ley </w:t>
      </w:r>
      <w:r w:rsidR="003A71B1" w:rsidRPr="00717AB7">
        <w:rPr>
          <w:rFonts w:ascii="Arial Narrow" w:eastAsia="Arial Narrow" w:hAnsi="Arial Narrow" w:cs="Times New Roman"/>
          <w:color w:val="000000"/>
          <w:kern w:val="0"/>
          <w:lang w:eastAsia="es-PE"/>
          <w14:ligatures w14:val="none"/>
        </w:rPr>
        <w:t>29571</w:t>
      </w:r>
      <w:r w:rsidRPr="00717AB7">
        <w:rPr>
          <w:rFonts w:ascii="Arial Narrow" w:eastAsia="Arial Narrow" w:hAnsi="Arial Narrow" w:cs="Arial Narrow"/>
          <w:color w:val="000000"/>
          <w:kern w:val="0"/>
          <w:lang w:eastAsia="es-PE"/>
          <w14:ligatures w14:val="none"/>
        </w:rPr>
        <w:t>, Código de Protección y Defensa del Consumidor</w:t>
      </w:r>
      <w:r w:rsidRPr="00717AB7">
        <w:rPr>
          <w:rFonts w:ascii="Arial Narrow" w:eastAsia="Arial Narrow" w:hAnsi="Arial Narrow" w:cs="Times New Roman"/>
          <w:color w:val="000000"/>
          <w:kern w:val="0"/>
          <w:vertAlign w:val="superscript"/>
          <w:lang w:eastAsia="es-PE"/>
          <w14:ligatures w14:val="none"/>
        </w:rPr>
        <w:footnoteReference w:id="9"/>
      </w:r>
      <w:r w:rsidRPr="00717AB7">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 115 y 116 de la referida norma</w:t>
      </w:r>
      <w:r w:rsidRPr="00717AB7">
        <w:rPr>
          <w:rFonts w:ascii="Arial Narrow" w:eastAsia="Arial Narrow" w:hAnsi="Arial Narrow" w:cs="Times New Roman"/>
          <w:color w:val="000000"/>
          <w:kern w:val="0"/>
          <w:vertAlign w:val="superscript"/>
          <w:lang w:eastAsia="es-PE"/>
          <w14:ligatures w14:val="none"/>
        </w:rPr>
        <w:footnoteReference w:id="10"/>
      </w:r>
      <w:r w:rsidRPr="00717AB7">
        <w:rPr>
          <w:rFonts w:ascii="Arial Narrow" w:eastAsia="Arial Narrow" w:hAnsi="Arial Narrow" w:cs="Arial Narrow"/>
          <w:color w:val="000000"/>
          <w:kern w:val="0"/>
          <w:lang w:eastAsia="es-PE"/>
          <w14:ligatures w14:val="none"/>
        </w:rPr>
        <w:t xml:space="preserve">. </w:t>
      </w:r>
      <w:bookmarkEnd w:id="6"/>
      <w:r w:rsidRPr="00717AB7">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 del Código</w:t>
      </w:r>
      <w:r w:rsidRPr="00717AB7">
        <w:rPr>
          <w:rFonts w:ascii="Arial Narrow" w:eastAsia="Arial Narrow" w:hAnsi="Arial Narrow" w:cs="Times New Roman"/>
          <w:color w:val="000000"/>
          <w:kern w:val="0"/>
          <w:vertAlign w:val="superscript"/>
          <w:lang w:eastAsia="es-PE"/>
          <w14:ligatures w14:val="none"/>
        </w:rPr>
        <w:footnoteReference w:id="11"/>
      </w:r>
      <w:r w:rsidRPr="00717AB7">
        <w:rPr>
          <w:rFonts w:ascii="Arial Narrow" w:eastAsia="Arial Narrow" w:hAnsi="Arial Narrow" w:cs="Arial Narrow"/>
          <w:color w:val="000000"/>
          <w:kern w:val="0"/>
          <w:lang w:eastAsia="es-PE"/>
          <w14:ligatures w14:val="none"/>
        </w:rPr>
        <w:t>.</w:t>
      </w:r>
    </w:p>
    <w:p w14:paraId="79969EF1" w14:textId="77777777" w:rsidR="00CA59A2" w:rsidRPr="00717AB7" w:rsidRDefault="00CA59A2" w:rsidP="00717AB7">
      <w:pPr>
        <w:spacing w:after="0" w:line="240" w:lineRule="auto"/>
        <w:jc w:val="both"/>
        <w:rPr>
          <w:rFonts w:ascii="Arial Narrow" w:eastAsia="Arial Narrow" w:hAnsi="Arial Narrow" w:cs="Arial Narrow"/>
          <w:b/>
          <w:color w:val="000000"/>
          <w:kern w:val="0"/>
          <w:lang w:eastAsia="es-PE"/>
          <w14:ligatures w14:val="none"/>
        </w:rPr>
      </w:pPr>
    </w:p>
    <w:p w14:paraId="225C7B37"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r w:rsidRPr="00717AB7">
        <w:rPr>
          <w:rFonts w:ascii="Arial Narrow" w:eastAsia="Arial Narrow" w:hAnsi="Arial Narrow" w:cs="Arial Narrow"/>
          <w:b/>
          <w:color w:val="000000"/>
          <w:kern w:val="0"/>
          <w:lang w:eastAsia="es-PE"/>
          <w14:ligatures w14:val="none"/>
        </w:rPr>
        <w:t>SÉTIMO:</w:t>
      </w:r>
      <w:r w:rsidRPr="00717AB7">
        <w:rPr>
          <w:rFonts w:ascii="Arial Narrow" w:eastAsia="Arial Narrow" w:hAnsi="Arial Narrow" w:cs="Arial Narrow"/>
          <w:color w:val="000000"/>
          <w:kern w:val="0"/>
          <w:lang w:eastAsia="es-PE"/>
          <w14:ligatures w14:val="none"/>
        </w:rPr>
        <w:t xml:space="preserve"> informar a las partes que conforme a lo establecido en el artículo 39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50EFA39A" w14:textId="77777777" w:rsidR="00CA59A2" w:rsidRPr="00717AB7" w:rsidRDefault="00CA59A2" w:rsidP="00717AB7">
      <w:pPr>
        <w:spacing w:after="0" w:line="240" w:lineRule="auto"/>
        <w:jc w:val="both"/>
        <w:rPr>
          <w:rFonts w:ascii="Arial Narrow" w:eastAsia="Arial Narrow" w:hAnsi="Arial Narrow" w:cs="Arial Narrow"/>
          <w:color w:val="000000"/>
          <w:kern w:val="0"/>
          <w:lang w:eastAsia="es-PE"/>
          <w14:ligatures w14:val="none"/>
        </w:rPr>
      </w:pPr>
    </w:p>
    <w:p w14:paraId="146434BF" w14:textId="400E4310" w:rsidR="00CA59A2" w:rsidRPr="00717AB7" w:rsidRDefault="00CA59A2" w:rsidP="00717AB7">
      <w:pPr>
        <w:suppressAutoHyphens/>
        <w:spacing w:after="0" w:line="240" w:lineRule="auto"/>
        <w:jc w:val="both"/>
        <w:rPr>
          <w:rFonts w:ascii="Arial Narrow" w:eastAsia="Calibri" w:hAnsi="Arial Narrow" w:cs="Arial"/>
          <w:kern w:val="0"/>
          <w:u w:val="single"/>
          <w14:ligatures w14:val="none"/>
        </w:rPr>
      </w:pPr>
      <w:r w:rsidRPr="00717AB7">
        <w:rPr>
          <w:rFonts w:ascii="Arial Narrow" w:eastAsia="Arial Narrow" w:hAnsi="Arial Narrow" w:cs="Arial"/>
          <w:b/>
          <w:bCs/>
          <w:color w:val="000000"/>
          <w:kern w:val="0"/>
          <w14:ligatures w14:val="none"/>
        </w:rPr>
        <w:lastRenderedPageBreak/>
        <w:t>OCTAVO</w:t>
      </w:r>
      <w:r w:rsidRPr="00717AB7">
        <w:rPr>
          <w:rFonts w:ascii="Arial Narrow" w:eastAsia="Arial Narrow" w:hAnsi="Arial Narrow" w:cs="Arial"/>
          <w:b/>
          <w:color w:val="000000"/>
          <w:kern w:val="0"/>
          <w14:ligatures w14:val="none"/>
        </w:rPr>
        <w:t>:</w:t>
      </w:r>
      <w:r w:rsidRPr="00717AB7">
        <w:rPr>
          <w:rFonts w:ascii="Arial Narrow" w:eastAsia="Arial Narrow" w:hAnsi="Arial Narrow" w:cs="Arial"/>
          <w:color w:val="000000"/>
          <w:kern w:val="0"/>
          <w14:ligatures w14:val="none"/>
        </w:rPr>
        <w:t xml:space="preserve"> comunicar a las partes que, de acuerdo a lo señalado por el artículo 29 del Decreto Legislativo</w:t>
      </w:r>
      <w:r w:rsidR="00717AB7" w:rsidRPr="00717AB7">
        <w:rPr>
          <w:rFonts w:ascii="Arial Narrow" w:eastAsia="Arial Narrow" w:hAnsi="Arial Narrow" w:cs="Arial"/>
          <w:color w:val="000000"/>
          <w:kern w:val="0"/>
          <w14:ligatures w14:val="none"/>
        </w:rPr>
        <w:t xml:space="preserve"> </w:t>
      </w:r>
      <w:r w:rsidRPr="00717AB7">
        <w:rPr>
          <w:rFonts w:ascii="Arial Narrow" w:eastAsia="Arial Narrow" w:hAnsi="Arial Narrow" w:cs="Arial"/>
          <w:color w:val="000000"/>
          <w:kern w:val="0"/>
          <w14:ligatures w14:val="none"/>
        </w:rPr>
        <w:t>807</w:t>
      </w:r>
      <w:r w:rsidRPr="00717AB7">
        <w:rPr>
          <w:rFonts w:ascii="Arial Narrow" w:eastAsia="Arial Narrow" w:hAnsi="Arial Narrow" w:cs="Arial"/>
          <w:color w:val="000000"/>
          <w:kern w:val="0"/>
          <w:vertAlign w:val="superscript"/>
          <w14:ligatures w14:val="none"/>
        </w:rPr>
        <w:footnoteReference w:id="12"/>
      </w:r>
      <w:r w:rsidRPr="00717AB7">
        <w:rPr>
          <w:rFonts w:ascii="Arial Narrow" w:eastAsia="Arial Narrow" w:hAnsi="Arial Narrow" w:cs="Arial"/>
          <w:color w:val="000000"/>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717AB7">
        <w:rPr>
          <w:rFonts w:ascii="Arial Narrow" w:eastAsia="Arial Narrow" w:hAnsi="Arial Narrow" w:cs="Arial"/>
          <w:color w:val="000000"/>
          <w:kern w:val="0"/>
          <w:u w:val="single"/>
          <w14:ligatures w14:val="none"/>
        </w:rPr>
        <w:t>expresamente su facultad para asistir y conciliar en su representación</w:t>
      </w:r>
      <w:r w:rsidRPr="00717AB7">
        <w:rPr>
          <w:rFonts w:ascii="Arial Narrow" w:eastAsia="Arial Narrow" w:hAnsi="Arial Narrow" w:cs="Arial"/>
          <w:bCs/>
          <w:color w:val="000000"/>
          <w:kern w:val="0"/>
          <w14:ligatures w14:val="none"/>
        </w:rPr>
        <w:t>.</w:t>
      </w:r>
      <w:r w:rsidRPr="00717AB7">
        <w:rPr>
          <w:rFonts w:ascii="Arial Narrow" w:eastAsia="Arial Narrow" w:hAnsi="Arial Narrow" w:cs="Arial"/>
          <w:b/>
          <w:bCs/>
          <w:color w:val="000000"/>
          <w:kern w:val="0"/>
          <w14:ligatures w14:val="none"/>
        </w:rPr>
        <w:t xml:space="preserve"> </w:t>
      </w:r>
      <w:r w:rsidRPr="00717AB7">
        <w:rPr>
          <w:rFonts w:ascii="Arial Narrow" w:eastAsia="Arial Narrow" w:hAnsi="Arial Narrow" w:cs="Arial"/>
          <w:color w:val="000000"/>
          <w:kern w:val="0"/>
          <w:u w:val="single"/>
          <w14:ligatures w14:val="none"/>
        </w:rPr>
        <w:t xml:space="preserve">Ello bajo apercibimiento de no realizar la audiencia de conciliación y levantar el acta de inasistencia correspondiente. </w:t>
      </w:r>
    </w:p>
    <w:p w14:paraId="63484925" w14:textId="77777777" w:rsidR="00CA59A2" w:rsidRPr="00717AB7" w:rsidRDefault="00CA59A2" w:rsidP="00717AB7">
      <w:pPr>
        <w:suppressAutoHyphens/>
        <w:spacing w:after="0" w:line="240" w:lineRule="auto"/>
        <w:jc w:val="both"/>
        <w:rPr>
          <w:rFonts w:ascii="Arial Narrow" w:eastAsia="Calibri" w:hAnsi="Arial Narrow" w:cs="Arial"/>
          <w:kern w:val="0"/>
          <w:u w:val="single"/>
          <w14:ligatures w14:val="none"/>
        </w:rPr>
      </w:pPr>
    </w:p>
    <w:p w14:paraId="672AEE66" w14:textId="77777777" w:rsidR="00CA59A2" w:rsidRPr="00717AB7" w:rsidRDefault="00CA59A2" w:rsidP="00717AB7">
      <w:pPr>
        <w:suppressAutoHyphens/>
        <w:spacing w:after="0" w:line="240" w:lineRule="auto"/>
        <w:jc w:val="both"/>
        <w:rPr>
          <w:rFonts w:ascii="Arial Narrow" w:eastAsia="Times New Roman" w:hAnsi="Arial Narrow" w:cs="Times New Roman"/>
          <w:color w:val="000000"/>
          <w:kern w:val="0"/>
          <w:lang w:eastAsia="es-PE"/>
          <w14:ligatures w14:val="none"/>
        </w:rPr>
      </w:pPr>
      <w:r w:rsidRPr="00717AB7">
        <w:rPr>
          <w:rFonts w:ascii="Arial Narrow" w:eastAsia="Arial Narrow" w:hAnsi="Arial Narrow" w:cs="Times New Roman"/>
          <w:b/>
          <w:color w:val="000000"/>
          <w:kern w:val="0"/>
          <w:lang w:eastAsia="es-PE"/>
          <w14:ligatures w14:val="none"/>
        </w:rPr>
        <w:t>NOVENO:</w:t>
      </w:r>
      <w:r w:rsidRPr="00717AB7">
        <w:rPr>
          <w:rFonts w:ascii="Arial Narrow" w:eastAsia="Arial Narrow"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508B6B6" w14:textId="77777777" w:rsidR="00CA59A2" w:rsidRPr="00717AB7" w:rsidRDefault="00CA59A2" w:rsidP="00717AB7">
      <w:pPr>
        <w:suppressAutoHyphens/>
        <w:spacing w:after="0" w:line="240" w:lineRule="auto"/>
        <w:jc w:val="both"/>
        <w:rPr>
          <w:rFonts w:ascii="Arial Narrow" w:eastAsia="Times New Roman" w:hAnsi="Arial Narrow" w:cs="Times New Roman"/>
          <w:color w:val="000000"/>
          <w:kern w:val="0"/>
          <w:lang w:eastAsia="es-PE"/>
          <w14:ligatures w14:val="none"/>
        </w:rPr>
      </w:pPr>
    </w:p>
    <w:p w14:paraId="6A566764" w14:textId="5C2CC74D" w:rsidR="005B4857" w:rsidRPr="00717AB7" w:rsidRDefault="00CA59A2" w:rsidP="00717AB7">
      <w:pPr>
        <w:suppressAutoHyphens/>
        <w:spacing w:after="0" w:line="240" w:lineRule="auto"/>
        <w:jc w:val="both"/>
        <w:rPr>
          <w:rFonts w:ascii="Arial Narrow" w:hAnsi="Arial Narrow" w:cs="Arial"/>
        </w:rPr>
      </w:pPr>
      <w:r w:rsidRPr="00717AB7">
        <w:rPr>
          <w:rFonts w:ascii="Arial Narrow" w:eastAsia="Arial Narrow" w:hAnsi="Arial Narrow"/>
          <w:b/>
          <w:color w:val="000000"/>
        </w:rPr>
        <w:t xml:space="preserve">DÉCIMO: requerir a la señora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notificarles conforme al numeral 1 del artículo 20 del citado cuerpo normativo.</w:t>
      </w:r>
      <w:r w:rsidRPr="00717AB7">
        <w:rPr>
          <w:rFonts w:ascii="Arial Narrow" w:eastAsia="Arial Narrow" w:hAnsi="Arial Narrow"/>
          <w:color w:val="000000"/>
        </w:rPr>
        <w:t xml:space="preserve"/>
      </w:r>
      <w:r w:rsidR="009025CE">
        <w:rPr>
          <w:rFonts w:ascii="Arial Narrow" w:eastAsia="Arial Narrow" w:hAnsi="Arial Narrow"/>
          <w:color w:val="000000"/>
        </w:rPr>
        <w:t/>
      </w:r>
      <w:r w:rsidRPr="00717AB7">
        <w:rPr>
          <w:rFonts w:ascii="Arial Narrow" w:eastAsia="Arial Narrow" w:hAnsi="Arial Narrow"/>
          <w:color w:val="000000"/>
        </w:rPr>
        <w:t xml:space="preserve"/>
      </w:r>
      <w:r w:rsidR="009025CE">
        <w:rPr>
          <w:rFonts w:ascii="Arial Narrow" w:eastAsia="Arial Narrow" w:hAnsi="Arial Narrow"/>
          <w:color w:val="000000"/>
        </w:rPr>
        <w:t/>
      </w:r>
      <w:r w:rsidRPr="00717AB7">
        <w:rPr>
          <w:rFonts w:ascii="Arial Narrow" w:eastAsia="Arial Narrow" w:hAnsi="Arial Narrow"/>
          <w:color w:val="000000"/>
        </w:rPr>
        <w:t xml:space="preserve"/>
      </w:r>
      <w:r w:rsidR="009025CE" w:rsidRPr="00717AB7">
        <w:rPr>
          <w:rFonts w:ascii="Arial Narrow" w:eastAsia="Arial Narrow" w:hAnsi="Arial Narrow"/>
          <w:color w:val="000000"/>
        </w:rPr>
        <w:t xml:space="preserve"/>
      </w:r>
      <w:r w:rsidRPr="00717AB7">
        <w:rPr>
          <w:rFonts w:ascii="Arial Narrow" w:eastAsia="Arial Narrow" w:hAnsi="Arial Narrow"/>
          <w:color w:val="000000"/>
        </w:rPr>
        <w:t xml:space="preserve"/>
      </w:r>
      <w:r w:rsidR="009025CE" w:rsidRPr="00717AB7">
        <w:rPr>
          <w:rFonts w:ascii="Arial Narrow" w:eastAsia="Arial Narrow" w:hAnsi="Arial Narrow"/>
          <w:color w:val="000000"/>
        </w:rPr>
        <w:t xml:space="preserve"/>
      </w:r>
      <w:r w:rsidRPr="00717AB7">
        <w:rPr>
          <w:rFonts w:ascii="Arial Narrow" w:eastAsia="Arial Narrow" w:hAnsi="Arial Narrow"/>
          <w:color w:val="000000"/>
        </w:rPr>
        <w:t/>
      </w:r>
      <w:r w:rsidR="00717AB7" w:rsidRPr="00717AB7">
        <w:rPr>
          <w:rStyle w:val="Refdenotaalpie"/>
          <w:rFonts w:ascii="Arial Narrow" w:eastAsia="Arial Narrow" w:hAnsi="Arial Narrow"/>
          <w:color w:val="000000"/>
        </w:rPr>
        <w:footnoteReference w:id="13"/>
      </w:r>
      <w:r w:rsidRPr="00717AB7">
        <w:rPr>
          <w:rFonts w:ascii="Arial Narrow" w:eastAsia="Arial Narrow" w:hAnsi="Arial Narrow"/>
          <w:color w:val="000000"/>
        </w:rPr>
        <w:t/>
      </w:r>
    </w:p>
    <w:p w14:paraId="263BB1C6" w14:textId="77777777" w:rsidR="008253FC" w:rsidRPr="00717AB7" w:rsidRDefault="008253FC" w:rsidP="00717AB7">
      <w:pPr>
        <w:spacing w:after="0" w:line="240" w:lineRule="auto"/>
        <w:jc w:val="both"/>
        <w:rPr>
          <w:rFonts w:ascii="Arial Narrow" w:hAnsi="Arial Narrow"/>
        </w:rPr>
      </w:pPr>
    </w:p>
    <w:p w14:paraId="5B1FC415" w14:textId="77777777" w:rsidR="008253FC" w:rsidRPr="00717AB7" w:rsidRDefault="008253FC" w:rsidP="00717AB7">
      <w:pPr>
        <w:spacing w:after="0" w:line="240" w:lineRule="auto"/>
        <w:jc w:val="both"/>
        <w:rPr>
          <w:rFonts w:ascii="Arial Narrow" w:hAnsi="Arial Narrow"/>
        </w:rPr>
      </w:pPr>
    </w:p>
    <w:p w14:paraId="6CB23A95" w14:textId="77777777" w:rsidR="008253FC" w:rsidRPr="00717AB7" w:rsidRDefault="008253FC" w:rsidP="00717AB7">
      <w:pPr>
        <w:spacing w:after="0" w:line="240" w:lineRule="auto"/>
        <w:jc w:val="both"/>
        <w:rPr>
          <w:rFonts w:ascii="Arial Narrow" w:hAnsi="Arial Narrow"/>
        </w:rPr>
      </w:pPr>
    </w:p>
    <w:p w14:paraId="0C7E67FC" w14:textId="77777777" w:rsidR="003A00D7" w:rsidRPr="00717AB7" w:rsidRDefault="003A00D7"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 xml:space="preserve">Firmado digitalmente por </w:t>
      </w:r>
    </w:p>
    <w:p w14:paraId="6867D9C7" w14:textId="77777777" w:rsidR="00C03E0B" w:rsidRPr="00717AB7" w:rsidRDefault="00C03E0B"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EVELING ROA QUISPE</w:t>
      </w:r>
    </w:p>
    <w:p w14:paraId="731AA013" w14:textId="77777777" w:rsidR="00C03E0B" w:rsidRPr="00717AB7" w:rsidRDefault="00C03E0B"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s="Arial Narrow"/>
          <w:b/>
          <w:color w:val="000000"/>
          <w:lang w:eastAsia="es-PE"/>
        </w:rPr>
        <w:t>Secretaria Técnica</w:t>
      </w:r>
    </w:p>
    <w:p w14:paraId="5F7BF19C" w14:textId="77777777" w:rsidR="003A00D7" w:rsidRPr="00717AB7" w:rsidRDefault="003A00D7" w:rsidP="00717AB7">
      <w:pPr>
        <w:spacing w:after="0" w:line="240" w:lineRule="auto"/>
        <w:jc w:val="center"/>
        <w:rPr>
          <w:rFonts w:ascii="Arial Narrow" w:eastAsia="Arial Narrow" w:hAnsi="Arial Narrow" w:cs="Arial Narrow"/>
          <w:b/>
          <w:color w:val="000000"/>
          <w:lang w:eastAsia="es-PE"/>
        </w:rPr>
      </w:pPr>
      <w:r w:rsidRPr="00717AB7">
        <w:rPr>
          <w:rFonts w:ascii="Arial Narrow" w:eastAsia="Arial Narrow" w:hAnsi="Arial Narrow"/>
          <w:color w:val="000000"/>
        </w:rPr>
        <w:t>Comisión de Protección al Consumidor 1</w:t>
      </w:r>
    </w:p>
    <w:p w14:paraId="30F0DF7D" w14:textId="77777777" w:rsidR="003A00D7" w:rsidRPr="00717AB7" w:rsidRDefault="003A00D7" w:rsidP="00717AB7">
      <w:pPr>
        <w:spacing w:after="0" w:line="240" w:lineRule="auto"/>
        <w:rPr>
          <w:rFonts w:ascii="Arial Narrow" w:hAnsi="Arial Narrow"/>
          <w:sz w:val="16"/>
          <w:szCs w:val="18"/>
        </w:rPr>
      </w:pPr>
      <w:r w:rsidRPr="00717AB7">
        <w:rPr>
          <w:rFonts w:ascii="Arial Narrow" w:eastAsia="Arial Narrow" w:hAnsi="Arial Narrow"/>
          <w:color w:val="000000"/>
          <w:sz w:val="16"/>
          <w:szCs w:val="18"/>
        </w:rPr>
        <w:t>LGP/JCQ</w:t>
      </w:r>
    </w:p>
    <w:p w14:paraId="23BA94E1" w14:textId="77777777" w:rsidR="00CA59A2" w:rsidRPr="00717AB7" w:rsidRDefault="00CA59A2" w:rsidP="00717AB7">
      <w:pPr>
        <w:spacing w:after="0" w:line="240" w:lineRule="auto"/>
        <w:jc w:val="both"/>
        <w:rPr>
          <w:rFonts w:ascii="Arial Narrow" w:hAnsi="Arial Narrow"/>
        </w:rPr>
      </w:pPr>
    </w:p>
    <w:p w14:paraId="47EE46BE" w14:textId="77777777" w:rsidR="001B5674" w:rsidRPr="00717AB7" w:rsidRDefault="001B5674" w:rsidP="00717AB7">
      <w:pPr>
        <w:spacing w:after="0" w:line="240" w:lineRule="auto"/>
        <w:jc w:val="both"/>
        <w:rPr>
          <w:rFonts w:ascii="Arial Narrow" w:hAnsi="Arial Narrow"/>
        </w:rPr>
      </w:pPr>
    </w:p>
    <w:sectPr w:rsidR="001B5674" w:rsidRPr="00717AB7" w:rsidSect="00DA79A0">
      <w:headerReference w:type="even" r:id="rId8"/>
      <w:headerReference w:type="default" r:id="rId9"/>
      <w:footerReference w:type="even" r:id="rId10"/>
      <w:footerReference w:type="default" r:id="rId11"/>
      <w:headerReference w:type="first" r:id="rId12"/>
      <w:footerReference w:type="first" r: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5A1F8C" w14:textId="77777777" w:rsidR="000F776B" w:rsidRDefault="000F776B" w:rsidP="00DA79A0">
      <w:pPr>
        <w:spacing w:after="0" w:line="240" w:lineRule="auto"/>
      </w:pPr>
      <w:r>
        <w:separator/>
      </w:r>
    </w:p>
  </w:endnote>
  <w:endnote w:type="continuationSeparator" w:id="0">
    <w:p w14:paraId="3CC61FC6" w14:textId="77777777" w:rsidR="000F776B" w:rsidRDefault="000F776B"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911D94D" w14:textId="77777777" w:rsidR="00107A1A" w:rsidRDefault="00107A1A">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8545A8" w14:textId="6071497F" w:rsidR="00B91E42" w:rsidRPr="00717AB7" w:rsidRDefault="00717AB7" w:rsidP="00717AB7">
    <w:pPr>
      <w:pStyle w:val="Piedepgina"/>
      <w:tabs>
        <w:tab w:val="clear" w:pos="4252"/>
        <w:tab w:val="clear" w:pos="8504"/>
        <w:tab w:val="center" w:pos="4678"/>
      </w:tabs>
      <w:rPr>
        <w:rFonts w:ascii="Arial Narrow" w:hAnsi="Arial Narrow" w:cs="Arial"/>
        <w:sz w:val="18"/>
      </w:rPr>
    </w:pPr>
    <w:r w:rsidRPr="00717AB7">
      <w:rPr>
        <w:rFonts w:ascii="Arial Narrow" w:hAnsi="Arial Narrow" w:cs="Arial"/>
        <w:sz w:val="18"/>
      </w:rPr>
      <w:t>M-CPC-01/03</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F01C73" w14:textId="77777777" w:rsidR="00107A1A" w:rsidRDefault="00107A1A">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B1CBA0C" w14:textId="77777777" w:rsidR="000F776B" w:rsidRDefault="000F776B" w:rsidP="00DA79A0">
      <w:pPr>
        <w:spacing w:after="0" w:line="240" w:lineRule="auto"/>
      </w:pPr>
      <w:r>
        <w:separator/>
      </w:r>
    </w:p>
  </w:footnote>
  <w:footnote w:type="continuationSeparator" w:id="0">
    <w:p w14:paraId="5CA67F57" w14:textId="77777777" w:rsidR="000F776B" w:rsidRDefault="000F776B" w:rsidP="00DA79A0">
      <w:pPr>
        <w:spacing w:after="0" w:line="240" w:lineRule="auto"/>
      </w:pPr>
      <w:r>
        <w:continuationSeparator/>
      </w:r>
    </w:p>
  </w:footnote>
  <w:footnote w:id="1">
    <w:p w14:paraId="4869C3E3" w14:textId="18A9778D" w:rsidR="00717AB7" w:rsidRPr="00717AB7" w:rsidRDefault="00717AB7" w:rsidP="00717AB7">
      <w:pPr>
        <w:pStyle w:val="Textonotapie"/>
        <w:tabs>
          <w:tab w:val="left" w:pos="567"/>
        </w:tabs>
        <w:spacing w:after="200"/>
        <w:ind w:left="567" w:hanging="567"/>
        <w:jc w:val="both"/>
        <w:rPr>
          <w:rFonts w:ascii="Arial" w:hAnsi="Arial" w:cs="Arial"/>
          <w:sz w:val="16"/>
          <w:lang w:val="es-419"/>
        </w:rPr>
      </w:pPr>
      <w:r w:rsidRPr="00717AB7">
        <w:rPr>
          <w:rStyle w:val="Refdenotaalpie"/>
          <w:rFonts w:ascii="Arial Narrow" w:hAnsi="Arial Narrow" w:cs="Arial"/>
          <w:sz w:val="16"/>
        </w:rPr>
        <w:footnoteRef/>
      </w:r>
      <w:r w:rsidRPr="00717AB7">
        <w:rPr>
          <w:rFonts w:ascii="Arial" w:hAnsi="Arial" w:cs="Arial"/>
          <w:sz w:val="16"/>
        </w:rPr>
        <w:t xml:space="preserve"> </w:t>
      </w:r>
      <w:r w:rsidRPr="00717AB7">
        <w:rPr>
          <w:rFonts w:ascii="Arial Narrow" w:hAnsi="Arial Narrow" w:cs="Arial"/>
          <w:sz w:val="16"/>
          <w:lang w:val="es-419"/>
        </w:rPr>
        <w:tab/>
        <w:t>Publicado el 2 de setiembre del 2010 en el Diario Oficial El Peruano, vigente desde el 2 de octubre del 2010 y modificado por Decreto Legislativo 1308.</w:t>
      </w:r>
    </w:p>
  </w:footnote>
  <w:footnote w:id="2">
    <w:p w14:paraId="46B17839" w14:textId="7E2F8A0F" w:rsidR="00717AB7" w:rsidRPr="00717AB7" w:rsidRDefault="00717AB7" w:rsidP="00717AB7">
      <w:pPr>
        <w:pStyle w:val="Textonotapie"/>
        <w:tabs>
          <w:tab w:val="left" w:pos="567"/>
        </w:tabs>
        <w:spacing w:after="200"/>
        <w:ind w:left="567" w:hanging="567"/>
        <w:jc w:val="both"/>
        <w:rPr>
          <w:rFonts w:ascii="Arial" w:hAnsi="Arial" w:cs="Arial"/>
          <w:sz w:val="16"/>
          <w:lang w:val="es-419"/>
        </w:rPr>
      </w:pPr>
      <w:r w:rsidRPr="00717AB7">
        <w:rPr>
          <w:rStyle w:val="Refdenotaalpie"/>
          <w:rFonts w:ascii="Arial Narrow" w:hAnsi="Arial Narrow" w:cs="Arial"/>
          <w:sz w:val="16"/>
        </w:rPr>
        <w:footnoteRef/>
      </w:r>
      <w:r w:rsidRPr="00717AB7">
        <w:rPr>
          <w:rFonts w:ascii="Arial" w:hAnsi="Arial" w:cs="Arial"/>
          <w:sz w:val="16"/>
        </w:rPr>
        <w:t xml:space="preserve"> </w:t>
      </w:r>
      <w:r w:rsidRPr="00717AB7">
        <w:rPr>
          <w:rFonts w:ascii="Arial Narrow" w:hAnsi="Arial Narrow" w:cs="Arial"/>
          <w:sz w:val="16"/>
          <w:lang w:val="es-419"/>
        </w:rPr>
        <w:tab/>
        <w:t>Resolución de la Presidencia del Consejo Directivo del Indecopi 027-2013-INDECOPI/COD, publicada el 23 de febrero de 2013 en el Diario Oficial El Peruano, mediante la cual se dispuso que la Comisión de Protección al Consumidor 1 del Indecopi asuma competencia sobre los procedimientos y resoluciones que versen, entre otros, sobre seguros.</w:t>
      </w:r>
    </w:p>
  </w:footnote>
  <w:footnote w:id="3">
    <w:p w14:paraId="10938A04" w14:textId="0FEA5F34" w:rsidR="00717AB7" w:rsidRPr="00717AB7" w:rsidRDefault="00717AB7" w:rsidP="00717AB7">
      <w:pPr>
        <w:pStyle w:val="Textonotapie"/>
        <w:tabs>
          <w:tab w:val="left" w:pos="567"/>
        </w:tabs>
        <w:spacing w:after="200"/>
        <w:ind w:left="567" w:hanging="567"/>
        <w:jc w:val="both"/>
        <w:rPr>
          <w:rFonts w:ascii="Arial" w:hAnsi="Arial" w:cs="Arial"/>
          <w:b/>
          <w:sz w:val="16"/>
          <w:lang w:val="es-419"/>
        </w:rPr>
      </w:pPr>
      <w:r w:rsidRPr="00717AB7">
        <w:rPr>
          <w:rStyle w:val="Refdenotaalpie"/>
          <w:rFonts w:ascii="Arial Narrow" w:hAnsi="Arial Narrow" w:cs="Arial"/>
          <w:sz w:val="16"/>
        </w:rPr>
        <w:footnoteRef/>
      </w:r>
      <w:r w:rsidRPr="00717AB7">
        <w:rPr>
          <w:rFonts w:ascii="Arial" w:hAnsi="Arial" w:cs="Arial"/>
          <w:b/>
          <w:sz w:val="16"/>
        </w:rPr>
        <w:t xml:space="preserve"> </w:t>
      </w:r>
      <w:r w:rsidRPr="00717AB7">
        <w:rPr>
          <w:rFonts w:ascii="Arial Narrow" w:hAnsi="Arial Narrow" w:cs="Arial"/>
          <w:b/>
          <w:sz w:val="16"/>
          <w:lang w:val="es-419"/>
        </w:rPr>
        <w:tab/>
        <w:t>Ley sobre Facultades, Normas y Organización del Indecopi, aprobada mediante Decreto Legislativo 807, cuyo Texto Único Ordenado fue aprobado por Decreto Legislativo 1033.</w:t>
      </w:r>
    </w:p>
  </w:footnote>
  <w:footnote w:id="4">
    <w:p w14:paraId="600530A8" w14:textId="77777777" w:rsidR="00C67EE7" w:rsidRPr="00C20DB0"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C20DB0">
        <w:rPr>
          <w:rStyle w:val="Refdenotaalpie"/>
          <w:rFonts w:ascii="Arial Narrow" w:hAnsi="Arial Narrow"/>
          <w:sz w:val="16"/>
          <w:szCs w:val="16"/>
        </w:rPr>
        <w:footnoteRef/>
      </w:r>
      <w:r w:rsidRPr="00C20DB0">
        <w:rPr>
          <w:rFonts w:ascii="Arial Narrow" w:hAnsi="Arial Narrow"/>
          <w:sz w:val="16"/>
          <w:szCs w:val="16"/>
        </w:rPr>
        <w:t xml:space="preserve"> </w:t>
      </w:r>
      <w:r w:rsidRPr="00C20DB0">
        <w:rPr>
          <w:rFonts w:ascii="Arial Narrow" w:hAnsi="Arial Narrow"/>
          <w:sz w:val="16"/>
          <w:szCs w:val="16"/>
        </w:rPr>
        <w:tab/>
      </w:r>
      <w:r w:rsidRPr="00C20DB0">
        <w:rPr>
          <w:rFonts w:ascii="Arial Narrow" w:eastAsia="Arial Narrow" w:hAnsi="Arial Narrow" w:cs="Arial Narrow"/>
          <w:b/>
          <w:bCs/>
          <w:sz w:val="16"/>
          <w:szCs w:val="16"/>
        </w:rPr>
        <w:t xml:space="preserve">LEY 29571, CÓDIGO DE PROTECCIÓN Y DEFENSA DEL CONSUMIDOR, publicado el 2 de setiembre de 2010 y modificado por Decreto Legislativo N 1308 </w:t>
      </w:r>
    </w:p>
    <w:p w14:paraId="422899A3" w14:textId="77777777" w:rsidR="00C67EE7" w:rsidRPr="00C20DB0" w:rsidRDefault="00C67EE7" w:rsidP="00C67EE7">
      <w:pPr>
        <w:pStyle w:val="Textonotapie"/>
        <w:ind w:left="567" w:right="-1"/>
        <w:jc w:val="both"/>
        <w:rPr>
          <w:rFonts w:ascii="Arial Narrow" w:eastAsia="Arial Narrow" w:hAnsi="Arial Narrow" w:cs="Arial Narrow"/>
          <w:b/>
          <w:bCs/>
          <w:sz w:val="16"/>
          <w:szCs w:val="16"/>
        </w:rPr>
      </w:pPr>
      <w:r w:rsidRPr="00C20DB0">
        <w:rPr>
          <w:rFonts w:ascii="Arial Narrow" w:eastAsia="Arial Narrow" w:hAnsi="Arial Narrow" w:cs="Arial Narrow"/>
          <w:b/>
          <w:bCs/>
          <w:sz w:val="16"/>
          <w:szCs w:val="16"/>
        </w:rPr>
        <w:t xml:space="preserve">Artículo 18.- Idoneidad </w:t>
      </w:r>
    </w:p>
    <w:p w14:paraId="2A9ADEAE"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25D723C"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5F4240B" w14:textId="77777777" w:rsidR="00C67EE7" w:rsidRPr="00C20DB0" w:rsidRDefault="00C67EE7" w:rsidP="00C67EE7">
      <w:pPr>
        <w:pStyle w:val="Textonotapie"/>
        <w:ind w:left="567" w:right="-1"/>
        <w:jc w:val="both"/>
        <w:rPr>
          <w:rFonts w:ascii="Arial Narrow" w:eastAsia="Arial Narrow" w:hAnsi="Arial Narrow" w:cs="Arial Narrow"/>
          <w:sz w:val="16"/>
          <w:szCs w:val="16"/>
        </w:rPr>
      </w:pPr>
    </w:p>
    <w:p w14:paraId="22176EF9"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b/>
          <w:bCs/>
          <w:sz w:val="16"/>
          <w:szCs w:val="16"/>
        </w:rPr>
        <w:t xml:space="preserve">Artículo 19.- Obligación de los proveedores </w:t>
      </w:r>
    </w:p>
    <w:p w14:paraId="78090A0A" w14:textId="77777777" w:rsidR="00C67EE7" w:rsidRPr="00C20DB0" w:rsidRDefault="00C67EE7" w:rsidP="00C67EE7">
      <w:pPr>
        <w:pStyle w:val="Textonotapie"/>
        <w:ind w:left="567" w:right="-1"/>
        <w:jc w:val="both"/>
        <w:rPr>
          <w:rFonts w:ascii="Arial Narrow" w:eastAsia="Arial Narrow" w:hAnsi="Arial Narrow" w:cs="Arial Narrow"/>
          <w:sz w:val="16"/>
          <w:szCs w:val="16"/>
        </w:rPr>
      </w:pPr>
      <w:r w:rsidRPr="00C20DB0">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0DD31BB2" w14:textId="77777777" w:rsidR="00C67EE7" w:rsidRPr="00C20DB0" w:rsidRDefault="00C67EE7" w:rsidP="00C67EE7">
      <w:pPr>
        <w:pStyle w:val="Textonotapie"/>
        <w:jc w:val="both"/>
        <w:rPr>
          <w:rFonts w:ascii="Arial Narrow" w:hAnsi="Arial Narrow"/>
          <w:sz w:val="16"/>
          <w:szCs w:val="16"/>
        </w:rPr>
      </w:pPr>
    </w:p>
  </w:footnote>
  <w:footnote w:id="5">
    <w:p w14:paraId="09B196E1" w14:textId="77777777" w:rsidR="00C67EE7" w:rsidRPr="000828F5" w:rsidRDefault="00C67EE7" w:rsidP="00C67EE7">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CF5E936" w14:textId="77777777" w:rsidR="00C67EE7" w:rsidRDefault="00C67EE7" w:rsidP="00C67EE7">
      <w:pPr>
        <w:pStyle w:val="Textonotapie"/>
        <w:ind w:left="567" w:right="-1"/>
        <w:jc w:val="both"/>
        <w:rPr>
          <w:rFonts w:ascii="Arial Narrow" w:eastAsia="Arial Narrow" w:hAnsi="Arial Narrow" w:cs="Arial Narrow"/>
          <w:b/>
          <w:bCs/>
          <w:sz w:val="16"/>
          <w:szCs w:val="16"/>
        </w:rPr>
      </w:pPr>
      <w:r w:rsidRPr="00ED7BE4">
        <w:rPr>
          <w:rFonts w:ascii="Arial Narrow" w:eastAsia="Arial Narrow" w:hAnsi="Arial Narrow" w:cs="Arial Narrow"/>
          <w:b/>
          <w:bCs/>
          <w:sz w:val="16"/>
          <w:szCs w:val="16"/>
        </w:rPr>
        <w:t>Artículo 38.- Prohibición de discriminación de consumidores</w:t>
      </w:r>
    </w:p>
    <w:p w14:paraId="0100B4A8" w14:textId="77777777" w:rsidR="00C67EE7"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 xml:space="preserve">38.1 Los proveedores no pueden establecer discriminación alguna por motivo de origen, raza, sexo, idioma, religión, opinión, condición económica o de cualquier otra índole, respecto de los consumidores, se encuentren estos dentro o expuestos a una relación de consumo. 38.2 Está prohibida la exclusión de personas sin que medien causas de seguridad del establecimiento o tranquilidad de sus clientes u otros motivos similares. </w:t>
      </w:r>
    </w:p>
    <w:p w14:paraId="131F4436" w14:textId="77777777" w:rsidR="00C67EE7" w:rsidRPr="000828F5" w:rsidRDefault="00C67EE7" w:rsidP="00C67EE7">
      <w:pPr>
        <w:pStyle w:val="Textonotapie"/>
        <w:ind w:left="567" w:right="-1"/>
        <w:jc w:val="both"/>
        <w:rPr>
          <w:rFonts w:ascii="Arial Narrow" w:eastAsia="Arial Narrow" w:hAnsi="Arial Narrow" w:cs="Arial Narrow"/>
          <w:sz w:val="16"/>
          <w:szCs w:val="16"/>
        </w:rPr>
      </w:pPr>
      <w:r w:rsidRPr="00ED7BE4">
        <w:rPr>
          <w:rFonts w:ascii="Arial Narrow" w:eastAsia="Arial Narrow" w:hAnsi="Arial Narrow" w:cs="Arial Narrow"/>
          <w:sz w:val="16"/>
          <w:szCs w:val="16"/>
        </w:rPr>
        <w:t>38.3 El trato diferente de los consumidores debe obedecer a causas objetivas y razonables. La atención preferente en un establecimiento debe responder a situaciones de hecho distintas que justifiquen un trato diferente y existir una proporcionalidad entre el fin perseguido y el trato diferente que se otorga</w:t>
      </w:r>
      <w:r w:rsidRPr="00ED7BE4">
        <w:rPr>
          <w:rFonts w:ascii="Arial Narrow" w:eastAsia="Arial Narrow" w:hAnsi="Arial Narrow" w:cs="Arial Narrow"/>
          <w:b/>
          <w:bCs/>
          <w:sz w:val="16"/>
          <w:szCs w:val="16"/>
        </w:rPr>
        <w:t>.</w:t>
      </w:r>
    </w:p>
    <w:p w14:paraId="3188816B" w14:textId="77777777" w:rsidR="00C67EE7" w:rsidRPr="000828F5" w:rsidRDefault="00C67EE7" w:rsidP="00C67EE7">
      <w:pPr>
        <w:pStyle w:val="Textonotapie"/>
        <w:jc w:val="both"/>
        <w:rPr>
          <w:rFonts w:ascii="Arial Narrow" w:hAnsi="Arial Narrow"/>
          <w:sz w:val="16"/>
          <w:szCs w:val="16"/>
        </w:rPr>
      </w:pPr>
    </w:p>
  </w:footnote>
  <w:footnote w:id="6">
    <w:p w14:paraId="2888E05F" w14:textId="56CEA383"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rPr>
        <w:footnoteRef/>
      </w:r>
      <w:r w:rsidR="00717AB7">
        <w:rPr>
          <w:rFonts w:ascii="Arial" w:hAnsi="Arial" w:cs="Arial"/>
          <w:b/>
          <w:sz w:val="16"/>
        </w:rPr>
        <w:t xml:space="preserve"> </w:t>
      </w:r>
      <w:r w:rsidR="0028322F" w:rsidRPr="00717AB7">
        <w:rPr>
          <w:rFonts w:ascii="Arial Narrow" w:hAnsi="Arial Narrow" w:cs="Arial"/>
          <w:b/>
          <w:sz w:val="16"/>
        </w:rPr>
        <w:tab/>
        <w:t>LEY SOBRE FACULTADES, NORMAS Y ORGANIZACIÓN DEL INDECOPI, APROBADA POR DECRETO LEGISLATIVO 807</w:t>
      </w:r>
    </w:p>
    <w:p w14:paraId="2614621F" w14:textId="77777777"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24.- El Secretario Técnico se encargará de la tramitación del procedimiento. Para ello, cuenta con las siguientes facultades:</w:t>
      </w:r>
    </w:p>
    <w:p w14:paraId="77050F48" w14:textId="0BF446EC"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 </w:t>
      </w:r>
    </w:p>
    <w:p w14:paraId="18283D10" w14:textId="35518F19"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c) Admitir denuncias a trámite, en aquellos casos en que la Comisión le haya delegado esta facultad. </w:t>
      </w:r>
    </w:p>
    <w:p w14:paraId="5ABB44AF" w14:textId="14EB70E0"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02CF777B" w14:textId="48D0C3CC" w:rsidR="00CA59A2" w:rsidRPr="00717AB7" w:rsidRDefault="0028322F" w:rsidP="00717AB7">
      <w:pPr>
        <w:pStyle w:val="Textonotapie"/>
        <w:spacing w:after="200"/>
        <w:ind w:left="567"/>
        <w:jc w:val="both"/>
        <w:rPr>
          <w:rFonts w:ascii="Arial" w:eastAsia="Arial Narrow" w:hAnsi="Arial" w:cs="Arial"/>
          <w:sz w:val="16"/>
        </w:rPr>
      </w:pPr>
      <w:r w:rsidRPr="00717AB7">
        <w:rPr>
          <w:rFonts w:ascii="Arial Narrow" w:hAnsi="Arial Narrow" w:cs="Arial"/>
          <w:sz w:val="16"/>
        </w:rPr>
        <w:t xml:space="preserve">. </w:t>
      </w:r>
    </w:p>
  </w:footnote>
  <w:footnote w:id="7">
    <w:p w14:paraId="3D3C1EEC" w14:textId="2755FD18" w:rsidR="00CA59A2" w:rsidRPr="00717AB7" w:rsidRDefault="00CA59A2" w:rsidP="00717AB7">
      <w:pPr>
        <w:pStyle w:val="Textonotapie"/>
        <w:tabs>
          <w:tab w:val="left" w:pos="567"/>
        </w:tabs>
        <w:spacing w:after="200"/>
        <w:ind w:left="567" w:hanging="567"/>
        <w:jc w:val="both"/>
        <w:rPr>
          <w:rFonts w:ascii="Arial" w:hAnsi="Arial" w:cs="Arial"/>
          <w:sz w:val="16"/>
        </w:rPr>
      </w:pPr>
      <w:r w:rsidRPr="00717AB7">
        <w:rPr>
          <w:rStyle w:val="Refdenotaalpie"/>
          <w:rFonts w:ascii="Arial Narrow" w:hAnsi="Arial Narrow" w:cs="Arial"/>
          <w:sz w:val="16"/>
          <w:szCs w:val="16"/>
        </w:rPr>
        <w:footnoteRef/>
      </w:r>
      <w:r w:rsidRPr="00717AB7">
        <w:rPr>
          <w:rFonts w:ascii="Arial" w:hAnsi="Arial" w:cs="Arial"/>
          <w:sz w:val="16"/>
        </w:rPr>
        <w:t xml:space="preserve"> </w:t>
      </w:r>
      <w:r w:rsidRPr="00717AB7">
        <w:rPr>
          <w:rFonts w:ascii="Arial Narrow" w:hAnsi="Arial Narrow" w:cs="Arial"/>
          <w:sz w:val="16"/>
        </w:rPr>
        <w:tab/>
        <w:t xml:space="preserve">El número de trabajadores se atenderá siempre que la empresa haya sido constituida antes de la vigencia de la </w:t>
      </w:r>
      <w:r w:rsidR="000E6FE2" w:rsidRPr="00717AB7">
        <w:rPr>
          <w:rFonts w:ascii="Arial Narrow" w:hAnsi="Arial Narrow" w:cs="Arial"/>
          <w:sz w:val="16"/>
        </w:rPr>
        <w:t xml:space="preserve">Ley </w:t>
      </w:r>
      <w:r w:rsidRPr="00717AB7">
        <w:rPr>
          <w:rFonts w:ascii="Arial Narrow" w:hAnsi="Arial Narrow" w:cs="Arial"/>
          <w:sz w:val="16"/>
        </w:rPr>
        <w:t>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footnote>
  <w:footnote w:id="8">
    <w:p w14:paraId="467B1F85" w14:textId="77777777"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rPr>
        <w:footnoteRef/>
      </w:r>
      <w:r w:rsidRPr="00717AB7">
        <w:rPr>
          <w:rFonts w:ascii="Arial" w:hAnsi="Arial"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C751EB5" w14:textId="00FE3E04"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110.- sanciones Administrativas</w:t>
      </w:r>
    </w:p>
    <w:p w14:paraId="34280D73"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7F98CCD1"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3CA17FB4" w14:textId="28DB52A5" w:rsidR="00CA59A2" w:rsidRPr="00717AB7" w:rsidRDefault="0028322F" w:rsidP="00717AB7">
      <w:pPr>
        <w:pStyle w:val="Textonotapie"/>
        <w:spacing w:after="200"/>
        <w:ind w:left="567"/>
        <w:jc w:val="both"/>
        <w:rPr>
          <w:rFonts w:ascii="Arial" w:hAnsi="Arial" w:cs="Arial"/>
          <w:bCs/>
          <w:sz w:val="16"/>
        </w:rPr>
      </w:pPr>
      <w:r w:rsidRPr="00717AB7">
        <w:rPr>
          <w:rFonts w:ascii="Arial Narrow" w:hAnsi="Arial Narrow" w:cs="Arial"/>
          <w:sz w:val="16"/>
        </w:rPr>
        <w:t>(…).</w:t>
      </w:r>
    </w:p>
  </w:footnote>
  <w:footnote w:id="9">
    <w:p w14:paraId="1AACEF90" w14:textId="4312ED5B"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TextonotapieCar"/>
          <w:rFonts w:ascii="Arial Narrow" w:hAnsi="Arial Narrow" w:cs="Arial"/>
          <w:sz w:val="16"/>
          <w:szCs w:val="16"/>
          <w:vertAlign w:val="superscript"/>
        </w:rPr>
        <w:footnoteRef/>
      </w:r>
      <w:r w:rsidR="00717AB7">
        <w:rPr>
          <w:rFonts w:ascii="Arial" w:hAnsi="Arial"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76F329D" w14:textId="349DCA2A"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110.- sanciones administrativas</w:t>
      </w:r>
    </w:p>
    <w:p w14:paraId="7FF59FED"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0D0540B6"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leves, con una amonestación o con una multa de hasta cincuenta (50) UIT.</w:t>
      </w:r>
    </w:p>
    <w:p w14:paraId="1D90321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graves, con una multa de hasta ciento cincuenta (150) UIT.</w:t>
      </w:r>
    </w:p>
    <w:p w14:paraId="3FDEDAD3"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Infracciones muy graves, con una multa de hasta cuatrocientos cincuenta (450) UIT.</w:t>
      </w:r>
    </w:p>
    <w:p w14:paraId="637DA026" w14:textId="77777777" w:rsidR="00CA59A2" w:rsidRPr="00717AB7" w:rsidRDefault="0028322F" w:rsidP="00717AB7">
      <w:pPr>
        <w:pStyle w:val="Textonotapie"/>
        <w:spacing w:after="200"/>
        <w:ind w:left="567"/>
        <w:jc w:val="both"/>
        <w:rPr>
          <w:rFonts w:ascii="Arial" w:eastAsia="Arial Narrow" w:hAnsi="Arial" w:cs="Arial"/>
          <w:sz w:val="16"/>
        </w:rPr>
      </w:pPr>
      <w:r w:rsidRPr="00717AB7">
        <w:rPr>
          <w:rFonts w:ascii="Arial Narrow" w:hAnsi="Arial Narrow" w:cs="Arial"/>
          <w:sz w:val="16"/>
        </w:rPr>
        <w:t>(…).</w:t>
      </w:r>
    </w:p>
  </w:footnote>
  <w:footnote w:id="10">
    <w:p w14:paraId="6575C74A" w14:textId="568FFB4C"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rPr>
        <w:footnoteRef/>
      </w:r>
      <w:r w:rsidR="00717AB7">
        <w:rPr>
          <w:rFonts w:ascii="Arial" w:hAnsi="Arial"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726B5AE4" w14:textId="77777777"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114.- medidas correctivas</w:t>
      </w:r>
    </w:p>
    <w:p w14:paraId="1B8AC41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Sin perjuicio de la sanción administrativa que corresponda al proveedor por una infracción al presente Código, el Indecopi puede dictar, en calidad de mandatos, medidas correctivas reparadoras y complementarias. </w:t>
      </w:r>
    </w:p>
    <w:p w14:paraId="359118CB" w14:textId="49DC8609"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Las medidas correctivas reparadoras pueden dictarse a pedido de parte o de oficio, siempre y cuando sean expresamente informadas sobre esa posibilidad en la notificación de cargo al proveedor por la autoridad encargada del procedimiento. </w:t>
      </w:r>
    </w:p>
    <w:p w14:paraId="1A71024F" w14:textId="2C0EDEAD"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Las medidas correctivas complementarias pueden dictarse de oficio o a pedido de parte.</w:t>
      </w:r>
    </w:p>
    <w:p w14:paraId="480174C2" w14:textId="77777777" w:rsidR="0028322F" w:rsidRPr="00717AB7" w:rsidRDefault="0028322F" w:rsidP="00717AB7">
      <w:pPr>
        <w:spacing w:after="0" w:line="240" w:lineRule="auto"/>
        <w:ind w:left="567"/>
        <w:jc w:val="both"/>
        <w:rPr>
          <w:rFonts w:ascii="Arial Narrow" w:hAnsi="Arial Narrow" w:cs="Arial"/>
          <w:b/>
          <w:sz w:val="16"/>
          <w:szCs w:val="16"/>
        </w:rPr>
      </w:pPr>
      <w:r w:rsidRPr="00717AB7">
        <w:rPr>
          <w:rFonts w:ascii="Arial Narrow" w:hAnsi="Arial Narrow" w:cs="Arial"/>
          <w:b/>
          <w:sz w:val="16"/>
          <w:szCs w:val="16"/>
        </w:rPr>
        <w:tab/>
        <w:t>Artículo 115.- medidas correctivas reparadoras</w:t>
      </w:r>
    </w:p>
    <w:p w14:paraId="7AE91C4D" w14:textId="51815515"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BEFB067"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Reparar productos.</w:t>
      </w:r>
    </w:p>
    <w:p w14:paraId="154F5821"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Cambiar productos por otros de idénticas o similares características, cuando la reparación no sea posible o no resulte razonable según las circunstancias.</w:t>
      </w:r>
    </w:p>
    <w:p w14:paraId="1FF4B55E"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Entregar un producto de idénticas características o, cuando esto no resulte posible, de similares características, en los supuestos de pérdida o deterioro atribuible al proveedor y siempre que exista interés del consumidor.</w:t>
      </w:r>
    </w:p>
    <w:p w14:paraId="09DEA6A7"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Cumplir con ejecutar la prestación u obligación asumida; y si esto no resulte posible o no sea razonable, otra de efectos equivalentes, incluyendo prestaciones dinerarias.</w:t>
      </w:r>
    </w:p>
    <w:p w14:paraId="3DABFD6E"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Cumplir con ejecutar otras prestaciones u obligaciones legales o convencionales a su cargo.</w:t>
      </w:r>
    </w:p>
    <w:p w14:paraId="0A26379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7301C8F"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En los supuestos de pagos indebidos o en exceso, devolver estos montos, más los intereses correspondientes.</w:t>
      </w:r>
    </w:p>
    <w:p w14:paraId="0BC47F5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Pagar los gastos incurridos por el consumidor para mitigar las consecuencias de la infracción administrativa.</w:t>
      </w:r>
    </w:p>
    <w:p w14:paraId="0C558A38"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Otras medidas reparadoras análogas de efectos equivalentes a las anteriores.</w:t>
      </w:r>
    </w:p>
    <w:p w14:paraId="48A42B82"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D25F7A9"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149AFBA5"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115.4 Corresponde al consumidor que solicita el dictado de la medida correctiva reparadora probar las consecuencias patrimoniales directas e inmediatas causadas por la comisión de la infracción administrativa.</w:t>
      </w:r>
    </w:p>
    <w:p w14:paraId="18B495F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62EA51A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24BC94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078EB553" w14:textId="77777777" w:rsidR="0028322F" w:rsidRPr="00717AB7" w:rsidRDefault="0028322F" w:rsidP="00717AB7">
      <w:pPr>
        <w:spacing w:after="0" w:line="240" w:lineRule="auto"/>
        <w:ind w:left="567"/>
        <w:jc w:val="both"/>
        <w:rPr>
          <w:rFonts w:ascii="Arial Narrow" w:hAnsi="Arial Narrow" w:cs="Arial"/>
          <w:b/>
          <w:sz w:val="16"/>
          <w:szCs w:val="16"/>
        </w:rPr>
      </w:pPr>
      <w:r w:rsidRPr="00717AB7">
        <w:rPr>
          <w:rFonts w:ascii="Arial Narrow" w:hAnsi="Arial Narrow" w:cs="Arial"/>
          <w:b/>
          <w:sz w:val="16"/>
          <w:szCs w:val="16"/>
        </w:rPr>
        <w:t>Artículo 116.- medidas correctivas complementarias</w:t>
      </w:r>
    </w:p>
    <w:p w14:paraId="08CEDE1D"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Las medidas correctivas complementarias tienen el objeto de revertir los efectos de la conducta infractora o evitar que esta se produzca nuevamente en el futuro y pueden ser, entre otras, las siguientes: </w:t>
      </w:r>
    </w:p>
    <w:p w14:paraId="032BB16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a. Que el proveedor cumpla con atender la solicitud de información requerida por el consumidor, siempre que dicho requerimiento guarde relación con el producto adquirido o servicio contratado. </w:t>
      </w:r>
    </w:p>
    <w:p w14:paraId="3E41EFC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b. Declarar inexigibles las cláusulas que han sido identificadas como abusivas en el procedimiento. </w:t>
      </w:r>
    </w:p>
    <w:p w14:paraId="0299391C"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c. El decomiso y destrucción de la mercadería, envases, envolturas o etiquetas. </w:t>
      </w:r>
    </w:p>
    <w:p w14:paraId="4B30A30A"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d. En caso de infracciones muy graves y de reincidencia o reiterancia: </w:t>
      </w:r>
    </w:p>
    <w:p w14:paraId="23EB957F"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(i) Solicitar a la autoridad correspondiente la clausura temporal del establecimiento industrial, comercial o de servicios por un plazo máximo de seis (6) meses. </w:t>
      </w:r>
    </w:p>
    <w:p w14:paraId="1FD2F1F8"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(ii) Solicitar a la autoridad competente la inhabilitación, temporal o permanente, del proveedor en función de los alcances de la infracción sancionada. </w:t>
      </w:r>
    </w:p>
    <w:p w14:paraId="7A997FD9"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e. Publicación de avisos rectificatorios o informativos en la forma que determine el Indecopi, tomando en consideración los medios que resulten idóneos para revertir los efectos que el acto objeto de sanción ha ocasionado. </w:t>
      </w:r>
    </w:p>
    <w:p w14:paraId="6DCA8FFB" w14:textId="77777777"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 xml:space="preserve">f. Cualquier otra medida correctiva que tenga el objeto de revertir los efectos de la conducta infractora o evitar que esta se produzca nuevamente en el futuro. </w:t>
      </w:r>
    </w:p>
    <w:p w14:paraId="6D7319DA" w14:textId="24617544" w:rsidR="00CA59A2" w:rsidRPr="00717AB7" w:rsidRDefault="0028322F" w:rsidP="00717AB7">
      <w:pPr>
        <w:pStyle w:val="Textonotapie"/>
        <w:ind w:left="567"/>
        <w:jc w:val="both"/>
        <w:rPr>
          <w:rFonts w:ascii="Arial" w:eastAsia="Arial Narrow" w:hAnsi="Arial" w:cs="Arial"/>
          <w:sz w:val="16"/>
        </w:rPr>
      </w:pPr>
      <w:r w:rsidRPr="00717AB7">
        <w:rPr>
          <w:rFonts w:ascii="Arial Narrow" w:hAnsi="Arial Narrow" w:cs="Arial"/>
          <w:sz w:val="16"/>
        </w:rPr>
        <w:t>El Indecopi está facultado para solicitar a la autoridad municipal y policial el apoyo respectivo para la ejecución de las medidas correctivas complementarias correspondientes.</w:t>
      </w:r>
    </w:p>
  </w:footnote>
  <w:footnote w:id="11">
    <w:p w14:paraId="73B3AE56" w14:textId="6C9D2348"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sz w:val="16"/>
          <w:szCs w:val="16"/>
        </w:rPr>
        <w:footnoteRef/>
      </w:r>
      <w:r w:rsidR="00717AB7">
        <w:rPr>
          <w:rFonts w:ascii="Arial" w:hAnsi="Arial" w:cs="Arial"/>
          <w:b/>
          <w:sz w:val="16"/>
        </w:rPr>
        <w:t xml:space="preserve"> </w:t>
      </w:r>
      <w:r w:rsidR="0028322F" w:rsidRPr="00717AB7">
        <w:rPr>
          <w:rFonts w:ascii="Arial Narrow" w:hAnsi="Arial Narrow" w:cs="Arial"/>
          <w:b/>
          <w:sz w:val="16"/>
        </w:rPr>
        <w:tab/>
        <w:t>LEY 29571, CÓDIGO DE PROTECCIÓN Y DEFENSA DEL CONSUMIDOR, publicado el 2 de setiembre de 2010 y modificado por DECRETO LEGISLATIVO 1308</w:t>
      </w:r>
    </w:p>
    <w:p w14:paraId="4F341A0B" w14:textId="385C8781" w:rsidR="0028322F" w:rsidRPr="00717AB7" w:rsidRDefault="0028322F" w:rsidP="00717AB7">
      <w:pPr>
        <w:pStyle w:val="Textonotapie"/>
        <w:ind w:left="567"/>
        <w:jc w:val="both"/>
        <w:rPr>
          <w:rFonts w:ascii="Arial Narrow" w:hAnsi="Arial Narrow" w:cs="Arial"/>
          <w:b/>
          <w:sz w:val="16"/>
        </w:rPr>
      </w:pPr>
      <w:r w:rsidRPr="00717AB7">
        <w:rPr>
          <w:rFonts w:ascii="Arial Narrow" w:hAnsi="Arial Narrow" w:cs="Arial"/>
          <w:b/>
          <w:sz w:val="16"/>
        </w:rPr>
        <w:t>Artículo 112.- criterios de graduación de las sanciones administrativas</w:t>
      </w:r>
    </w:p>
    <w:p w14:paraId="1CD7FB21" w14:textId="50C72B2A"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24C9E061" w14:textId="03CFD928"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Se consideran circunstancias atenuantes especiales, las siguientes:</w:t>
      </w:r>
    </w:p>
    <w:p w14:paraId="6FB1B656" w14:textId="57CA806A" w:rsidR="0028322F" w:rsidRPr="00717AB7" w:rsidRDefault="0028322F" w:rsidP="00717AB7">
      <w:pPr>
        <w:pStyle w:val="Textonotapie"/>
        <w:ind w:left="567"/>
        <w:jc w:val="both"/>
        <w:rPr>
          <w:rFonts w:ascii="Arial Narrow" w:hAnsi="Arial Narrow" w:cs="Arial"/>
          <w:sz w:val="16"/>
        </w:rPr>
      </w:pPr>
      <w:r w:rsidRPr="00717AB7">
        <w:rPr>
          <w:rFonts w:ascii="Arial Narrow" w:hAnsi="Arial Narrow" w:cs="Arial"/>
          <w:sz w:val="16"/>
        </w:rPr>
        <w:t>(…)</w:t>
      </w:r>
    </w:p>
    <w:p w14:paraId="7A962A29" w14:textId="69A9F658" w:rsidR="00CA59A2" w:rsidRPr="00717AB7" w:rsidRDefault="0028322F" w:rsidP="00717AB7">
      <w:pPr>
        <w:pStyle w:val="Textonotapie"/>
        <w:spacing w:after="200"/>
        <w:ind w:left="567"/>
        <w:jc w:val="both"/>
        <w:rPr>
          <w:rFonts w:ascii="Arial" w:hAnsi="Arial" w:cs="Arial"/>
          <w:sz w:val="16"/>
        </w:rPr>
      </w:pPr>
      <w:r w:rsidRPr="00717AB7">
        <w:rPr>
          <w:rFonts w:ascii="Arial Narrow" w:hAnsi="Arial Narrow" w:cs="Arial"/>
          <w:sz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footnote>
  <w:footnote w:id="12">
    <w:p w14:paraId="6DDC6885" w14:textId="77777777" w:rsidR="0028322F" w:rsidRPr="00717AB7" w:rsidRDefault="00CA59A2" w:rsidP="00717AB7">
      <w:pPr>
        <w:pStyle w:val="Textonotapie"/>
        <w:tabs>
          <w:tab w:val="left" w:pos="567"/>
        </w:tabs>
        <w:ind w:left="567" w:hanging="567"/>
        <w:jc w:val="both"/>
        <w:rPr>
          <w:rFonts w:ascii="Arial Narrow" w:hAnsi="Arial Narrow" w:cs="Arial"/>
          <w:b/>
          <w:sz w:val="16"/>
        </w:rPr>
      </w:pPr>
      <w:r w:rsidRPr="00717AB7">
        <w:rPr>
          <w:rStyle w:val="Refdenotaalpie"/>
          <w:rFonts w:ascii="Arial Narrow" w:hAnsi="Arial Narrow" w:cs="Arial"/>
          <w:bCs/>
          <w:sz w:val="16"/>
          <w:szCs w:val="16"/>
        </w:rPr>
        <w:footnoteRef/>
      </w:r>
      <w:r w:rsidRPr="00717AB7">
        <w:rPr>
          <w:rFonts w:ascii="Arial" w:hAnsi="Arial" w:cs="Arial"/>
          <w:b/>
          <w:sz w:val="16"/>
        </w:rPr>
        <w:t xml:space="preserve"> </w:t>
      </w:r>
      <w:r w:rsidR="0028322F" w:rsidRPr="00717AB7">
        <w:rPr>
          <w:rFonts w:ascii="Arial Narrow" w:hAnsi="Arial Narrow" w:cs="Arial"/>
          <w:b/>
          <w:sz w:val="16"/>
        </w:rPr>
        <w:tab/>
        <w:t>DECRETO LEGISLATIVO 807, LEY SOBRE FACULTADES, NORMAS Y ORGANIZACIÓN DEL INDECOPI FACULTADES DE LAS COMISIONES Y OFICINAS DEL INDECOPI</w:t>
      </w:r>
    </w:p>
    <w:p w14:paraId="67E5903D" w14:textId="0EAD34C8" w:rsidR="00CA59A2" w:rsidRPr="00717AB7" w:rsidRDefault="0028322F" w:rsidP="00717AB7">
      <w:pPr>
        <w:pStyle w:val="Textonotapie"/>
        <w:spacing w:after="200"/>
        <w:ind w:left="567"/>
        <w:jc w:val="both"/>
        <w:rPr>
          <w:rFonts w:ascii="Arial" w:hAnsi="Arial" w:cs="Arial"/>
          <w:sz w:val="16"/>
        </w:rPr>
      </w:pPr>
      <w:r w:rsidRPr="00717AB7">
        <w:rPr>
          <w:rFonts w:ascii="Arial Narrow" w:hAnsi="Arial Narrow" w:cs="Arial"/>
          <w:b/>
          <w:sz w:val="16"/>
        </w:rPr>
        <w:t>Artículo 29.-</w:t>
      </w:r>
      <w:r w:rsidRPr="00717AB7">
        <w:rPr>
          <w:rFonts w:ascii="Arial Narrow" w:hAnsi="Arial Narrow" w:cs="Arial"/>
          <w:sz w:val="16"/>
        </w:rPr>
        <w:t xml:space="preserve"> 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footnote>
  <w:footnote w:id="13">
    <w:p w14:paraId="31B70A1E" w14:textId="77777777" w:rsidR="00717AB7" w:rsidRPr="00717AB7" w:rsidRDefault="00717AB7" w:rsidP="00717AB7">
      <w:pPr>
        <w:pStyle w:val="Textonotapie"/>
        <w:tabs>
          <w:tab w:val="left" w:pos="567"/>
        </w:tabs>
        <w:ind w:left="567" w:hanging="567"/>
        <w:jc w:val="both"/>
        <w:rPr>
          <w:rFonts w:ascii="Arial Narrow" w:hAnsi="Arial Narrow" w:cs="Arial"/>
          <w:b/>
          <w:sz w:val="16"/>
          <w:lang w:val="es-419"/>
        </w:rPr>
      </w:pPr>
      <w:r w:rsidRPr="00717AB7">
        <w:rPr>
          <w:rStyle w:val="Refdenotaalpie"/>
          <w:rFonts w:ascii="Arial Narrow" w:hAnsi="Arial Narrow" w:cs="Arial"/>
          <w:sz w:val="16"/>
        </w:rPr>
        <w:footnoteRef/>
      </w:r>
      <w:r w:rsidRPr="00717AB7">
        <w:rPr>
          <w:rFonts w:ascii="Arial" w:hAnsi="Arial" w:cs="Arial"/>
          <w:b/>
          <w:sz w:val="16"/>
        </w:rPr>
        <w:t xml:space="preserve"> </w:t>
      </w:r>
      <w:r w:rsidRPr="00717AB7">
        <w:rPr>
          <w:rFonts w:ascii="Arial Narrow" w:hAnsi="Arial Narrow" w:cs="Arial"/>
          <w:b/>
          <w:sz w:val="16"/>
          <w:lang w:val="es-419"/>
        </w:rPr>
        <w:tab/>
        <w:t>TEXTO ÚNICO ORDENADO DE LA LEY DEL PROCEDIMIENTO ADMINISTRATIVO GENERAL, aprobado mediante DECRETO SUPREMO 006-2026-JUS y publicado el 30 de abril de 2026</w:t>
      </w:r>
    </w:p>
    <w:p w14:paraId="235A3BF3" w14:textId="77777777" w:rsidR="00717AB7" w:rsidRPr="00717AB7" w:rsidRDefault="00717AB7" w:rsidP="00717AB7">
      <w:pPr>
        <w:pStyle w:val="Textonotapie"/>
        <w:ind w:left="567"/>
        <w:jc w:val="both"/>
        <w:rPr>
          <w:rFonts w:ascii="Arial Narrow" w:hAnsi="Arial Narrow" w:cs="Arial"/>
          <w:b/>
          <w:sz w:val="16"/>
          <w:lang w:val="es-419"/>
        </w:rPr>
      </w:pPr>
      <w:r w:rsidRPr="00717AB7">
        <w:rPr>
          <w:rFonts w:ascii="Arial Narrow" w:hAnsi="Arial Narrow" w:cs="Arial"/>
          <w:b/>
          <w:sz w:val="16"/>
          <w:lang w:val="es-419"/>
        </w:rPr>
        <w:t>Artículo 20.- modalidades de notificación</w:t>
      </w:r>
    </w:p>
    <w:p w14:paraId="39CA9FD5" w14:textId="77777777" w:rsidR="00717AB7" w:rsidRPr="00717AB7" w:rsidRDefault="00717AB7" w:rsidP="00717AB7">
      <w:pPr>
        <w:pStyle w:val="Textonotapie"/>
        <w:ind w:left="567"/>
        <w:jc w:val="both"/>
        <w:rPr>
          <w:rFonts w:ascii="Arial Narrow" w:hAnsi="Arial Narrow" w:cs="Arial"/>
          <w:sz w:val="16"/>
          <w:lang w:val="es-419"/>
        </w:rPr>
      </w:pPr>
      <w:r w:rsidRPr="00717AB7">
        <w:rPr>
          <w:rFonts w:ascii="Arial Narrow" w:hAnsi="Arial Narrow" w:cs="Arial"/>
          <w:sz w:val="16"/>
          <w:lang w:val="es-419"/>
        </w:rPr>
        <w:t>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1B194D2D" w14:textId="77777777" w:rsidR="00717AB7" w:rsidRPr="00717AB7" w:rsidRDefault="00717AB7" w:rsidP="00717AB7">
      <w:pPr>
        <w:pStyle w:val="Textonotapie"/>
        <w:ind w:left="567"/>
        <w:jc w:val="both"/>
        <w:rPr>
          <w:rFonts w:ascii="Arial Narrow" w:hAnsi="Arial Narrow" w:cs="Arial"/>
          <w:sz w:val="16"/>
          <w:lang w:val="es-419"/>
        </w:rPr>
      </w:pPr>
      <w:r w:rsidRPr="00717AB7">
        <w:rPr>
          <w:rFonts w:ascii="Arial Narrow" w:hAnsi="Arial Narrow" w:cs="Arial"/>
          <w:sz w:val="16"/>
          <w:lang w:val="es-419"/>
        </w:rPr>
        <w:t>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w:t>
      </w:r>
    </w:p>
    <w:p w14:paraId="329831E6" w14:textId="3D56DFB4" w:rsidR="00717AB7" w:rsidRPr="00717AB7" w:rsidRDefault="00717AB7" w:rsidP="00717AB7">
      <w:pPr>
        <w:pStyle w:val="Textonotapie"/>
        <w:spacing w:after="200"/>
        <w:ind w:left="567"/>
        <w:jc w:val="both"/>
        <w:rPr>
          <w:rFonts w:ascii="Arial" w:hAnsi="Arial" w:cs="Arial"/>
          <w:sz w:val="16"/>
          <w:lang w:val="es-419"/>
        </w:rPr>
      </w:pPr>
      <w:r w:rsidRPr="00717AB7">
        <w:rPr>
          <w:rFonts w:ascii="Arial Narrow" w:hAnsi="Arial Narrow" w:cs="Arial"/>
          <w:sz w:val="16"/>
          <w:lang w:val="es-419"/>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A9D7CF" w14:textId="77777777" w:rsidR="00107A1A" w:rsidRDefault="00107A1A">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4A002A49" w14:textId="77777777" w:rsidTr="003D7BF0">
      <w:trPr>
        <w:trHeight w:val="1310"/>
      </w:trPr>
      <w:tc>
        <w:tcPr>
          <w:tcW w:w="4518" w:type="dxa"/>
        </w:tcPr>
        <w:p w14:paraId="557788EC" w14:textId="77777777" w:rsidR="00B91E42" w:rsidRPr="00C211F8" w:rsidRDefault="00B91E42" w:rsidP="003D7BF0">
          <w:pPr>
            <w:spacing w:after="0"/>
          </w:pPr>
          <w:bookmarkStart w:id="8" w:name="_Hlk212019410"/>
          <w:r>
            <w:rPr>
              <w:noProof/>
            </w:rPr>
            <w:drawing>
              <wp:inline distT="0" distB="0" distL="0" distR="0" wp14:anchorId="1361FEEA" wp14:editId="317D21DD">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65CCA26B"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767FD728"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216E1624"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7541941"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1059929B"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5759FC6E" w14:textId="77777777" w:rsidR="00107A1A" w:rsidRDefault="00107A1A" w:rsidP="003D7BF0">
          <w:pPr>
            <w:tabs>
              <w:tab w:val="center" w:pos="4419"/>
              <w:tab w:val="right" w:pos="8838"/>
            </w:tabs>
            <w:spacing w:after="0"/>
            <w:jc w:val="right"/>
            <w:rPr>
              <w:rFonts w:ascii="Arial Narrow" w:hAnsi="Arial Narrow" w:cs="Arial Narrow"/>
              <w:b/>
              <w:bCs/>
              <w:i/>
              <w:iCs/>
              <w:sz w:val="16"/>
              <w:szCs w:val="16"/>
            </w:rPr>
          </w:pPr>
        </w:p>
        <w:p w14:paraId="3235E3AD"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586C23E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7AA8719"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740DA1AC"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8"/>
  </w:tbl>
  <w:p w14:paraId="03631474" w14:textId="77777777" w:rsidR="00B91E42" w:rsidRDefault="00B91E42">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170DEA" w14:textId="77777777" w:rsidR="00107A1A" w:rsidRDefault="00107A1A">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abstractNumId w:val="8"/>
  </w:num>
  <w:num w:numId="2">
    <w:abstractNumId w:val="1"/>
  </w:num>
  <w:num w:numId="3">
    <w:abstractNumId w:val="6"/>
  </w:num>
  <w:num w:numId="4">
    <w:abstractNumId w:val="3"/>
  </w:num>
  <w:num w:numId="5">
    <w:abstractNumId w:val="7"/>
  </w:num>
  <w:num w:numId="6">
    <w:abstractNumId w:val="0"/>
  </w:num>
  <w:num w:numId="7">
    <w:abstractNumId w:val="4"/>
  </w:num>
  <w:num w:numId="8">
    <w:abstractNumId w:val="2"/>
  </w:num>
  <w:num w:numId="9">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09FF"/>
    <w:rsid w:val="000138BC"/>
    <w:rsid w:val="00014D19"/>
    <w:rsid w:val="000153EC"/>
    <w:rsid w:val="00026DA0"/>
    <w:rsid w:val="000313B8"/>
    <w:rsid w:val="00043A1C"/>
    <w:rsid w:val="00076B57"/>
    <w:rsid w:val="00080193"/>
    <w:rsid w:val="0008134D"/>
    <w:rsid w:val="000A1CD5"/>
    <w:rsid w:val="000A2C5A"/>
    <w:rsid w:val="000B7A09"/>
    <w:rsid w:val="000C03E0"/>
    <w:rsid w:val="000C186B"/>
    <w:rsid w:val="000C4DDA"/>
    <w:rsid w:val="000D0811"/>
    <w:rsid w:val="000E04C3"/>
    <w:rsid w:val="000E5C8E"/>
    <w:rsid w:val="000E6429"/>
    <w:rsid w:val="000E6FE2"/>
    <w:rsid w:val="000F776B"/>
    <w:rsid w:val="00107A1A"/>
    <w:rsid w:val="00121544"/>
    <w:rsid w:val="00124069"/>
    <w:rsid w:val="00130629"/>
    <w:rsid w:val="001306B4"/>
    <w:rsid w:val="00131702"/>
    <w:rsid w:val="00164BA4"/>
    <w:rsid w:val="00166964"/>
    <w:rsid w:val="001670D0"/>
    <w:rsid w:val="00171A25"/>
    <w:rsid w:val="001817A1"/>
    <w:rsid w:val="0019248B"/>
    <w:rsid w:val="001973E1"/>
    <w:rsid w:val="001B51BB"/>
    <w:rsid w:val="001B5674"/>
    <w:rsid w:val="001B56A2"/>
    <w:rsid w:val="001B6FB2"/>
    <w:rsid w:val="001B6FF8"/>
    <w:rsid w:val="001C0060"/>
    <w:rsid w:val="001D0C14"/>
    <w:rsid w:val="001D3F79"/>
    <w:rsid w:val="001F2C32"/>
    <w:rsid w:val="001F344A"/>
    <w:rsid w:val="002017B0"/>
    <w:rsid w:val="002024D8"/>
    <w:rsid w:val="0021374A"/>
    <w:rsid w:val="00215307"/>
    <w:rsid w:val="002162CF"/>
    <w:rsid w:val="002504FA"/>
    <w:rsid w:val="00251562"/>
    <w:rsid w:val="00260C16"/>
    <w:rsid w:val="0027292C"/>
    <w:rsid w:val="002769D6"/>
    <w:rsid w:val="0028248F"/>
    <w:rsid w:val="0028322F"/>
    <w:rsid w:val="0028624B"/>
    <w:rsid w:val="00290C55"/>
    <w:rsid w:val="002919C1"/>
    <w:rsid w:val="00291B98"/>
    <w:rsid w:val="00293F2F"/>
    <w:rsid w:val="002A0A1A"/>
    <w:rsid w:val="002A10BA"/>
    <w:rsid w:val="002B0771"/>
    <w:rsid w:val="002B2DF7"/>
    <w:rsid w:val="002C265E"/>
    <w:rsid w:val="002D68A3"/>
    <w:rsid w:val="002E5997"/>
    <w:rsid w:val="002E5B3A"/>
    <w:rsid w:val="002F36CE"/>
    <w:rsid w:val="002F47E6"/>
    <w:rsid w:val="0030215E"/>
    <w:rsid w:val="0031639C"/>
    <w:rsid w:val="003246B7"/>
    <w:rsid w:val="00327F5B"/>
    <w:rsid w:val="00330361"/>
    <w:rsid w:val="003303E9"/>
    <w:rsid w:val="003304BA"/>
    <w:rsid w:val="003416D0"/>
    <w:rsid w:val="00345437"/>
    <w:rsid w:val="0035023E"/>
    <w:rsid w:val="00353D90"/>
    <w:rsid w:val="003569CD"/>
    <w:rsid w:val="003609C5"/>
    <w:rsid w:val="00366C46"/>
    <w:rsid w:val="003719B7"/>
    <w:rsid w:val="003748FB"/>
    <w:rsid w:val="003A00D7"/>
    <w:rsid w:val="003A3BA5"/>
    <w:rsid w:val="003A3BA6"/>
    <w:rsid w:val="003A555E"/>
    <w:rsid w:val="003A71B1"/>
    <w:rsid w:val="003C22C4"/>
    <w:rsid w:val="003C6685"/>
    <w:rsid w:val="004251B6"/>
    <w:rsid w:val="00453840"/>
    <w:rsid w:val="004551D0"/>
    <w:rsid w:val="00466DFF"/>
    <w:rsid w:val="0047310F"/>
    <w:rsid w:val="00487837"/>
    <w:rsid w:val="004A45A4"/>
    <w:rsid w:val="004B0B44"/>
    <w:rsid w:val="004B1E5F"/>
    <w:rsid w:val="004B6816"/>
    <w:rsid w:val="004C4BF2"/>
    <w:rsid w:val="004D0925"/>
    <w:rsid w:val="004D6D10"/>
    <w:rsid w:val="004D7945"/>
    <w:rsid w:val="004F1116"/>
    <w:rsid w:val="00515328"/>
    <w:rsid w:val="00531C07"/>
    <w:rsid w:val="00537A7E"/>
    <w:rsid w:val="00537BD7"/>
    <w:rsid w:val="00544EBE"/>
    <w:rsid w:val="00547BF9"/>
    <w:rsid w:val="005505B7"/>
    <w:rsid w:val="0055380D"/>
    <w:rsid w:val="00555B9B"/>
    <w:rsid w:val="005636EE"/>
    <w:rsid w:val="00565126"/>
    <w:rsid w:val="00565BE7"/>
    <w:rsid w:val="00565E92"/>
    <w:rsid w:val="0058044E"/>
    <w:rsid w:val="00595E82"/>
    <w:rsid w:val="005B08A8"/>
    <w:rsid w:val="005B4857"/>
    <w:rsid w:val="005B7647"/>
    <w:rsid w:val="005C641F"/>
    <w:rsid w:val="005D3B8D"/>
    <w:rsid w:val="005D7A26"/>
    <w:rsid w:val="005E5407"/>
    <w:rsid w:val="005E58C8"/>
    <w:rsid w:val="005F38F3"/>
    <w:rsid w:val="00601F77"/>
    <w:rsid w:val="00605BF8"/>
    <w:rsid w:val="00612454"/>
    <w:rsid w:val="00626395"/>
    <w:rsid w:val="00646CC7"/>
    <w:rsid w:val="00654587"/>
    <w:rsid w:val="00657D0C"/>
    <w:rsid w:val="00673955"/>
    <w:rsid w:val="006A6044"/>
    <w:rsid w:val="006E20FA"/>
    <w:rsid w:val="006E326E"/>
    <w:rsid w:val="006F0D03"/>
    <w:rsid w:val="00711750"/>
    <w:rsid w:val="00714623"/>
    <w:rsid w:val="00717AB7"/>
    <w:rsid w:val="007205B3"/>
    <w:rsid w:val="00723C18"/>
    <w:rsid w:val="00732D6C"/>
    <w:rsid w:val="00735F8D"/>
    <w:rsid w:val="0074378D"/>
    <w:rsid w:val="0074704C"/>
    <w:rsid w:val="0076125F"/>
    <w:rsid w:val="00761FEA"/>
    <w:rsid w:val="00762D3E"/>
    <w:rsid w:val="00763DFC"/>
    <w:rsid w:val="0076646A"/>
    <w:rsid w:val="00772A00"/>
    <w:rsid w:val="00783D3F"/>
    <w:rsid w:val="00793E0A"/>
    <w:rsid w:val="007A4F99"/>
    <w:rsid w:val="007A5184"/>
    <w:rsid w:val="007B50E3"/>
    <w:rsid w:val="007B6063"/>
    <w:rsid w:val="007C669A"/>
    <w:rsid w:val="007D31A8"/>
    <w:rsid w:val="007D6512"/>
    <w:rsid w:val="007D7707"/>
    <w:rsid w:val="007E3262"/>
    <w:rsid w:val="007E409F"/>
    <w:rsid w:val="007F305F"/>
    <w:rsid w:val="007F4EFA"/>
    <w:rsid w:val="00803D7E"/>
    <w:rsid w:val="0080766B"/>
    <w:rsid w:val="00811A2B"/>
    <w:rsid w:val="008253FC"/>
    <w:rsid w:val="00826948"/>
    <w:rsid w:val="0083186C"/>
    <w:rsid w:val="00835D83"/>
    <w:rsid w:val="008475B3"/>
    <w:rsid w:val="00851689"/>
    <w:rsid w:val="00856C2A"/>
    <w:rsid w:val="008625AB"/>
    <w:rsid w:val="00872A80"/>
    <w:rsid w:val="00873F56"/>
    <w:rsid w:val="00877B92"/>
    <w:rsid w:val="008819A6"/>
    <w:rsid w:val="008834B0"/>
    <w:rsid w:val="00890B1F"/>
    <w:rsid w:val="0089579A"/>
    <w:rsid w:val="00895AB6"/>
    <w:rsid w:val="00896A8E"/>
    <w:rsid w:val="00897AD7"/>
    <w:rsid w:val="008A211A"/>
    <w:rsid w:val="008A2912"/>
    <w:rsid w:val="008A2ABA"/>
    <w:rsid w:val="008A4F60"/>
    <w:rsid w:val="008A6481"/>
    <w:rsid w:val="008B4811"/>
    <w:rsid w:val="008C6BCC"/>
    <w:rsid w:val="008C7DBE"/>
    <w:rsid w:val="008E2E5A"/>
    <w:rsid w:val="008E6BA0"/>
    <w:rsid w:val="008E746F"/>
    <w:rsid w:val="009025CE"/>
    <w:rsid w:val="00924F24"/>
    <w:rsid w:val="00947FE2"/>
    <w:rsid w:val="009606E6"/>
    <w:rsid w:val="00967D93"/>
    <w:rsid w:val="009805B9"/>
    <w:rsid w:val="00985114"/>
    <w:rsid w:val="00987623"/>
    <w:rsid w:val="00996DC2"/>
    <w:rsid w:val="009B0B00"/>
    <w:rsid w:val="009B2027"/>
    <w:rsid w:val="009C3228"/>
    <w:rsid w:val="009D2900"/>
    <w:rsid w:val="009D4278"/>
    <w:rsid w:val="009D66A2"/>
    <w:rsid w:val="009D7D45"/>
    <w:rsid w:val="00A008E2"/>
    <w:rsid w:val="00A0361F"/>
    <w:rsid w:val="00A04DB7"/>
    <w:rsid w:val="00A17FC8"/>
    <w:rsid w:val="00A23703"/>
    <w:rsid w:val="00A37879"/>
    <w:rsid w:val="00A50683"/>
    <w:rsid w:val="00A54BBE"/>
    <w:rsid w:val="00A66205"/>
    <w:rsid w:val="00A66BF2"/>
    <w:rsid w:val="00A66DE0"/>
    <w:rsid w:val="00A675FC"/>
    <w:rsid w:val="00A7053E"/>
    <w:rsid w:val="00A760AA"/>
    <w:rsid w:val="00A84194"/>
    <w:rsid w:val="00A87B9B"/>
    <w:rsid w:val="00A91613"/>
    <w:rsid w:val="00AA1996"/>
    <w:rsid w:val="00AA61D3"/>
    <w:rsid w:val="00AB0626"/>
    <w:rsid w:val="00AC5DF4"/>
    <w:rsid w:val="00AC634C"/>
    <w:rsid w:val="00AE2D20"/>
    <w:rsid w:val="00B07D5F"/>
    <w:rsid w:val="00B20DDF"/>
    <w:rsid w:val="00B27062"/>
    <w:rsid w:val="00B3607D"/>
    <w:rsid w:val="00B37A7A"/>
    <w:rsid w:val="00B42367"/>
    <w:rsid w:val="00B45EBC"/>
    <w:rsid w:val="00B71A7D"/>
    <w:rsid w:val="00B739FB"/>
    <w:rsid w:val="00B906B1"/>
    <w:rsid w:val="00B91E42"/>
    <w:rsid w:val="00B934C3"/>
    <w:rsid w:val="00B953E7"/>
    <w:rsid w:val="00B96409"/>
    <w:rsid w:val="00B97AB5"/>
    <w:rsid w:val="00BA461D"/>
    <w:rsid w:val="00BA6E57"/>
    <w:rsid w:val="00BB47E5"/>
    <w:rsid w:val="00BC42BA"/>
    <w:rsid w:val="00BD2086"/>
    <w:rsid w:val="00BD470D"/>
    <w:rsid w:val="00BD7737"/>
    <w:rsid w:val="00BE0677"/>
    <w:rsid w:val="00BE23D5"/>
    <w:rsid w:val="00BF1B59"/>
    <w:rsid w:val="00C03E0B"/>
    <w:rsid w:val="00C04498"/>
    <w:rsid w:val="00C2093C"/>
    <w:rsid w:val="00C20DB0"/>
    <w:rsid w:val="00C30CCD"/>
    <w:rsid w:val="00C472DA"/>
    <w:rsid w:val="00C56FC4"/>
    <w:rsid w:val="00C613CB"/>
    <w:rsid w:val="00C6431E"/>
    <w:rsid w:val="00C67EE7"/>
    <w:rsid w:val="00C72EFF"/>
    <w:rsid w:val="00C76258"/>
    <w:rsid w:val="00C77DFA"/>
    <w:rsid w:val="00C803D9"/>
    <w:rsid w:val="00C93C33"/>
    <w:rsid w:val="00C95E59"/>
    <w:rsid w:val="00CA59A2"/>
    <w:rsid w:val="00CB098D"/>
    <w:rsid w:val="00CC5228"/>
    <w:rsid w:val="00CD0C8E"/>
    <w:rsid w:val="00CD118F"/>
    <w:rsid w:val="00CD1878"/>
    <w:rsid w:val="00CD245D"/>
    <w:rsid w:val="00CD62B5"/>
    <w:rsid w:val="00CE01D5"/>
    <w:rsid w:val="00CE35A6"/>
    <w:rsid w:val="00CF40EB"/>
    <w:rsid w:val="00D0172A"/>
    <w:rsid w:val="00D049FC"/>
    <w:rsid w:val="00D04A70"/>
    <w:rsid w:val="00D13818"/>
    <w:rsid w:val="00D46CD3"/>
    <w:rsid w:val="00D502EA"/>
    <w:rsid w:val="00D53538"/>
    <w:rsid w:val="00D53DDE"/>
    <w:rsid w:val="00D56261"/>
    <w:rsid w:val="00D6254A"/>
    <w:rsid w:val="00D62B83"/>
    <w:rsid w:val="00D66B2A"/>
    <w:rsid w:val="00D753B8"/>
    <w:rsid w:val="00D95607"/>
    <w:rsid w:val="00DA02A5"/>
    <w:rsid w:val="00DA79A0"/>
    <w:rsid w:val="00DB0075"/>
    <w:rsid w:val="00DB05E2"/>
    <w:rsid w:val="00DB4DD5"/>
    <w:rsid w:val="00DB5CCB"/>
    <w:rsid w:val="00DB6197"/>
    <w:rsid w:val="00DC00FF"/>
    <w:rsid w:val="00DD0EE7"/>
    <w:rsid w:val="00DE4803"/>
    <w:rsid w:val="00DE7477"/>
    <w:rsid w:val="00DE7EA8"/>
    <w:rsid w:val="00E142DD"/>
    <w:rsid w:val="00E2296F"/>
    <w:rsid w:val="00E500B6"/>
    <w:rsid w:val="00E55AB3"/>
    <w:rsid w:val="00E55D8D"/>
    <w:rsid w:val="00E6140E"/>
    <w:rsid w:val="00E67D34"/>
    <w:rsid w:val="00E83F88"/>
    <w:rsid w:val="00EA78F9"/>
    <w:rsid w:val="00EB4D2D"/>
    <w:rsid w:val="00EC2858"/>
    <w:rsid w:val="00EC4780"/>
    <w:rsid w:val="00ED4B2D"/>
    <w:rsid w:val="00ED5D86"/>
    <w:rsid w:val="00ED6393"/>
    <w:rsid w:val="00EE3204"/>
    <w:rsid w:val="00EF478C"/>
    <w:rsid w:val="00F01410"/>
    <w:rsid w:val="00F14BCC"/>
    <w:rsid w:val="00F3683E"/>
    <w:rsid w:val="00F37E66"/>
    <w:rsid w:val="00F54F2D"/>
    <w:rsid w:val="00F709C5"/>
    <w:rsid w:val="00F71384"/>
    <w:rsid w:val="00F754DE"/>
    <w:rsid w:val="00F779CE"/>
    <w:rsid w:val="00F85C52"/>
    <w:rsid w:val="00F954C6"/>
    <w:rsid w:val="00FB44B8"/>
    <w:rsid w:val="00FB6AAD"/>
    <w:rsid w:val="00FE1FB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40B963"/>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B71A7D"/>
    <w:rPr>
      <w:sz w:val="16"/>
      <w:szCs w:val="16"/>
    </w:rPr>
  </w:style>
  <w:style w:type="paragraph" w:styleId="Textocomentario">
    <w:name w:val="annotation text"/>
    <w:basedOn w:val="Normal"/>
    <w:link w:val="TextocomentarioCar"/>
    <w:uiPriority w:val="99"/>
    <w:unhideWhenUsed/>
    <w:rsid w:val="00B71A7D"/>
    <w:pPr>
      <w:spacing w:line="240" w:lineRule="auto"/>
    </w:pPr>
    <w:rPr>
      <w:sz w:val="20"/>
      <w:szCs w:val="20"/>
    </w:rPr>
  </w:style>
  <w:style w:type="character" w:customStyle="1" w:styleId="TextocomentarioCar">
    <w:name w:val="Texto comentario Car"/>
    <w:basedOn w:val="Fuentedeprrafopredeter"/>
    <w:link w:val="Textocomentario"/>
    <w:uiPriority w:val="99"/>
    <w:rsid w:val="00B71A7D"/>
    <w:rPr>
      <w:sz w:val="20"/>
      <w:szCs w:val="20"/>
    </w:rPr>
  </w:style>
  <w:style w:type="paragraph" w:styleId="Asuntodelcomentario">
    <w:name w:val="annotation subject"/>
    <w:basedOn w:val="Textocomentario"/>
    <w:next w:val="Textocomentario"/>
    <w:link w:val="AsuntodelcomentarioCar"/>
    <w:uiPriority w:val="99"/>
    <w:semiHidden/>
    <w:unhideWhenUsed/>
    <w:rsid w:val="00B71A7D"/>
    <w:rPr>
      <w:b/>
      <w:bCs/>
    </w:rPr>
  </w:style>
  <w:style w:type="character" w:customStyle="1" w:styleId="AsuntodelcomentarioCar">
    <w:name w:val="Asunto del comentario Car"/>
    <w:basedOn w:val="TextocomentarioCar"/>
    <w:link w:val="Asuntodelcomentario"/>
    <w:uiPriority w:val="99"/>
    <w:semiHidden/>
    <w:rsid w:val="00B71A7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header2.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TotalTime>
  <Pages>6</Pages>
  <Words>1558</Words>
  <Characters>8570</Characters>
  <Application>Microsoft Office Word</Application>
  <DocSecurity>0</DocSecurity>
  <Lines>71</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10108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David</cp:lastModifiedBy>
  <cp:revision>3</cp:revision>
  <dcterms:created xsi:type="dcterms:W3CDTF">2026-07-31T14:14:00Z</dcterms:created>
  <dcterms:modified xsi:type="dcterms:W3CDTF">2026-07-31T14:30:00Z</dcterms:modified>
</cp:coreProperties>
</file>