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C44F05" w:rsidRPr="00E902D0">
        <w:rPr>
          <w:rFonts w:ascii="Arial Narrow" w:eastAsia="Arial Narrow" w:hAnsi="Arial Narrow" w:cs="Arial Narrow"/>
          <w:b/>
          <w:sz w:val="22"/>
          <w:szCs w:val="22"/>
        </w:rPr>
        <w:t xml:space="preserve"/>
      </w:r>
      <w:r w:rsidR="00287905" w:rsidRPr="00E902D0">
        <w:rPr>
          <w:rFonts w:ascii="Arial Narrow" w:eastAsia="Arial Narrow" w:hAnsi="Arial Narrow" w:cs="Arial Narrow"/>
          <w:b/>
          <w:sz w:val="22"/>
          <w:szCs w:val="22"/>
        </w:rPr>
        <w:t/>
      </w:r>
      <w:r w:rsidR="00115282" w:rsidRPr="00E902D0">
        <w:rPr>
          <w:rFonts w:ascii="Arial Narrow" w:eastAsia="Arial Narrow" w:hAnsi="Arial Narrow" w:cs="Arial Narrow"/>
          <w:b/>
          <w:sz w:val="22"/>
          <w:szCs w:val="22"/>
        </w:rPr>
        <w:t/>
      </w:r>
      <w:r w:rsidR="00287905" w:rsidRPr="00E902D0">
        <w:rPr>
          <w:rFonts w:ascii="Arial Narrow" w:eastAsia="Arial Narrow" w:hAnsi="Arial Narrow" w:cs="Arial Narrow"/>
          <w:b/>
          <w:sz w:val="22"/>
          <w:szCs w:val="22"/>
        </w:rPr>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0</w:t>
      </w:r>
      <w:r w:rsidR="00A82DB2">
        <w:rPr>
          <w:rFonts w:ascii="Arial Narrow" w:eastAsia="Arial Narrow" w:hAnsi="Arial Narrow" w:cs="Arial Narrow"/>
          <w:sz w:val="22"/>
          <w:szCs w:val="22"/>
        </w:rPr>
        <w:t>7</w:t>
      </w:r>
      <w:r w:rsidR="00287905" w:rsidRPr="00E902D0">
        <w:rPr>
          <w:rFonts w:ascii="Arial Narrow" w:eastAsia="Arial Narrow" w:hAnsi="Arial Narrow" w:cs="Arial Narrow"/>
          <w:sz w:val="22"/>
          <w:szCs w:val="22"/>
        </w:rPr>
        <w:t xml:space="preserve"> de </w:t>
      </w:r>
      <w:r w:rsidR="00D11A4E">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del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del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del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del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14:paraId="699FAF78" w14:textId="1C104E35" w:rsidR="00A84D46" w:rsidRPr="00E902D0" w:rsidRDefault="00167A06" w:rsidP="009B5E9A">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subsanado por escrito el 16 de abril del 2025</w:t>
      </w:r>
      <w:r w:rsidR="004A02B9" w:rsidRPr="00E902D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91250" w:rsidRPr="00C9125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91250" w:rsidRPr="00C91250">
        <w:rPr>
          <w:rFonts w:ascii="Arial Narrow" w:eastAsia="Arial Narrow" w:hAnsi="Arial Narrow" w:cs="Arial Narrow"/>
          <w:bCs/>
          <w:sz w:val="22"/>
          <w:szCs w:val="22"/>
        </w:rPr>
        <w:t xml:space="preserve"> Seguros y Reaseguros S.A., Diveimport S.A. y GD Ajustadores de Seguros S.A.C.</w:t>
      </w:r>
      <w:r w:rsidR="005B26CB">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 xml:space="preserve"> </w:t>
      </w:r>
      <w:r w:rsidR="00A84D46" w:rsidRPr="00E902D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902D0">
        <w:rPr>
          <w:rFonts w:ascii="Arial Narrow" w:hAnsi="Arial Narrow" w:cs="Arial"/>
          <w:sz w:val="22"/>
          <w:szCs w:val="22"/>
          <w:lang w:val="es-ES" w:eastAsia="es-ES"/>
        </w:rPr>
        <w:t>2024</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t xml:space="preserve">Representada por el señor [APELLIDO] Cleofe Torres Hidalgo.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