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48" w:type="dxa"/>
        <w:tblInd w:w="-142" w:type="dxa"/>
        <w:tblLook w:val="04A0" w:firstRow="1" w:lastRow="0" w:firstColumn="1" w:lastColumn="0" w:noHBand="0" w:noVBand="1"/>
      </w:tblPr>
      <w:tblGrid>
        <w:gridCol w:w="2745"/>
        <w:gridCol w:w="323"/>
        <w:gridCol w:w="5480"/>
      </w:tblGrid>
      <w:tr w:rsidR="003076A5" w:rsidRPr="001B5C93" w14:paraId="26FE0975" w14:textId="77777777" w:rsidTr="008A50DC">
        <w:tc>
          <w:tcPr>
            <w:tcW w:w="2745" w:type="dxa"/>
            <w:vAlign w:val="center"/>
            <w:hideMark/>
          </w:tcPr>
          <w:p w14:paraId="4390368C"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 xml:space="preserve">INGRESO EN COMISIÓN      </w:t>
            </w:r>
          </w:p>
        </w:tc>
        <w:tc>
          <w:tcPr>
            <w:tcW w:w="323" w:type="dxa"/>
            <w:vAlign w:val="center"/>
            <w:hideMark/>
          </w:tcPr>
          <w:p w14:paraId="0E89618B"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vAlign w:val="center"/>
            <w:hideMark/>
          </w:tcPr>
          <w:p w14:paraId="476FCC51" w14:textId="33B7E8C4" w:rsidR="003076A5" w:rsidRPr="00A32A6F" w:rsidRDefault="003D0150" w:rsidP="001B5C93">
            <w:pPr>
              <w:tabs>
                <w:tab w:val="left" w:pos="8222"/>
              </w:tabs>
              <w:rPr>
                <w:rFonts w:ascii="Arial Narrow" w:hAnsi="Arial Narrow" w:cs="Arial"/>
                <w:b/>
                <w:noProof/>
                <w:color w:val="auto"/>
                <w:sz w:val="22"/>
                <w:szCs w:val="22"/>
                <w:lang w:val="es-ES" w:eastAsia="es-ES"/>
              </w:rPr>
            </w:pPr>
            <w:r w:rsidRPr="00A32A6F">
              <w:rPr>
                <w:rFonts w:ascii="Arial Narrow" w:hAnsi="Arial Narrow" w:cs="Arial"/>
                <w:b/>
                <w:noProof/>
                <w:color w:val="auto"/>
                <w:sz w:val="22"/>
                <w:szCs w:val="22"/>
                <w:lang w:val="es-ES" w:eastAsia="es-ES"/>
              </w:rPr>
              <w:t>0840</w:t>
            </w:r>
            <w:r w:rsidR="003076A5" w:rsidRPr="00A32A6F">
              <w:rPr>
                <w:rFonts w:ascii="Arial Narrow" w:hAnsi="Arial Narrow" w:cs="Arial"/>
                <w:b/>
                <w:noProof/>
                <w:color w:val="auto"/>
                <w:sz w:val="22"/>
                <w:szCs w:val="22"/>
                <w:lang w:val="es-ES" w:eastAsia="es-ES"/>
              </w:rPr>
              <w:t>-202</w:t>
            </w:r>
            <w:r w:rsidR="00956B7C" w:rsidRPr="00A32A6F">
              <w:rPr>
                <w:rFonts w:ascii="Arial Narrow" w:hAnsi="Arial Narrow" w:cs="Arial"/>
                <w:b/>
                <w:noProof/>
                <w:color w:val="auto"/>
                <w:sz w:val="22"/>
                <w:szCs w:val="22"/>
                <w:lang w:val="es-ES" w:eastAsia="es-ES"/>
              </w:rPr>
              <w:t>5</w:t>
            </w:r>
            <w:r w:rsidR="003076A5" w:rsidRPr="00A32A6F">
              <w:rPr>
                <w:rFonts w:ascii="Arial Narrow" w:hAnsi="Arial Narrow" w:cs="Arial"/>
                <w:b/>
                <w:noProof/>
                <w:color w:val="auto"/>
                <w:sz w:val="22"/>
                <w:szCs w:val="22"/>
                <w:lang w:val="es-ES" w:eastAsia="es-ES"/>
              </w:rPr>
              <w:t>/CC1-APELACION</w:t>
            </w:r>
          </w:p>
        </w:tc>
      </w:tr>
      <w:tr w:rsidR="003076A5" w:rsidRPr="001B5C93" w14:paraId="65E58818" w14:textId="77777777" w:rsidTr="008A50DC">
        <w:trPr>
          <w:trHeight w:val="184"/>
        </w:trPr>
        <w:tc>
          <w:tcPr>
            <w:tcW w:w="2745" w:type="dxa"/>
            <w:hideMark/>
          </w:tcPr>
          <w:p w14:paraId="7ABD92A9"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EXPEDIENTE DE ORIGEN Nº</w:t>
            </w:r>
          </w:p>
        </w:tc>
        <w:tc>
          <w:tcPr>
            <w:tcW w:w="323" w:type="dxa"/>
            <w:hideMark/>
          </w:tcPr>
          <w:p w14:paraId="55B05055"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vAlign w:val="center"/>
            <w:hideMark/>
          </w:tcPr>
          <w:p w14:paraId="6806BF4B" w14:textId="22119CD1" w:rsidR="003076A5" w:rsidRPr="001B5C93" w:rsidRDefault="0069180F" w:rsidP="001B5C93">
            <w:pPr>
              <w:tabs>
                <w:tab w:val="left" w:pos="8222"/>
              </w:tabs>
              <w:rPr>
                <w:rFonts w:ascii="Arial Narrow" w:hAnsi="Arial Narrow" w:cs="Arial"/>
                <w:b/>
                <w:noProof/>
                <w:color w:val="auto"/>
                <w:sz w:val="22"/>
                <w:szCs w:val="22"/>
                <w:highlight w:val="yellow"/>
                <w:lang w:val="en-US" w:eastAsia="es-ES"/>
              </w:rPr>
            </w:pPr>
            <w:r w:rsidRPr="0069180F">
              <w:rPr>
                <w:rFonts w:ascii="Arial Narrow" w:hAnsi="Arial Narrow" w:cs="Arial"/>
                <w:b/>
                <w:noProof/>
                <w:color w:val="auto"/>
                <w:sz w:val="22"/>
                <w:szCs w:val="22"/>
                <w:lang w:val="en-US" w:eastAsia="es-ES"/>
              </w:rPr>
              <w:t>2770</w:t>
            </w:r>
            <w:r w:rsidR="003076A5" w:rsidRPr="0069180F">
              <w:rPr>
                <w:rFonts w:ascii="Arial Narrow" w:hAnsi="Arial Narrow" w:cs="Arial"/>
                <w:b/>
                <w:noProof/>
                <w:color w:val="auto"/>
                <w:sz w:val="22"/>
                <w:szCs w:val="22"/>
                <w:lang w:val="en-US" w:eastAsia="es-ES"/>
              </w:rPr>
              <w:t>-202</w:t>
            </w:r>
            <w:r w:rsidRPr="0069180F">
              <w:rPr>
                <w:rFonts w:ascii="Arial Narrow" w:hAnsi="Arial Narrow" w:cs="Arial"/>
                <w:b/>
                <w:noProof/>
                <w:color w:val="auto"/>
                <w:sz w:val="22"/>
                <w:szCs w:val="22"/>
                <w:lang w:val="en-US" w:eastAsia="es-ES"/>
              </w:rPr>
              <w:t>5</w:t>
            </w:r>
            <w:r w:rsidR="003076A5" w:rsidRPr="0069180F">
              <w:rPr>
                <w:rFonts w:ascii="Arial Narrow" w:hAnsi="Arial Narrow" w:cs="Arial"/>
                <w:b/>
                <w:noProof/>
                <w:color w:val="auto"/>
                <w:sz w:val="22"/>
                <w:szCs w:val="22"/>
                <w:lang w:val="en-US" w:eastAsia="es-ES"/>
              </w:rPr>
              <w:t>/PS</w:t>
            </w:r>
            <w:r w:rsidR="00956B7C" w:rsidRPr="0069180F">
              <w:rPr>
                <w:rFonts w:ascii="Arial Narrow" w:hAnsi="Arial Narrow" w:cs="Arial"/>
                <w:b/>
                <w:noProof/>
                <w:color w:val="auto"/>
                <w:sz w:val="22"/>
                <w:szCs w:val="22"/>
                <w:lang w:val="en-US" w:eastAsia="es-ES"/>
              </w:rPr>
              <w:t>2</w:t>
            </w:r>
          </w:p>
        </w:tc>
      </w:tr>
      <w:tr w:rsidR="003076A5" w:rsidRPr="001B5C93" w14:paraId="5A0926A9" w14:textId="77777777" w:rsidTr="008A50DC">
        <w:tc>
          <w:tcPr>
            <w:tcW w:w="2745" w:type="dxa"/>
            <w:hideMark/>
          </w:tcPr>
          <w:p w14:paraId="31A2F77B"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DENUNCIANTE</w:t>
            </w:r>
          </w:p>
        </w:tc>
        <w:tc>
          <w:tcPr>
            <w:tcW w:w="323" w:type="dxa"/>
            <w:hideMark/>
          </w:tcPr>
          <w:p w14:paraId="53FCFFB3"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hideMark/>
          </w:tcPr>
          <w:p w14:paraId="2BEA63F3" w14:textId="116B1C1D" w:rsidR="003076A5" w:rsidRPr="001B5C93" w:rsidRDefault="00833290" w:rsidP="001B5C93">
            <w:pPr>
              <w:tabs>
                <w:tab w:val="left" w:pos="8222"/>
              </w:tabs>
              <w:rPr>
                <w:rFonts w:ascii="Arial Narrow" w:hAnsi="Arial Narrow" w:cs="Arial"/>
                <w:b/>
                <w:noProof/>
                <w:color w:val="auto"/>
                <w:sz w:val="22"/>
                <w:szCs w:val="22"/>
                <w:highlight w:val="yellow"/>
                <w:lang w:val="es-ES" w:eastAsia="es-ES"/>
              </w:rPr>
            </w:pPr>
            <w:r w:rsidRPr="00833290">
              <w:rPr>
                <w:rFonts w:ascii="Arial Narrow" w:hAnsi="Arial Narrow" w:cs="Arial"/>
                <w:b/>
                <w:noProof/>
                <w:color w:val="auto"/>
                <w:sz w:val="22"/>
                <w:szCs w:val="22"/>
                <w:lang w:val="es-ES" w:eastAsia="es-ES"/>
              </w:rPr>
              <w:t>MAURICIO FELIPE BRYSON PUMA</w:t>
            </w:r>
          </w:p>
        </w:tc>
      </w:tr>
      <w:tr w:rsidR="003076A5" w:rsidRPr="001B5C93" w14:paraId="09E0F888" w14:textId="77777777" w:rsidTr="008A50DC">
        <w:tc>
          <w:tcPr>
            <w:tcW w:w="2745" w:type="dxa"/>
            <w:hideMark/>
          </w:tcPr>
          <w:p w14:paraId="2C1D02E1"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DENUNCIADO</w:t>
            </w:r>
          </w:p>
        </w:tc>
        <w:tc>
          <w:tcPr>
            <w:tcW w:w="323" w:type="dxa"/>
            <w:hideMark/>
          </w:tcPr>
          <w:p w14:paraId="70043146"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hideMark/>
          </w:tcPr>
          <w:p w14:paraId="6BE34BD4" w14:textId="20FC3EAF" w:rsidR="003076A5" w:rsidRPr="001B5C93" w:rsidRDefault="0068540C" w:rsidP="001B5C93">
            <w:pPr>
              <w:tabs>
                <w:tab w:val="left" w:pos="8222"/>
              </w:tabs>
              <w:rPr>
                <w:rFonts w:ascii="Arial Narrow" w:hAnsi="Arial Narrow" w:cs="Arial"/>
                <w:b/>
                <w:noProof/>
                <w:color w:val="auto"/>
                <w:sz w:val="22"/>
                <w:szCs w:val="22"/>
                <w:highlight w:val="yellow"/>
                <w:lang w:val="es-ES" w:eastAsia="es-ES"/>
              </w:rPr>
            </w:pPr>
            <w:r w:rsidRPr="0068540C">
              <w:rPr>
                <w:rFonts w:ascii="Arial Narrow" w:hAnsi="Arial Narrow" w:cs="Arial"/>
                <w:b/>
                <w:noProof/>
                <w:color w:val="auto"/>
                <w:sz w:val="22"/>
                <w:szCs w:val="22"/>
                <w:lang w:val="es-ES" w:eastAsia="es-ES"/>
              </w:rPr>
              <w:t>SCOTIABANK PERÚ S.A.A.</w:t>
            </w:r>
          </w:p>
        </w:tc>
      </w:tr>
      <w:tr w:rsidR="003076A5" w:rsidRPr="001B5C93" w14:paraId="16045B0F" w14:textId="77777777" w:rsidTr="008A50DC">
        <w:trPr>
          <w:trHeight w:val="80"/>
        </w:trPr>
        <w:tc>
          <w:tcPr>
            <w:tcW w:w="2745" w:type="dxa"/>
            <w:hideMark/>
          </w:tcPr>
          <w:p w14:paraId="16AB3E45"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RESOLUCIÓN Nº</w:t>
            </w:r>
          </w:p>
        </w:tc>
        <w:tc>
          <w:tcPr>
            <w:tcW w:w="323" w:type="dxa"/>
            <w:hideMark/>
          </w:tcPr>
          <w:p w14:paraId="42808DC5"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hideMark/>
          </w:tcPr>
          <w:p w14:paraId="58CB9AF4" w14:textId="20921DFD" w:rsidR="003076A5" w:rsidRPr="001B5C93" w:rsidRDefault="0068540C" w:rsidP="001B5C93">
            <w:pPr>
              <w:suppressAutoHyphens/>
              <w:ind w:right="49"/>
              <w:rPr>
                <w:rFonts w:ascii="Arial Narrow" w:hAnsi="Arial Narrow" w:cs="Arial"/>
                <w:b/>
                <w:color w:val="auto"/>
                <w:spacing w:val="-3"/>
                <w:sz w:val="22"/>
                <w:szCs w:val="22"/>
                <w:lang w:eastAsia="es-ES"/>
              </w:rPr>
            </w:pPr>
            <w:r>
              <w:rPr>
                <w:rFonts w:ascii="Arial Narrow" w:hAnsi="Arial Narrow" w:cs="Arial"/>
                <w:b/>
                <w:spacing w:val="-3"/>
                <w:sz w:val="22"/>
                <w:szCs w:val="22"/>
              </w:rPr>
              <w:t>1</w:t>
            </w:r>
          </w:p>
        </w:tc>
      </w:tr>
    </w:tbl>
    <w:p w14:paraId="40260ED0" w14:textId="77777777" w:rsidR="003076A5" w:rsidRPr="0084442B" w:rsidRDefault="003076A5" w:rsidP="001B5C93">
      <w:pPr>
        <w:pStyle w:val="Cuerpo"/>
        <w:jc w:val="both"/>
        <w:rPr>
          <w:rFonts w:ascii="Arial Narrow" w:eastAsia="Arial Narrow" w:hAnsi="Arial Narrow" w:cs="Arial"/>
          <w:sz w:val="22"/>
          <w:szCs w:val="22"/>
        </w:rPr>
      </w:pPr>
    </w:p>
    <w:p w14:paraId="0F131C87" w14:textId="7F0FC578" w:rsidR="003076A5" w:rsidRPr="001B5C93" w:rsidRDefault="003076A5" w:rsidP="001B5C93">
      <w:pPr>
        <w:jc w:val="both"/>
        <w:rPr>
          <w:rFonts w:ascii="Arial Narrow" w:hAnsi="Arial Narrow" w:cs="Arial"/>
          <w:sz w:val="22"/>
          <w:szCs w:val="22"/>
        </w:rPr>
      </w:pPr>
      <w:r w:rsidRPr="0084442B">
        <w:rPr>
          <w:rFonts w:ascii="Arial Narrow" w:hAnsi="Arial Narrow" w:cs="Arial"/>
          <w:sz w:val="22"/>
          <w:szCs w:val="22"/>
        </w:rPr>
        <w:t>Lima</w:t>
      </w:r>
      <w:r w:rsidR="006F7CF7" w:rsidRPr="0084442B">
        <w:rPr>
          <w:rFonts w:ascii="Arial Narrow" w:hAnsi="Arial Narrow" w:cs="Arial"/>
          <w:sz w:val="22"/>
          <w:szCs w:val="22"/>
        </w:rPr>
        <w:t xml:space="preserve">, </w:t>
      </w:r>
      <w:r w:rsidR="0084442B" w:rsidRPr="0084442B">
        <w:rPr>
          <w:rFonts w:ascii="Arial Narrow" w:hAnsi="Arial Narrow" w:cs="Arial"/>
          <w:sz w:val="22"/>
          <w:szCs w:val="22"/>
        </w:rPr>
        <w:t xml:space="preserve">4 </w:t>
      </w:r>
      <w:r w:rsidR="006F7CF7" w:rsidRPr="0084442B">
        <w:rPr>
          <w:rFonts w:ascii="Arial Narrow" w:hAnsi="Arial Narrow" w:cs="Arial"/>
          <w:sz w:val="22"/>
          <w:szCs w:val="22"/>
        </w:rPr>
        <w:t>de</w:t>
      </w:r>
      <w:r w:rsidR="006F7CF7" w:rsidRPr="001B5C93">
        <w:rPr>
          <w:rFonts w:ascii="Arial Narrow" w:hAnsi="Arial Narrow" w:cs="Arial"/>
          <w:sz w:val="22"/>
          <w:szCs w:val="22"/>
        </w:rPr>
        <w:t xml:space="preserve"> </w:t>
      </w:r>
      <w:r w:rsidR="0084442B" w:rsidRPr="0084442B">
        <w:rPr>
          <w:rFonts w:ascii="Arial Narrow" w:hAnsi="Arial Narrow" w:cs="Arial"/>
          <w:sz w:val="22"/>
          <w:szCs w:val="22"/>
        </w:rPr>
        <w:t>diciembre</w:t>
      </w:r>
      <w:r w:rsidR="006F7CF7" w:rsidRPr="0084442B">
        <w:rPr>
          <w:rFonts w:ascii="Arial Narrow" w:hAnsi="Arial Narrow" w:cs="Arial"/>
          <w:sz w:val="22"/>
          <w:szCs w:val="22"/>
        </w:rPr>
        <w:t xml:space="preserve"> de 2025</w:t>
      </w:r>
    </w:p>
    <w:p w14:paraId="6B3A2E26" w14:textId="77777777" w:rsidR="003076A5" w:rsidRPr="001B5C93" w:rsidRDefault="003076A5" w:rsidP="001B5C93">
      <w:pPr>
        <w:tabs>
          <w:tab w:val="left" w:pos="-720"/>
          <w:tab w:val="left" w:pos="0"/>
        </w:tabs>
        <w:suppressAutoHyphens/>
        <w:jc w:val="both"/>
        <w:rPr>
          <w:rFonts w:ascii="Arial Narrow" w:hAnsi="Arial Narrow" w:cs="Arial"/>
          <w:b/>
          <w:spacing w:val="-3"/>
          <w:sz w:val="22"/>
          <w:szCs w:val="22"/>
        </w:rPr>
      </w:pPr>
    </w:p>
    <w:p w14:paraId="3209501B" w14:textId="38BBE88D" w:rsidR="003076A5" w:rsidRPr="001B5C93" w:rsidRDefault="003076A5" w:rsidP="001B5C93">
      <w:pPr>
        <w:tabs>
          <w:tab w:val="left" w:pos="-720"/>
          <w:tab w:val="left" w:pos="0"/>
        </w:tabs>
        <w:suppressAutoHyphens/>
        <w:jc w:val="both"/>
        <w:rPr>
          <w:rFonts w:ascii="Arial Narrow" w:hAnsi="Arial Narrow" w:cs="Arial"/>
          <w:b/>
          <w:spacing w:val="-3"/>
          <w:sz w:val="22"/>
          <w:szCs w:val="22"/>
        </w:rPr>
      </w:pPr>
      <w:r w:rsidRPr="001B5C93">
        <w:rPr>
          <w:rFonts w:ascii="Arial Narrow" w:hAnsi="Arial Narrow" w:cs="Arial"/>
          <w:b/>
          <w:spacing w:val="-3"/>
          <w:sz w:val="22"/>
          <w:szCs w:val="22"/>
        </w:rPr>
        <w:t xml:space="preserve">VISTOS: </w:t>
      </w:r>
      <w:r w:rsidRPr="001B5C93">
        <w:rPr>
          <w:rFonts w:ascii="Arial Narrow" w:hAnsi="Arial Narrow" w:cs="Arial"/>
          <w:color w:val="auto"/>
          <w:sz w:val="22"/>
          <w:szCs w:val="22"/>
          <w:lang w:val="es-ES" w:eastAsia="es-ES"/>
        </w:rPr>
        <w:t xml:space="preserve">el recurso de apelación de </w:t>
      </w:r>
      <w:r w:rsidRPr="00375B64">
        <w:rPr>
          <w:rFonts w:ascii="Arial Narrow" w:hAnsi="Arial Narrow" w:cs="Arial"/>
          <w:color w:val="auto"/>
          <w:sz w:val="22"/>
          <w:szCs w:val="22"/>
          <w:lang w:val="es-ES" w:eastAsia="es-ES"/>
        </w:rPr>
        <w:t xml:space="preserve">fecha </w:t>
      </w:r>
      <w:r w:rsidR="000343AA" w:rsidRPr="00375B64">
        <w:rPr>
          <w:rFonts w:ascii="Arial Narrow" w:hAnsi="Arial Narrow" w:cs="Arial"/>
          <w:color w:val="auto"/>
          <w:sz w:val="22"/>
          <w:szCs w:val="22"/>
          <w:lang w:val="es-ES" w:eastAsia="es-ES"/>
        </w:rPr>
        <w:t>6</w:t>
      </w:r>
      <w:r w:rsidRPr="00375B64">
        <w:rPr>
          <w:rFonts w:ascii="Arial Narrow" w:hAnsi="Arial Narrow" w:cs="Arial"/>
          <w:color w:val="auto"/>
          <w:sz w:val="22"/>
          <w:szCs w:val="22"/>
          <w:lang w:val="es-ES" w:eastAsia="es-ES"/>
        </w:rPr>
        <w:t xml:space="preserve"> de </w:t>
      </w:r>
      <w:r w:rsidR="000343AA" w:rsidRPr="00375B64">
        <w:rPr>
          <w:rFonts w:ascii="Arial Narrow" w:hAnsi="Arial Narrow" w:cs="Arial"/>
          <w:color w:val="auto"/>
          <w:sz w:val="22"/>
          <w:szCs w:val="22"/>
          <w:lang w:val="es-ES" w:eastAsia="es-ES"/>
        </w:rPr>
        <w:t>noviembre</w:t>
      </w:r>
      <w:r w:rsidRPr="00375B64">
        <w:rPr>
          <w:rFonts w:ascii="Arial Narrow" w:hAnsi="Arial Narrow" w:cs="Arial"/>
          <w:color w:val="auto"/>
          <w:sz w:val="22"/>
          <w:szCs w:val="22"/>
          <w:lang w:val="es-ES" w:eastAsia="es-ES"/>
        </w:rPr>
        <w:t xml:space="preserve"> de 202</w:t>
      </w:r>
      <w:r w:rsidR="000343AA" w:rsidRPr="00375B64">
        <w:rPr>
          <w:rFonts w:ascii="Arial Narrow" w:hAnsi="Arial Narrow" w:cs="Arial"/>
          <w:color w:val="auto"/>
          <w:sz w:val="22"/>
          <w:szCs w:val="22"/>
          <w:lang w:val="es-ES" w:eastAsia="es-ES"/>
        </w:rPr>
        <w:t>5</w:t>
      </w:r>
      <w:r w:rsidR="00A15CF7" w:rsidRPr="001B5C93">
        <w:rPr>
          <w:rFonts w:ascii="Arial Narrow" w:hAnsi="Arial Narrow" w:cs="Arial"/>
          <w:color w:val="auto"/>
          <w:sz w:val="22"/>
          <w:szCs w:val="22"/>
          <w:lang w:val="es-ES" w:eastAsia="es-ES"/>
        </w:rPr>
        <w:t xml:space="preserve"> presentado por</w:t>
      </w:r>
      <w:r w:rsidR="00B44B3C">
        <w:rPr>
          <w:rFonts w:ascii="Arial Narrow" w:hAnsi="Arial Narrow" w:cs="Arial"/>
          <w:color w:val="auto"/>
          <w:sz w:val="22"/>
          <w:szCs w:val="22"/>
          <w:lang w:val="es-ES" w:eastAsia="es-ES"/>
        </w:rPr>
        <w:t xml:space="preserve"> Scotiabank Perú S.A.A.</w:t>
      </w:r>
      <w:r w:rsidR="00A15CF7" w:rsidRPr="001B5C93">
        <w:rPr>
          <w:rFonts w:ascii="Arial Narrow" w:hAnsi="Arial Narrow" w:cs="Arial"/>
          <w:color w:val="auto"/>
          <w:sz w:val="22"/>
          <w:szCs w:val="22"/>
          <w:lang w:val="es-ES" w:eastAsia="es-ES"/>
        </w:rPr>
        <w:t xml:space="preserve"> </w:t>
      </w:r>
      <w:r w:rsidR="00BA6D51" w:rsidRPr="001B5C93">
        <w:rPr>
          <w:rFonts w:ascii="Arial Narrow" w:hAnsi="Arial Narrow" w:cs="Arial"/>
          <w:color w:val="auto"/>
          <w:sz w:val="22"/>
          <w:szCs w:val="22"/>
          <w:lang w:val="es-ES" w:eastAsia="es-ES"/>
        </w:rPr>
        <w:t xml:space="preserve">y el </w:t>
      </w:r>
      <w:bookmarkStart w:id="0" w:name="_Hlk215756720"/>
      <w:r w:rsidR="00BA6D51" w:rsidRPr="001B5C93">
        <w:rPr>
          <w:rFonts w:ascii="Arial Narrow" w:hAnsi="Arial Narrow" w:cs="Arial"/>
          <w:color w:val="auto"/>
          <w:sz w:val="22"/>
          <w:szCs w:val="22"/>
          <w:lang w:val="es-ES" w:eastAsia="es-ES"/>
        </w:rPr>
        <w:t>Oficio</w:t>
      </w:r>
      <w:r w:rsidR="00BA6D51" w:rsidRPr="001B5C93">
        <w:rPr>
          <w:rFonts w:ascii="Arial Narrow" w:hAnsi="Arial Narrow" w:cs="Arial"/>
          <w:sz w:val="22"/>
          <w:szCs w:val="22"/>
        </w:rPr>
        <w:t xml:space="preserve"> N° 0067-2023/CC1-INDECOPI del 6 de noviembre de 2023, emitido por la Comisión de Protección al Consumidor N° 1, el Oficio N° 36482-2022-SBS del 31 de agosto de 2022, el Oficio N° 01690-2024-SBS del 11 de enero de 2024, y el Oficio N° 12205-2024-SBS del 28 de febrero de 2024</w:t>
      </w:r>
      <w:bookmarkEnd w:id="0"/>
      <w:r w:rsidR="00BA6D51" w:rsidRPr="001B5C93">
        <w:rPr>
          <w:rFonts w:ascii="Arial Narrow" w:hAnsi="Arial Narrow" w:cs="Arial"/>
          <w:sz w:val="22"/>
          <w:szCs w:val="22"/>
        </w:rPr>
        <w:t>, emitidos por la Superintendencia de Banca, Seguros y AFP.</w:t>
      </w:r>
    </w:p>
    <w:p w14:paraId="2A52EFA8" w14:textId="77777777" w:rsidR="003076A5" w:rsidRPr="001B5C93" w:rsidRDefault="003076A5" w:rsidP="001B5C93">
      <w:pPr>
        <w:tabs>
          <w:tab w:val="left" w:pos="-720"/>
          <w:tab w:val="left" w:pos="0"/>
        </w:tabs>
        <w:suppressAutoHyphens/>
        <w:jc w:val="both"/>
        <w:rPr>
          <w:rFonts w:ascii="Arial Narrow" w:hAnsi="Arial Narrow" w:cs="Arial"/>
          <w:b/>
          <w:spacing w:val="-3"/>
          <w:sz w:val="22"/>
          <w:szCs w:val="22"/>
        </w:rPr>
      </w:pPr>
    </w:p>
    <w:p w14:paraId="75CAB5A9" w14:textId="293BB1C5" w:rsidR="008638AB" w:rsidRPr="001B5C93" w:rsidRDefault="003076A5" w:rsidP="001B5C93">
      <w:pPr>
        <w:tabs>
          <w:tab w:val="left" w:pos="-720"/>
          <w:tab w:val="left" w:pos="0"/>
        </w:tabs>
        <w:suppressAutoHyphens/>
        <w:jc w:val="both"/>
        <w:rPr>
          <w:rFonts w:ascii="Arial Narrow" w:hAnsi="Arial Narrow" w:cs="Arial"/>
          <w:b/>
          <w:spacing w:val="-3"/>
          <w:sz w:val="22"/>
          <w:szCs w:val="22"/>
        </w:rPr>
      </w:pPr>
      <w:r w:rsidRPr="001B5C93">
        <w:rPr>
          <w:rFonts w:ascii="Arial Narrow" w:hAnsi="Arial Narrow" w:cs="Arial"/>
          <w:b/>
          <w:spacing w:val="-3"/>
          <w:sz w:val="22"/>
          <w:szCs w:val="22"/>
        </w:rPr>
        <w:t>CONSIDERANDO:</w:t>
      </w:r>
      <w:r w:rsidR="00BA6D51" w:rsidRPr="001B5C93">
        <w:rPr>
          <w:rFonts w:ascii="Arial Narrow" w:hAnsi="Arial Narrow" w:cs="Arial"/>
          <w:b/>
          <w:spacing w:val="-3"/>
          <w:sz w:val="22"/>
          <w:szCs w:val="22"/>
        </w:rPr>
        <w:t xml:space="preserve"> </w:t>
      </w:r>
    </w:p>
    <w:p w14:paraId="577E5F81" w14:textId="77777777" w:rsidR="008638AB" w:rsidRPr="001B5C93" w:rsidRDefault="008638AB" w:rsidP="001B5C93">
      <w:pPr>
        <w:tabs>
          <w:tab w:val="left" w:pos="-720"/>
          <w:tab w:val="left" w:pos="0"/>
        </w:tabs>
        <w:suppressAutoHyphens/>
        <w:jc w:val="both"/>
        <w:rPr>
          <w:rFonts w:ascii="Arial Narrow" w:hAnsi="Arial Narrow" w:cs="Arial"/>
          <w:b/>
          <w:spacing w:val="-3"/>
          <w:sz w:val="22"/>
          <w:szCs w:val="22"/>
        </w:rPr>
      </w:pPr>
    </w:p>
    <w:p w14:paraId="1BE77647" w14:textId="12C4DBF4" w:rsidR="008638AB" w:rsidRPr="001B5C93" w:rsidRDefault="008638AB" w:rsidP="001B5C93">
      <w:pPr>
        <w:tabs>
          <w:tab w:val="left" w:pos="-720"/>
          <w:tab w:val="left" w:pos="0"/>
        </w:tabs>
        <w:suppressAutoHyphens/>
        <w:jc w:val="both"/>
        <w:rPr>
          <w:rFonts w:ascii="Arial Narrow" w:hAnsi="Arial Narrow" w:cs="Arial"/>
          <w:bCs/>
          <w:spacing w:val="-3"/>
          <w:sz w:val="22"/>
          <w:szCs w:val="22"/>
          <w:u w:val="single"/>
        </w:rPr>
      </w:pPr>
      <w:r w:rsidRPr="001B5C93">
        <w:rPr>
          <w:rFonts w:ascii="Arial Narrow" w:hAnsi="Arial Narrow" w:cs="Arial"/>
          <w:bCs/>
          <w:spacing w:val="-3"/>
          <w:sz w:val="22"/>
          <w:szCs w:val="22"/>
          <w:u w:val="single"/>
        </w:rPr>
        <w:t>Sobre el recurso de apelación</w:t>
      </w:r>
    </w:p>
    <w:p w14:paraId="4282308B" w14:textId="77777777" w:rsidR="008638AB" w:rsidRPr="001B5C93" w:rsidRDefault="008638AB" w:rsidP="001B5C93">
      <w:pPr>
        <w:tabs>
          <w:tab w:val="left" w:pos="-720"/>
          <w:tab w:val="left" w:pos="0"/>
        </w:tabs>
        <w:suppressAutoHyphens/>
        <w:jc w:val="both"/>
        <w:rPr>
          <w:rFonts w:ascii="Arial Narrow" w:hAnsi="Arial Narrow" w:cs="Arial"/>
          <w:b/>
          <w:spacing w:val="-3"/>
          <w:sz w:val="22"/>
          <w:szCs w:val="22"/>
        </w:rPr>
      </w:pPr>
    </w:p>
    <w:p w14:paraId="756E5F2B" w14:textId="5A3BB92F" w:rsidR="003076A5" w:rsidRPr="001B5C93" w:rsidRDefault="00BA6D51" w:rsidP="001B5C93">
      <w:pPr>
        <w:pStyle w:val="Prrafodelista"/>
        <w:numPr>
          <w:ilvl w:val="0"/>
          <w:numId w:val="8"/>
        </w:numPr>
        <w:tabs>
          <w:tab w:val="left" w:pos="-720"/>
          <w:tab w:val="left" w:pos="0"/>
        </w:tabs>
        <w:suppressAutoHyphens/>
        <w:spacing w:after="0" w:line="240" w:lineRule="auto"/>
        <w:ind w:left="567" w:hanging="567"/>
        <w:jc w:val="both"/>
        <w:rPr>
          <w:rFonts w:ascii="Arial Narrow" w:hAnsi="Arial Narrow" w:cs="Arial"/>
          <w:bCs/>
        </w:rPr>
      </w:pPr>
      <w:r w:rsidRPr="00AD30E6">
        <w:rPr>
          <w:rFonts w:ascii="Arial Narrow" w:hAnsi="Arial Narrow" w:cs="Arial"/>
          <w:bCs/>
        </w:rPr>
        <w:t>que</w:t>
      </w:r>
      <w:r w:rsidR="003076A5" w:rsidRPr="00AD30E6">
        <w:rPr>
          <w:rFonts w:ascii="Arial Narrow" w:hAnsi="Arial Narrow" w:cs="Arial"/>
          <w:bCs/>
        </w:rPr>
        <w:t xml:space="preserve">, el </w:t>
      </w:r>
      <w:r w:rsidR="00AD30E6" w:rsidRPr="00255B15">
        <w:rPr>
          <w:rFonts w:ascii="Arial Narrow" w:hAnsi="Arial Narrow" w:cs="Arial"/>
          <w:bCs/>
        </w:rPr>
        <w:t>10</w:t>
      </w:r>
      <w:r w:rsidR="008638AB" w:rsidRPr="00255B15">
        <w:rPr>
          <w:rFonts w:ascii="Arial Narrow" w:hAnsi="Arial Narrow" w:cs="Arial"/>
          <w:bCs/>
        </w:rPr>
        <w:t xml:space="preserve"> </w:t>
      </w:r>
      <w:r w:rsidR="003076A5" w:rsidRPr="00255B15">
        <w:rPr>
          <w:rFonts w:ascii="Arial Narrow" w:hAnsi="Arial Narrow" w:cs="Arial"/>
          <w:bCs/>
          <w:noProof/>
        </w:rPr>
        <w:t xml:space="preserve">de </w:t>
      </w:r>
      <w:r w:rsidR="00DB3E2B" w:rsidRPr="00255B15">
        <w:rPr>
          <w:rFonts w:ascii="Arial Narrow" w:hAnsi="Arial Narrow" w:cs="Arial"/>
          <w:bCs/>
          <w:noProof/>
        </w:rPr>
        <w:t>noviembre</w:t>
      </w:r>
      <w:r w:rsidR="003076A5" w:rsidRPr="00255B15">
        <w:rPr>
          <w:rFonts w:ascii="Arial Narrow" w:hAnsi="Arial Narrow" w:cs="Arial"/>
          <w:bCs/>
          <w:noProof/>
        </w:rPr>
        <w:t xml:space="preserve"> de 202</w:t>
      </w:r>
      <w:r w:rsidR="00DB3E2B" w:rsidRPr="00255B15">
        <w:rPr>
          <w:rFonts w:ascii="Arial Narrow" w:hAnsi="Arial Narrow" w:cs="Arial"/>
          <w:bCs/>
          <w:noProof/>
        </w:rPr>
        <w:t>5</w:t>
      </w:r>
      <w:r w:rsidR="003076A5" w:rsidRPr="00255B15">
        <w:rPr>
          <w:rFonts w:ascii="Arial Narrow" w:hAnsi="Arial Narrow" w:cs="Arial"/>
          <w:bCs/>
        </w:rPr>
        <w:t>,</w:t>
      </w:r>
      <w:r w:rsidR="003076A5" w:rsidRPr="001B5C93">
        <w:rPr>
          <w:rFonts w:ascii="Arial Narrow" w:hAnsi="Arial Narrow" w:cs="Arial"/>
          <w:bCs/>
        </w:rPr>
        <w:t xml:space="preserve"> la Comisión de Protección al Consumidor Nº 1 ha recibido el </w:t>
      </w:r>
      <w:r w:rsidR="003076A5" w:rsidRPr="00E24F63">
        <w:rPr>
          <w:rFonts w:ascii="Arial Narrow" w:hAnsi="Arial Narrow" w:cs="Arial"/>
          <w:bCs/>
        </w:rPr>
        <w:t xml:space="preserve">Expediente Nº </w:t>
      </w:r>
      <w:r w:rsidR="001571E2" w:rsidRPr="00E24F63">
        <w:rPr>
          <w:rFonts w:ascii="Arial Narrow" w:hAnsi="Arial Narrow" w:cs="Arial"/>
          <w:bCs/>
        </w:rPr>
        <w:t>2770</w:t>
      </w:r>
      <w:r w:rsidR="003076A5" w:rsidRPr="00E24F63">
        <w:rPr>
          <w:rFonts w:ascii="Arial Narrow" w:hAnsi="Arial Narrow" w:cs="Arial"/>
          <w:bCs/>
          <w:noProof/>
        </w:rPr>
        <w:t>-202</w:t>
      </w:r>
      <w:r w:rsidR="00F30306" w:rsidRPr="00E24F63">
        <w:rPr>
          <w:rFonts w:ascii="Arial Narrow" w:hAnsi="Arial Narrow" w:cs="Arial"/>
          <w:bCs/>
          <w:noProof/>
        </w:rPr>
        <w:t>5</w:t>
      </w:r>
      <w:r w:rsidR="003076A5" w:rsidRPr="00E24F63">
        <w:rPr>
          <w:rFonts w:ascii="Arial Narrow" w:hAnsi="Arial Narrow" w:cs="Arial"/>
          <w:bCs/>
          <w:noProof/>
        </w:rPr>
        <w:t>/PS</w:t>
      </w:r>
      <w:r w:rsidR="000B1616" w:rsidRPr="00E24F63">
        <w:rPr>
          <w:rFonts w:ascii="Arial Narrow" w:hAnsi="Arial Narrow" w:cs="Arial"/>
          <w:bCs/>
          <w:noProof/>
        </w:rPr>
        <w:t>2</w:t>
      </w:r>
      <w:r w:rsidR="003076A5" w:rsidRPr="00E24F63">
        <w:rPr>
          <w:rFonts w:ascii="Arial Narrow" w:hAnsi="Arial Narrow" w:cs="Arial"/>
          <w:bCs/>
        </w:rPr>
        <w:t>,</w:t>
      </w:r>
      <w:r w:rsidR="003076A5" w:rsidRPr="001B5C93">
        <w:rPr>
          <w:rFonts w:ascii="Arial Narrow" w:hAnsi="Arial Narrow" w:cs="Arial"/>
          <w:bCs/>
        </w:rPr>
        <w:t xml:space="preserve"> remitido como resultado del recurso de apelación interpuesto </w:t>
      </w:r>
      <w:r w:rsidR="003076A5" w:rsidRPr="001B5C93">
        <w:rPr>
          <w:rFonts w:ascii="Arial Narrow" w:hAnsi="Arial Narrow" w:cs="Arial"/>
          <w:bCs/>
          <w:noProof/>
        </w:rPr>
        <w:t xml:space="preserve">por </w:t>
      </w:r>
      <w:r w:rsidR="00875D67">
        <w:rPr>
          <w:rFonts w:ascii="Arial Narrow" w:hAnsi="Arial Narrow" w:cs="Arial"/>
          <w:lang w:val="es-ES" w:eastAsia="es-ES"/>
        </w:rPr>
        <w:t>Scotiabank Perú S.A.A.</w:t>
      </w:r>
      <w:r w:rsidR="00875D67" w:rsidRPr="001B5C93">
        <w:rPr>
          <w:rFonts w:ascii="Arial Narrow" w:hAnsi="Arial Narrow" w:cs="Arial"/>
          <w:lang w:val="es-ES" w:eastAsia="es-ES"/>
        </w:rPr>
        <w:t xml:space="preserve"> </w:t>
      </w:r>
      <w:r w:rsidRPr="001B5C93">
        <w:rPr>
          <w:rFonts w:ascii="Arial Narrow" w:hAnsi="Arial Narrow" w:cs="Arial"/>
          <w:bCs/>
          <w:noProof/>
        </w:rPr>
        <w:t>contra</w:t>
      </w:r>
      <w:r w:rsidR="003076A5" w:rsidRPr="001B5C93">
        <w:rPr>
          <w:rFonts w:ascii="Arial Narrow" w:hAnsi="Arial Narrow" w:cs="Arial"/>
          <w:bCs/>
        </w:rPr>
        <w:t xml:space="preserve"> la Resolución Final </w:t>
      </w:r>
      <w:r w:rsidR="003076A5" w:rsidRPr="00F64652">
        <w:rPr>
          <w:rFonts w:ascii="Arial Narrow" w:hAnsi="Arial Narrow" w:cs="Arial"/>
          <w:bCs/>
        </w:rPr>
        <w:t xml:space="preserve">Nº </w:t>
      </w:r>
      <w:r w:rsidR="00D41550" w:rsidRPr="00F64652">
        <w:rPr>
          <w:rFonts w:ascii="Arial Narrow" w:hAnsi="Arial Narrow" w:cs="Arial"/>
          <w:bCs/>
        </w:rPr>
        <w:t>2336</w:t>
      </w:r>
      <w:r w:rsidR="003076A5" w:rsidRPr="00F64652">
        <w:rPr>
          <w:rFonts w:ascii="Arial Narrow" w:hAnsi="Arial Narrow" w:cs="Arial"/>
          <w:bCs/>
          <w:noProof/>
        </w:rPr>
        <w:t>-202</w:t>
      </w:r>
      <w:r w:rsidR="00D41550" w:rsidRPr="00F64652">
        <w:rPr>
          <w:rFonts w:ascii="Arial Narrow" w:hAnsi="Arial Narrow" w:cs="Arial"/>
          <w:bCs/>
          <w:noProof/>
        </w:rPr>
        <w:t>5</w:t>
      </w:r>
      <w:r w:rsidR="003076A5" w:rsidRPr="00F64652">
        <w:rPr>
          <w:rFonts w:ascii="Arial Narrow" w:hAnsi="Arial Narrow" w:cs="Arial"/>
          <w:bCs/>
          <w:noProof/>
        </w:rPr>
        <w:t>/PS</w:t>
      </w:r>
      <w:r w:rsidR="00D41550" w:rsidRPr="00F64652">
        <w:rPr>
          <w:rFonts w:ascii="Arial Narrow" w:hAnsi="Arial Narrow" w:cs="Arial"/>
          <w:bCs/>
          <w:noProof/>
        </w:rPr>
        <w:t>2</w:t>
      </w:r>
      <w:r w:rsidR="008638AB" w:rsidRPr="00F64652">
        <w:rPr>
          <w:rFonts w:ascii="Arial Narrow" w:hAnsi="Arial Narrow" w:cs="Arial"/>
          <w:bCs/>
          <w:noProof/>
        </w:rPr>
        <w:t>;</w:t>
      </w:r>
    </w:p>
    <w:p w14:paraId="19703655" w14:textId="77777777" w:rsidR="008638AB" w:rsidRPr="001B5C93" w:rsidRDefault="008638AB" w:rsidP="001B5C93">
      <w:pPr>
        <w:tabs>
          <w:tab w:val="left" w:pos="-720"/>
          <w:tab w:val="left" w:pos="0"/>
        </w:tabs>
        <w:suppressAutoHyphens/>
        <w:ind w:left="567" w:hanging="425"/>
        <w:jc w:val="both"/>
        <w:rPr>
          <w:rFonts w:ascii="Arial Narrow" w:hAnsi="Arial Narrow" w:cs="Arial"/>
          <w:bCs/>
        </w:rPr>
      </w:pPr>
    </w:p>
    <w:p w14:paraId="7056A2D5" w14:textId="43111748" w:rsidR="008638AB" w:rsidRPr="001B5C93" w:rsidRDefault="008638AB" w:rsidP="001B5C93">
      <w:pPr>
        <w:tabs>
          <w:tab w:val="left" w:pos="-720"/>
          <w:tab w:val="left" w:pos="0"/>
        </w:tabs>
        <w:suppressAutoHyphens/>
        <w:ind w:left="567" w:hanging="567"/>
        <w:jc w:val="both"/>
        <w:rPr>
          <w:rFonts w:ascii="Arial Narrow" w:hAnsi="Arial Narrow" w:cs="Arial"/>
          <w:bCs/>
          <w:sz w:val="22"/>
          <w:szCs w:val="22"/>
          <w:u w:val="single"/>
        </w:rPr>
      </w:pPr>
      <w:r w:rsidRPr="001B5C93">
        <w:rPr>
          <w:rFonts w:ascii="Arial Narrow" w:hAnsi="Arial Narrow" w:cs="Arial"/>
          <w:bCs/>
          <w:sz w:val="22"/>
          <w:szCs w:val="22"/>
          <w:u w:val="single"/>
        </w:rPr>
        <w:t>Sobre el requerimiento de información</w:t>
      </w:r>
    </w:p>
    <w:p w14:paraId="61731010" w14:textId="77777777" w:rsidR="008638AB" w:rsidRPr="001B5C93" w:rsidRDefault="008638AB" w:rsidP="001B5C93">
      <w:pPr>
        <w:tabs>
          <w:tab w:val="left" w:pos="-720"/>
          <w:tab w:val="left" w:pos="0"/>
        </w:tabs>
        <w:suppressAutoHyphens/>
        <w:ind w:left="567" w:hanging="425"/>
        <w:jc w:val="both"/>
        <w:rPr>
          <w:rFonts w:ascii="Arial Narrow" w:hAnsi="Arial Narrow" w:cs="Arial"/>
          <w:bCs/>
        </w:rPr>
      </w:pPr>
    </w:p>
    <w:p w14:paraId="5E2E8AE8" w14:textId="21208CA8" w:rsidR="008638AB" w:rsidRPr="001B5C93" w:rsidRDefault="008638AB" w:rsidP="001B5C93">
      <w:pPr>
        <w:pStyle w:val="Prrafodelista"/>
        <w:numPr>
          <w:ilvl w:val="0"/>
          <w:numId w:val="8"/>
        </w:numPr>
        <w:tabs>
          <w:tab w:val="left" w:pos="-720"/>
          <w:tab w:val="left" w:pos="0"/>
        </w:tabs>
        <w:suppressAutoHyphens/>
        <w:spacing w:after="0" w:line="240" w:lineRule="auto"/>
        <w:ind w:left="567" w:hanging="567"/>
        <w:jc w:val="both"/>
        <w:rPr>
          <w:rFonts w:ascii="Arial Narrow" w:hAnsi="Arial Narrow" w:cs="Arial"/>
          <w:bCs/>
        </w:rPr>
      </w:pPr>
      <w:r w:rsidRPr="001B5C93">
        <w:rPr>
          <w:rFonts w:ascii="Arial Narrow" w:hAnsi="Arial Narrow" w:cs="Arial"/>
          <w:bCs/>
          <w:spacing w:val="-3"/>
          <w:lang w:eastAsia="es-ES"/>
        </w:rPr>
        <w:t>que, de conformidad con el literal a) del artículo 2 de la Ley de Facultades, Normas y Organización del Indecopi, aprobada por Decreto Legislativo Nº 807, el Secretario Técnico cuenta con la facultad para exigir a las personas naturales o jurídicas la exhibición de todo tipo de documentos</w:t>
      </w:r>
      <w:r w:rsidRPr="007F10DF">
        <w:rPr>
          <w:rFonts w:ascii="Arial Narrow" w:hAnsi="Arial Narrow" w:cs="Arial"/>
          <w:bCs/>
          <w:spacing w:val="-3"/>
          <w:vertAlign w:val="superscript"/>
          <w:lang w:eastAsia="es-ES"/>
        </w:rPr>
        <w:footnoteReference w:id="1"/>
      </w:r>
      <w:r w:rsidR="007F10DF">
        <w:rPr>
          <w:rFonts w:ascii="Arial Narrow" w:hAnsi="Arial Narrow" w:cs="Arial"/>
          <w:bCs/>
          <w:spacing w:val="-3"/>
          <w:lang w:eastAsia="es-ES"/>
        </w:rPr>
        <w:t>;</w:t>
      </w:r>
    </w:p>
    <w:p w14:paraId="7D016631" w14:textId="77777777" w:rsidR="008638AB" w:rsidRPr="001B5C93" w:rsidRDefault="008638AB" w:rsidP="001B5C93">
      <w:pPr>
        <w:pStyle w:val="Prrafodelista"/>
        <w:spacing w:after="0" w:line="240" w:lineRule="auto"/>
        <w:ind w:left="567" w:hanging="567"/>
        <w:rPr>
          <w:rFonts w:ascii="Arial Narrow" w:hAnsi="Arial Narrow" w:cs="Arial"/>
          <w:bCs/>
        </w:rPr>
      </w:pPr>
    </w:p>
    <w:p w14:paraId="00280C2A" w14:textId="2D0890A0"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t>en atención a lo dispuesto por el artículo 19° de</w:t>
      </w:r>
      <w:r w:rsidRPr="001B5C93">
        <w:rPr>
          <w:rFonts w:ascii="Arial Narrow" w:eastAsia="Arial" w:hAnsi="Arial Narrow" w:cs="Arial"/>
          <w:sz w:val="22"/>
          <w:szCs w:val="22"/>
        </w:rPr>
        <w:t xml:space="preserve">l </w:t>
      </w:r>
      <w:r w:rsidRPr="001B5C93">
        <w:rPr>
          <w:rFonts w:ascii="Arial Narrow" w:hAnsi="Arial Narrow" w:cs="Arial"/>
          <w:bCs/>
          <w:spacing w:val="-3"/>
          <w:sz w:val="22"/>
          <w:szCs w:val="22"/>
          <w:lang w:eastAsia="es-ES"/>
        </w:rPr>
        <w:t xml:space="preserve">Reglamento para la </w:t>
      </w:r>
      <w:r w:rsidRPr="001B5C93">
        <w:rPr>
          <w:rFonts w:ascii="Arial Narrow" w:hAnsi="Arial Narrow" w:cs="Arial"/>
          <w:bCs/>
          <w:spacing w:val="-3"/>
          <w:sz w:val="22"/>
          <w:szCs w:val="22"/>
          <w:lang w:val="es-ES" w:eastAsia="es-ES"/>
        </w:rPr>
        <w:t>Gestión</w:t>
      </w:r>
      <w:r w:rsidRPr="001B5C93">
        <w:rPr>
          <w:rFonts w:ascii="Arial Narrow" w:hAnsi="Arial Narrow" w:cs="Arial"/>
          <w:bCs/>
          <w:spacing w:val="-3"/>
          <w:sz w:val="22"/>
          <w:szCs w:val="22"/>
          <w:lang w:eastAsia="es-ES"/>
        </w:rPr>
        <w:t xml:space="preserve"> de la Seguridad de la Información y la Ciberseguridad</w:t>
      </w:r>
      <w:r w:rsidRPr="007F10DF">
        <w:rPr>
          <w:rFonts w:ascii="Arial Narrow" w:hAnsi="Arial Narrow" w:cs="Arial"/>
          <w:bCs/>
          <w:spacing w:val="-3"/>
          <w:sz w:val="22"/>
          <w:szCs w:val="22"/>
          <w:vertAlign w:val="superscript"/>
          <w:lang w:eastAsia="es-ES"/>
        </w:rPr>
        <w:footnoteReference w:id="2"/>
      </w:r>
      <w:r w:rsidRPr="007F10DF">
        <w:rPr>
          <w:rFonts w:ascii="Arial Narrow" w:hAnsi="Arial Narrow" w:cs="Arial"/>
          <w:bCs/>
          <w:spacing w:val="-3"/>
          <w:sz w:val="22"/>
          <w:szCs w:val="22"/>
          <w:vertAlign w:val="superscript"/>
          <w:lang w:eastAsia="es-ES"/>
        </w:rPr>
        <w:t xml:space="preserve"> </w:t>
      </w:r>
      <w:r w:rsidRPr="001B5C93">
        <w:rPr>
          <w:rFonts w:ascii="Arial Narrow" w:hAnsi="Arial Narrow" w:cs="Arial"/>
          <w:bCs/>
          <w:spacing w:val="-3"/>
          <w:sz w:val="22"/>
          <w:szCs w:val="22"/>
          <w:lang w:eastAsia="es-ES"/>
        </w:rPr>
        <w:t xml:space="preserve">(en adelante, Reglamento), aprobado por Resolución SBS N° 504-2021, se requiere de autenticación reforzada para aquellas acciones que puedan originar operaciones fraudulentas u otro abuso del servicio en perjuicio del cliente, como las operaciones a través de un canal digital que impliquen pagos o transferencia de fondos a terceros, registro de un beneficiario de confianza, modificación en los productos de seguro ahorro/inversión contratados, la </w:t>
      </w:r>
      <w:r w:rsidRPr="001B5C93">
        <w:rPr>
          <w:rFonts w:ascii="Arial Narrow" w:hAnsi="Arial Narrow" w:cs="Arial"/>
          <w:bCs/>
          <w:spacing w:val="-3"/>
          <w:sz w:val="22"/>
          <w:szCs w:val="22"/>
          <w:lang w:eastAsia="es-ES"/>
        </w:rPr>
        <w:lastRenderedPageBreak/>
        <w:t>contratación de un producto o servicio, modificación de límites y condiciones; para lo cual se requiere una autenticación reforzada, la cual consta de (a) una combinación de factores de autenticación según el literal j) del artículo 2 del referido Reglamento</w:t>
      </w:r>
      <w:r w:rsidRPr="007F10DF">
        <w:rPr>
          <w:rFonts w:ascii="Arial Narrow" w:hAnsi="Arial Narrow" w:cs="Arial"/>
          <w:bCs/>
          <w:spacing w:val="-3"/>
          <w:sz w:val="22"/>
          <w:szCs w:val="22"/>
          <w:vertAlign w:val="superscript"/>
          <w:lang w:eastAsia="es-ES"/>
        </w:rPr>
        <w:footnoteReference w:id="3"/>
      </w:r>
      <w:r w:rsidRPr="001B5C93">
        <w:rPr>
          <w:rFonts w:ascii="Arial Narrow" w:hAnsi="Arial Narrow" w:cs="Arial"/>
          <w:bCs/>
          <w:spacing w:val="-3"/>
          <w:sz w:val="22"/>
          <w:szCs w:val="22"/>
          <w:lang w:eastAsia="es-ES"/>
        </w:rPr>
        <w:t xml:space="preserve">; (b) la generación de un código de autenticación mediante </w:t>
      </w:r>
      <w:r w:rsidRPr="001B5C93">
        <w:rPr>
          <w:rFonts w:ascii="Arial Narrow" w:hAnsi="Arial Narrow" w:cs="Arial"/>
          <w:bCs/>
          <w:spacing w:val="-3"/>
          <w:sz w:val="22"/>
          <w:szCs w:val="22"/>
          <w:lang w:val="es-ES" w:eastAsia="es-ES"/>
        </w:rPr>
        <w:t>métodos</w:t>
      </w:r>
      <w:r w:rsidRPr="001B5C93">
        <w:rPr>
          <w:rFonts w:ascii="Arial Narrow" w:hAnsi="Arial Narrow" w:cs="Arial"/>
          <w:bCs/>
          <w:spacing w:val="-3"/>
          <w:sz w:val="22"/>
          <w:szCs w:val="22"/>
          <w:lang w:eastAsia="es-ES"/>
        </w:rPr>
        <w:t xml:space="preserve"> criptográficos con los datos específicos de cada operación, el cual debe ser utilizado una sola vez</w:t>
      </w:r>
      <w:r w:rsidR="003C0466" w:rsidRPr="001B5C93">
        <w:rPr>
          <w:rFonts w:ascii="Arial Narrow" w:hAnsi="Arial Narrow" w:cs="Arial"/>
          <w:bCs/>
          <w:spacing w:val="-3"/>
          <w:sz w:val="22"/>
          <w:szCs w:val="22"/>
          <w:lang w:eastAsia="es-ES"/>
        </w:rPr>
        <w:t>, para operaciones que se realicen hasta el 17 de noviembre de 2023; siendo</w:t>
      </w:r>
      <w:r w:rsidR="00F70896" w:rsidRPr="001B5C93">
        <w:rPr>
          <w:rFonts w:ascii="Arial Narrow" w:hAnsi="Arial Narrow"/>
          <w:sz w:val="22"/>
          <w:szCs w:val="22"/>
        </w:rPr>
        <w:t xml:space="preserve"> que, desde el 18 de noviembre de 2023, </w:t>
      </w:r>
      <w:r w:rsidR="003C0466" w:rsidRPr="001B5C93">
        <w:rPr>
          <w:rFonts w:ascii="Arial Narrow" w:hAnsi="Arial Narrow"/>
          <w:sz w:val="22"/>
          <w:szCs w:val="22"/>
        </w:rPr>
        <w:t xml:space="preserve">el requisito se encuentra referido a que la entidad deberá contar </w:t>
      </w:r>
      <w:r w:rsidR="00F70896" w:rsidRPr="001B5C93">
        <w:rPr>
          <w:rFonts w:ascii="Arial Narrow" w:hAnsi="Arial Narrow"/>
          <w:sz w:val="22"/>
          <w:szCs w:val="22"/>
        </w:rPr>
        <w:t>con un control ante ataques de hombre en el medio, que podrá incluir el código mencionado anteriormente</w:t>
      </w:r>
      <w:r w:rsidR="00F70896" w:rsidRPr="007F10DF">
        <w:rPr>
          <w:rStyle w:val="Refdenotaalpie"/>
          <w:rFonts w:ascii="Arial Narrow" w:hAnsi="Arial Narrow"/>
          <w:sz w:val="22"/>
          <w:szCs w:val="22"/>
        </w:rPr>
        <w:footnoteReference w:id="4"/>
      </w:r>
      <w:r w:rsidRPr="001B5C93">
        <w:rPr>
          <w:rFonts w:ascii="Arial Narrow" w:hAnsi="Arial Narrow" w:cs="Arial"/>
          <w:bCs/>
          <w:spacing w:val="-3"/>
          <w:sz w:val="22"/>
          <w:szCs w:val="22"/>
          <w:lang w:eastAsia="es-ES"/>
        </w:rPr>
        <w:t>; y, (c) la notificación al usuario sobre la operación una vez que se efectúe con éxito;</w:t>
      </w:r>
    </w:p>
    <w:p w14:paraId="1B674DC6" w14:textId="77777777" w:rsidR="008638AB" w:rsidRPr="001B5C93" w:rsidRDefault="008638AB" w:rsidP="001B5C93">
      <w:pPr>
        <w:pStyle w:val="Prrafodelista"/>
        <w:spacing w:after="0" w:line="240" w:lineRule="auto"/>
        <w:ind w:hanging="567"/>
        <w:rPr>
          <w:rFonts w:ascii="Arial Narrow" w:hAnsi="Arial Narrow" w:cs="Arial"/>
          <w:bCs/>
          <w:spacing w:val="-3"/>
          <w:lang w:val="es-ES" w:eastAsia="es-ES"/>
        </w:rPr>
      </w:pPr>
    </w:p>
    <w:p w14:paraId="651F6657" w14:textId="77777777"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t xml:space="preserve">que, el </w:t>
      </w:r>
      <w:r w:rsidRPr="001B5C93">
        <w:rPr>
          <w:rFonts w:ascii="Arial Narrow" w:hAnsi="Arial Narrow" w:cs="Arial"/>
          <w:bCs/>
          <w:spacing w:val="-3"/>
          <w:sz w:val="22"/>
          <w:szCs w:val="22"/>
          <w:lang w:eastAsia="es-ES"/>
        </w:rPr>
        <w:t>artículo</w:t>
      </w:r>
      <w:r w:rsidRPr="001B5C93">
        <w:rPr>
          <w:rFonts w:ascii="Arial Narrow" w:hAnsi="Arial Narrow" w:cs="Arial"/>
          <w:bCs/>
          <w:spacing w:val="-3"/>
          <w:sz w:val="22"/>
          <w:szCs w:val="22"/>
          <w:lang w:val="es-ES" w:eastAsia="es-ES"/>
        </w:rPr>
        <w:t xml:space="preserve"> 20 del Reglamento, ha dispuesto que están exentas del requisito de autenticación reforzada (a) las operaciones de pago, pagos periódicos o transferencias hacia un beneficiario registrado previamente por el usuario como beneficiario de confianza, como destinatario usual de dichas operaciones o, a cuentas en las que el cliente y el beneficiario sean la misma persona, sea natural o jurídica, y siempre que dichas cuentas se mantengan en la misma empresa</w:t>
      </w:r>
      <w:r w:rsidRPr="007F10DF">
        <w:rPr>
          <w:rFonts w:ascii="Arial Narrow" w:hAnsi="Arial Narrow" w:cs="Arial"/>
          <w:bCs/>
          <w:spacing w:val="-3"/>
          <w:sz w:val="22"/>
          <w:szCs w:val="22"/>
          <w:vertAlign w:val="superscript"/>
          <w:lang w:eastAsia="es-ES"/>
        </w:rPr>
        <w:footnoteReference w:id="5"/>
      </w:r>
      <w:r w:rsidRPr="001B5C93">
        <w:rPr>
          <w:rFonts w:ascii="Arial Narrow" w:hAnsi="Arial Narrow" w:cs="Arial"/>
          <w:bCs/>
          <w:spacing w:val="-3"/>
          <w:sz w:val="22"/>
          <w:szCs w:val="22"/>
          <w:lang w:val="es-ES" w:eastAsia="es-ES"/>
        </w:rPr>
        <w:t>; y, (b) las operaciones de pago que presenten un nivel de riesgo de fraude bajo, como resultado de un análisis del riesgo en línea por operación, siempre que la empresa cumpla con determinadas acciones</w:t>
      </w:r>
      <w:r w:rsidRPr="007F10DF">
        <w:rPr>
          <w:rFonts w:ascii="Arial Narrow" w:hAnsi="Arial Narrow" w:cs="Arial"/>
          <w:bCs/>
          <w:spacing w:val="-3"/>
          <w:sz w:val="22"/>
          <w:szCs w:val="22"/>
          <w:vertAlign w:val="superscript"/>
          <w:lang w:eastAsia="es-ES"/>
        </w:rPr>
        <w:footnoteReference w:id="6"/>
      </w:r>
      <w:r w:rsidRPr="001B5C93">
        <w:rPr>
          <w:rFonts w:ascii="Arial Narrow" w:hAnsi="Arial Narrow" w:cs="Arial"/>
          <w:bCs/>
          <w:spacing w:val="-3"/>
          <w:sz w:val="22"/>
          <w:szCs w:val="22"/>
          <w:lang w:val="es-ES" w:eastAsia="es-ES"/>
        </w:rPr>
        <w:t xml:space="preserve">; </w:t>
      </w:r>
    </w:p>
    <w:p w14:paraId="7E9E955C" w14:textId="4A039496"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lastRenderedPageBreak/>
        <w:t xml:space="preserve">que, en conformidad del artículo noveno de las Disposiciones Complementarias Finales del Reglamento, las disposiciones señaladas en los </w:t>
      </w:r>
      <w:r w:rsidRPr="001B5C93">
        <w:rPr>
          <w:rFonts w:ascii="Arial Narrow" w:hAnsi="Arial Narrow" w:cs="Arial"/>
          <w:bCs/>
          <w:spacing w:val="-3"/>
          <w:sz w:val="22"/>
          <w:szCs w:val="22"/>
          <w:lang w:eastAsia="es-ES"/>
        </w:rPr>
        <w:t>artículos 19 y</w:t>
      </w:r>
      <w:r w:rsidRPr="001B5C93">
        <w:rPr>
          <w:rFonts w:ascii="Arial Narrow" w:hAnsi="Arial Narrow" w:cs="Arial"/>
          <w:bCs/>
          <w:spacing w:val="-3"/>
          <w:sz w:val="22"/>
          <w:szCs w:val="22"/>
          <w:lang w:val="es-ES" w:eastAsia="es-ES"/>
        </w:rPr>
        <w:t xml:space="preserve"> 20 del Reglamento tienen un plazo de adecuación hasta el 1 de julio de 2022; por lo que, lo indicado en los referidos artículos aplican para las operaciones efectuadas a través de un canal digital realizadas a partir del 2 de julio de 202</w:t>
      </w:r>
      <w:r w:rsidR="00584A8A" w:rsidRPr="001B5C93">
        <w:rPr>
          <w:rFonts w:ascii="Arial Narrow" w:hAnsi="Arial Narrow" w:cs="Arial"/>
          <w:bCs/>
          <w:spacing w:val="-3"/>
          <w:sz w:val="22"/>
          <w:szCs w:val="22"/>
          <w:lang w:val="es-ES" w:eastAsia="es-ES"/>
        </w:rPr>
        <w:t>2;</w:t>
      </w:r>
    </w:p>
    <w:p w14:paraId="38398AE2" w14:textId="77777777" w:rsidR="00F70896" w:rsidRPr="001B5C93" w:rsidRDefault="00F70896" w:rsidP="001B5C93">
      <w:p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p>
    <w:p w14:paraId="169600B6" w14:textId="17EB5909"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eastAsiaTheme="minorEastAsia" w:hAnsi="Arial Narrow" w:cs="Arial"/>
          <w:sz w:val="22"/>
          <w:szCs w:val="22"/>
        </w:rPr>
        <w:t>que, la Secretaría Técnica en ejercicio de las facultades que la ley le confiere</w:t>
      </w:r>
      <w:r w:rsidR="00082873" w:rsidRPr="007F10DF">
        <w:rPr>
          <w:rStyle w:val="Refdenotaalpie"/>
          <w:rFonts w:ascii="Arial Narrow" w:eastAsiaTheme="minorEastAsia" w:hAnsi="Arial Narrow" w:cs="Arial"/>
          <w:sz w:val="22"/>
          <w:szCs w:val="22"/>
        </w:rPr>
        <w:footnoteReference w:customMarkFollows="1" w:id="7"/>
        <w:t>7</w:t>
      </w:r>
      <w:r w:rsidRPr="007F10DF">
        <w:rPr>
          <w:rFonts w:ascii="Arial Narrow" w:eastAsiaTheme="minorEastAsia" w:hAnsi="Arial Narrow" w:cs="Arial"/>
          <w:sz w:val="22"/>
          <w:szCs w:val="22"/>
          <w:vertAlign w:val="superscript"/>
        </w:rPr>
        <w:t xml:space="preserve"> </w:t>
      </w:r>
      <w:r w:rsidRPr="001B5C93">
        <w:rPr>
          <w:rFonts w:ascii="Arial Narrow" w:eastAsiaTheme="minorEastAsia" w:hAnsi="Arial Narrow" w:cs="Arial"/>
          <w:sz w:val="22"/>
          <w:szCs w:val="22"/>
        </w:rPr>
        <w:t>puede, a efectos de tener mayores elementos que sirvan para la resolución definitiva del presente caso, efectuar requerimientos de información.</w:t>
      </w:r>
      <w:r w:rsidRPr="001B5C93">
        <w:rPr>
          <w:rFonts w:ascii="Arial Narrow" w:eastAsiaTheme="minorEastAsia" w:hAnsi="Arial Narrow" w:cs="Arial"/>
          <w:sz w:val="22"/>
          <w:szCs w:val="22"/>
        </w:rPr>
        <w:tab/>
      </w:r>
      <w:r w:rsidRPr="001B5C93">
        <w:rPr>
          <w:rFonts w:ascii="Arial Narrow" w:hAnsi="Arial Narrow" w:cs="Arial"/>
          <w:bCs/>
          <w:spacing w:val="-3"/>
          <w:sz w:val="22"/>
          <w:szCs w:val="22"/>
          <w:lang w:val="es-ES" w:eastAsia="es-ES"/>
        </w:rPr>
        <w:br/>
      </w:r>
    </w:p>
    <w:p w14:paraId="13A5FCD1" w14:textId="6E471A6F"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spacing w:val="-3"/>
          <w:sz w:val="22"/>
          <w:szCs w:val="22"/>
        </w:rPr>
        <w:t>que, con la finalidad de obtener mayores elementos de juicio para mejor resolver, mediante Oficio N° 0067-2023/CC1-INDECOPI del 6 de noviembre de 2023, se requirió a la Superintendencia de Banca, Seguros y Administradoras de Fondos de Pensiones (en adelante, SBS) que nos remita un informe técnico</w:t>
      </w:r>
      <w:r w:rsidR="00082873" w:rsidRPr="007F10DF">
        <w:rPr>
          <w:rStyle w:val="Refdenotaalpie"/>
          <w:rFonts w:ascii="Arial Narrow" w:hAnsi="Arial Narrow" w:cs="Arial"/>
          <w:spacing w:val="-3"/>
          <w:sz w:val="22"/>
          <w:szCs w:val="22"/>
        </w:rPr>
        <w:footnoteReference w:customMarkFollows="1" w:id="8"/>
        <w:t>8</w:t>
      </w:r>
      <w:r w:rsidRPr="007F10DF">
        <w:rPr>
          <w:rFonts w:ascii="Arial Narrow" w:hAnsi="Arial Narrow" w:cs="Arial"/>
          <w:spacing w:val="-3"/>
          <w:sz w:val="22"/>
          <w:szCs w:val="22"/>
          <w:vertAlign w:val="superscript"/>
        </w:rPr>
        <w:t xml:space="preserve"> </w:t>
      </w:r>
      <w:r w:rsidRPr="001B5C93">
        <w:rPr>
          <w:rFonts w:ascii="Arial Narrow" w:hAnsi="Arial Narrow" w:cs="Arial"/>
          <w:spacing w:val="-3"/>
          <w:sz w:val="22"/>
          <w:szCs w:val="22"/>
        </w:rPr>
        <w:t xml:space="preserve">respecto de los alcances del Reglamento de la Gestión de la Seguridad de la Información y la Ciberseguridad, aprobado mediante Resolución SBS N° 504-2021; </w:t>
      </w:r>
    </w:p>
    <w:p w14:paraId="61E0A854" w14:textId="77777777" w:rsidR="008638AB" w:rsidRPr="001B5C93" w:rsidRDefault="008638AB" w:rsidP="001B5C93">
      <w:p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p>
    <w:p w14:paraId="02A68685" w14:textId="01DD72F0" w:rsidR="008638AB" w:rsidRPr="001B5C93" w:rsidRDefault="008638AB" w:rsidP="001B5C93">
      <w:pPr>
        <w:numPr>
          <w:ilvl w:val="0"/>
          <w:numId w:val="8"/>
        </w:numPr>
        <w:tabs>
          <w:tab w:val="left" w:pos="-720"/>
          <w:tab w:val="left" w:pos="0"/>
        </w:tabs>
        <w:suppressAutoHyphens/>
        <w:ind w:left="567" w:right="56" w:hanging="567"/>
        <w:contextualSpacing/>
        <w:jc w:val="both"/>
        <w:rPr>
          <w:rFonts w:ascii="Arial Narrow" w:hAnsi="Arial Narrow" w:cs="Arial"/>
          <w:bCs/>
          <w:spacing w:val="-3"/>
          <w:sz w:val="22"/>
          <w:szCs w:val="22"/>
          <w:lang w:val="es-ES" w:eastAsia="es-ES"/>
        </w:rPr>
      </w:pPr>
      <w:r w:rsidRPr="001B5C93">
        <w:rPr>
          <w:rFonts w:ascii="Arial Narrow" w:hAnsi="Arial Narrow" w:cs="Arial"/>
          <w:spacing w:val="-3"/>
          <w:sz w:val="22"/>
          <w:szCs w:val="22"/>
        </w:rPr>
        <w:t>que, mediante Oficio N° 01690-2024-SBS del 11 de enero de 2024, la SBS absolvió el requerimiento efectuado;</w:t>
      </w:r>
      <w:r w:rsidRPr="001B5C93">
        <w:rPr>
          <w:rFonts w:ascii="Arial Narrow" w:hAnsi="Arial Narrow" w:cs="Arial"/>
          <w:bCs/>
          <w:spacing w:val="-3"/>
          <w:sz w:val="22"/>
          <w:szCs w:val="22"/>
          <w:lang w:val="es-ES" w:eastAsia="es-ES"/>
        </w:rPr>
        <w:br/>
      </w:r>
    </w:p>
    <w:p w14:paraId="4983544A" w14:textId="77777777"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t>que, conforme a lo indicado en el Oficio N° 01690-2024-SBS, si bien el</w:t>
      </w:r>
      <w:r w:rsidRPr="001B5C93">
        <w:rPr>
          <w:rFonts w:ascii="Arial Narrow" w:eastAsia="Arial" w:hAnsi="Arial Narrow" w:cs="Arial"/>
          <w:sz w:val="22"/>
          <w:szCs w:val="22"/>
        </w:rPr>
        <w:t xml:space="preserve"> </w:t>
      </w:r>
      <w:r w:rsidRPr="001B5C93">
        <w:rPr>
          <w:rFonts w:ascii="Arial Narrow" w:hAnsi="Arial Narrow" w:cs="Arial"/>
          <w:bCs/>
          <w:spacing w:val="-3"/>
          <w:sz w:val="22"/>
          <w:szCs w:val="22"/>
          <w:lang w:eastAsia="es-ES"/>
        </w:rPr>
        <w:t xml:space="preserve">Reglamento no niega que la validación de un factor, al ingresar a la banca móvil o por internet puede ser reutilizada para autenticar operaciones posteriores; </w:t>
      </w:r>
      <w:r w:rsidRPr="001B5C93">
        <w:rPr>
          <w:rFonts w:ascii="Arial Narrow" w:hAnsi="Arial Narrow" w:cs="Arial"/>
          <w:bCs/>
          <w:spacing w:val="-3"/>
          <w:sz w:val="22"/>
          <w:szCs w:val="22"/>
          <w:lang w:val="es-ES" w:eastAsia="es-ES"/>
        </w:rPr>
        <w:t>en atención a lo dispuesto en el literal d) del numeral 17.1 del artículo 17° de</w:t>
      </w:r>
      <w:r w:rsidRPr="001B5C93">
        <w:rPr>
          <w:rFonts w:ascii="Arial Narrow" w:eastAsia="Arial" w:hAnsi="Arial Narrow" w:cs="Arial"/>
          <w:sz w:val="22"/>
          <w:szCs w:val="22"/>
        </w:rPr>
        <w:t>l Reglamento,</w:t>
      </w:r>
      <w:r w:rsidRPr="001B5C93">
        <w:rPr>
          <w:rFonts w:ascii="Arial Narrow" w:hAnsi="Arial Narrow" w:cs="Arial"/>
          <w:bCs/>
          <w:spacing w:val="-3"/>
          <w:sz w:val="22"/>
          <w:szCs w:val="22"/>
          <w:lang w:eastAsia="es-ES"/>
        </w:rPr>
        <w:t xml:space="preserve"> las empresas del sistema financiero deben implementar procesos de autenticación, conforme a la definición establecida en este Reglamento, para controlar el acceso a los servicios que provea a sus usuarios por canales digitales, previo a lo cual debe evaluar formalmente y tomar medidas sobre, entre otros, las líneas base de controles de seguridad de la información requerida para prevenir las amenazas a que esté expuesto el proceso de autenticación, lo que incluye, y no se </w:t>
      </w:r>
      <w:r w:rsidRPr="001B5C93">
        <w:rPr>
          <w:rFonts w:ascii="Arial Narrow" w:hAnsi="Arial Narrow" w:cs="Arial"/>
          <w:bCs/>
          <w:spacing w:val="-3"/>
          <w:sz w:val="22"/>
          <w:szCs w:val="22"/>
          <w:lang w:eastAsia="es-ES"/>
        </w:rPr>
        <w:lastRenderedPageBreak/>
        <w:t xml:space="preserve">restringe, al número límite de intentos fallidos de autenticación, la prevención de ataques de interceptación y manipulación de mensajes; </w:t>
      </w:r>
    </w:p>
    <w:p w14:paraId="4E4568A9" w14:textId="77777777" w:rsidR="008638AB" w:rsidRPr="001B5C93" w:rsidRDefault="008638AB" w:rsidP="001B5C93">
      <w:p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p>
    <w:p w14:paraId="57CCFAB4" w14:textId="7F6693FB"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t xml:space="preserve">que, conforme a lo indicado en el Oficio N° 01690-2024-SBS, si bien la reutilización del primer factor de autenticación resulta posible, el numeral 17.4 del </w:t>
      </w:r>
      <w:r w:rsidRPr="001B5C93">
        <w:rPr>
          <w:rFonts w:ascii="Arial Narrow" w:hAnsi="Arial Narrow" w:cs="Arial"/>
          <w:bCs/>
          <w:spacing w:val="-3"/>
          <w:sz w:val="22"/>
          <w:szCs w:val="22"/>
          <w:lang w:eastAsia="es-ES"/>
        </w:rPr>
        <w:t>artículo</w:t>
      </w:r>
      <w:r w:rsidRPr="001B5C93">
        <w:rPr>
          <w:rFonts w:ascii="Arial Narrow" w:hAnsi="Arial Narrow" w:cs="Arial"/>
          <w:bCs/>
          <w:spacing w:val="-3"/>
          <w:sz w:val="22"/>
          <w:szCs w:val="22"/>
          <w:lang w:val="es-ES" w:eastAsia="es-ES"/>
        </w:rPr>
        <w:t xml:space="preserve"> 17° del Reglamento, ha dispuesto que </w:t>
      </w:r>
      <w:r w:rsidRPr="001B5C93">
        <w:rPr>
          <w:rFonts w:ascii="Arial Narrow" w:hAnsi="Arial Narrow" w:cs="Arial"/>
          <w:bCs/>
          <w:spacing w:val="-3"/>
          <w:sz w:val="22"/>
          <w:szCs w:val="22"/>
          <w:lang w:eastAsia="es-ES"/>
        </w:rPr>
        <w:t>las empresas del sistema financiero deben contar con herramientas y procedimientos para implementar el monitoreo de transacciones que permita tomar medidas de reducción de la posibilidad de operaciones fraudulentas, que incorpore los escenarios de fraude ya conocidos, y el robo o compromiso de los elementos utilizados para la autenticación</w:t>
      </w:r>
      <w:r w:rsidR="00082873" w:rsidRPr="007F10DF">
        <w:rPr>
          <w:rStyle w:val="Refdenotaalpie"/>
          <w:rFonts w:ascii="Arial Narrow" w:hAnsi="Arial Narrow" w:cs="Arial"/>
          <w:bCs/>
          <w:spacing w:val="-3"/>
          <w:sz w:val="22"/>
          <w:szCs w:val="22"/>
          <w:lang w:val="es-ES" w:eastAsia="es-ES"/>
        </w:rPr>
        <w:footnoteReference w:customMarkFollows="1" w:id="9"/>
        <w:t>9</w:t>
      </w:r>
      <w:r w:rsidRPr="001B5C93">
        <w:rPr>
          <w:rFonts w:ascii="Arial Narrow" w:hAnsi="Arial Narrow" w:cs="Arial"/>
          <w:bCs/>
          <w:spacing w:val="-3"/>
          <w:sz w:val="22"/>
          <w:szCs w:val="22"/>
          <w:lang w:val="es-ES" w:eastAsia="es-ES"/>
        </w:rPr>
        <w:t>.</w:t>
      </w:r>
    </w:p>
    <w:p w14:paraId="6A2DE043" w14:textId="77777777" w:rsidR="008638AB" w:rsidRPr="001B5C93" w:rsidRDefault="008638AB" w:rsidP="001B5C93">
      <w:pPr>
        <w:pStyle w:val="Prrafodelista"/>
        <w:tabs>
          <w:tab w:val="left" w:pos="-720"/>
          <w:tab w:val="left" w:pos="0"/>
        </w:tabs>
        <w:suppressAutoHyphens/>
        <w:spacing w:after="0" w:line="240" w:lineRule="auto"/>
        <w:ind w:left="1080"/>
        <w:jc w:val="both"/>
        <w:rPr>
          <w:rFonts w:ascii="Arial Narrow" w:hAnsi="Arial Narrow" w:cs="Arial"/>
          <w:bCs/>
        </w:rPr>
      </w:pPr>
    </w:p>
    <w:p w14:paraId="1AD4D7A0" w14:textId="472177AB" w:rsidR="003076A5" w:rsidRPr="001B5C93" w:rsidRDefault="003076A5" w:rsidP="001B5C93">
      <w:pPr>
        <w:tabs>
          <w:tab w:val="left" w:pos="-720"/>
          <w:tab w:val="left" w:pos="0"/>
        </w:tabs>
        <w:suppressAutoHyphens/>
        <w:jc w:val="both"/>
        <w:rPr>
          <w:rFonts w:ascii="Arial Narrow" w:hAnsi="Arial Narrow" w:cs="Arial"/>
          <w:b/>
          <w:spacing w:val="-3"/>
          <w:sz w:val="22"/>
          <w:szCs w:val="22"/>
        </w:rPr>
      </w:pPr>
      <w:r w:rsidRPr="001B5C93">
        <w:rPr>
          <w:rFonts w:ascii="Arial Narrow" w:hAnsi="Arial Narrow" w:cs="Arial"/>
          <w:b/>
          <w:spacing w:val="-3"/>
          <w:sz w:val="22"/>
          <w:szCs w:val="22"/>
        </w:rPr>
        <w:t xml:space="preserve">SE </w:t>
      </w:r>
      <w:r w:rsidR="00BA6D51" w:rsidRPr="001B5C93">
        <w:rPr>
          <w:rFonts w:ascii="Arial Narrow" w:hAnsi="Arial Narrow" w:cs="Arial"/>
          <w:b/>
          <w:spacing w:val="-3"/>
          <w:sz w:val="22"/>
          <w:szCs w:val="22"/>
        </w:rPr>
        <w:t>RESUELVE</w:t>
      </w:r>
      <w:r w:rsidRPr="001B5C93">
        <w:rPr>
          <w:rFonts w:ascii="Arial Narrow" w:hAnsi="Arial Narrow" w:cs="Arial"/>
          <w:b/>
          <w:spacing w:val="-3"/>
          <w:sz w:val="22"/>
          <w:szCs w:val="22"/>
        </w:rPr>
        <w:t>:</w:t>
      </w:r>
    </w:p>
    <w:p w14:paraId="7260E0E0" w14:textId="77777777" w:rsidR="003076A5" w:rsidRPr="001B5C93" w:rsidRDefault="003076A5" w:rsidP="001B5C93">
      <w:pPr>
        <w:tabs>
          <w:tab w:val="left" w:pos="-720"/>
          <w:tab w:val="left" w:pos="0"/>
        </w:tabs>
        <w:suppressAutoHyphens/>
        <w:jc w:val="both"/>
        <w:rPr>
          <w:rFonts w:ascii="Arial Narrow" w:hAnsi="Arial Narrow" w:cs="Arial"/>
          <w:b/>
          <w:spacing w:val="-3"/>
          <w:sz w:val="22"/>
          <w:szCs w:val="22"/>
        </w:rPr>
      </w:pPr>
    </w:p>
    <w:p w14:paraId="099FE3B8" w14:textId="10E2DAD3" w:rsidR="003076A5" w:rsidRPr="001B5C93" w:rsidRDefault="003076A5" w:rsidP="001B5C93">
      <w:pPr>
        <w:pStyle w:val="Prrafodelista"/>
        <w:numPr>
          <w:ilvl w:val="0"/>
          <w:numId w:val="4"/>
        </w:numPr>
        <w:tabs>
          <w:tab w:val="left" w:pos="-720"/>
          <w:tab w:val="left" w:pos="0"/>
        </w:tabs>
        <w:suppressAutoHyphens/>
        <w:spacing w:after="0" w:line="240" w:lineRule="auto"/>
        <w:ind w:left="567" w:hanging="567"/>
        <w:jc w:val="both"/>
        <w:rPr>
          <w:rFonts w:ascii="Arial Narrow" w:hAnsi="Arial Narrow" w:cs="Arial"/>
          <w:bCs/>
          <w:spacing w:val="-3"/>
        </w:rPr>
      </w:pPr>
      <w:r w:rsidRPr="001B5C93">
        <w:rPr>
          <w:rFonts w:ascii="Arial Narrow" w:hAnsi="Arial Narrow" w:cs="Arial"/>
        </w:rPr>
        <w:t xml:space="preserve">Agregar </w:t>
      </w:r>
      <w:bookmarkStart w:id="2" w:name="_Hlk174349399"/>
      <w:r w:rsidR="00BA6D51" w:rsidRPr="001B5C93">
        <w:rPr>
          <w:rFonts w:ascii="Arial Narrow" w:hAnsi="Arial Narrow" w:cs="Arial"/>
        </w:rPr>
        <w:t>al expediente la copia del Oficio N° 0067-2023/CC1-INDECOPI del 6 de noviembre de 2023, emitido por la Comisión de Protección al Consumidor N° 1, así como del Oficio N° 36482-2022-SBS del 31 de agosto de 2022, Oficio N° 01690-2024-SBS del 11 de enero de 2024, y Oficio N° 12205-2024-SBS del 28 de febrero de 2024, emitidos por la Superintendencia de Banca, Seguros y AFP; y ponerlos en conocimiento de ambas partes</w:t>
      </w:r>
      <w:bookmarkEnd w:id="2"/>
      <w:r w:rsidRPr="001B5C93">
        <w:rPr>
          <w:rFonts w:ascii="Arial Narrow" w:hAnsi="Arial Narrow" w:cs="Arial"/>
        </w:rPr>
        <w:t>.</w:t>
      </w:r>
    </w:p>
    <w:p w14:paraId="55EFC483" w14:textId="77777777" w:rsidR="003076A5" w:rsidRPr="001B5C93" w:rsidRDefault="003076A5" w:rsidP="001B5C93">
      <w:pPr>
        <w:pStyle w:val="Prrafodelista"/>
        <w:tabs>
          <w:tab w:val="left" w:pos="-720"/>
          <w:tab w:val="left" w:pos="0"/>
        </w:tabs>
        <w:suppressAutoHyphens/>
        <w:spacing w:after="0" w:line="240" w:lineRule="auto"/>
        <w:ind w:left="567" w:hanging="567"/>
        <w:jc w:val="both"/>
        <w:rPr>
          <w:rFonts w:ascii="Arial Narrow" w:hAnsi="Arial Narrow" w:cs="Arial"/>
          <w:bCs/>
          <w:spacing w:val="-3"/>
        </w:rPr>
      </w:pPr>
    </w:p>
    <w:p w14:paraId="6A52B80B" w14:textId="0F772CD7" w:rsidR="003076A5" w:rsidRPr="001B5C93" w:rsidRDefault="003076A5" w:rsidP="001B5C93">
      <w:pPr>
        <w:pStyle w:val="Prrafodelista"/>
        <w:numPr>
          <w:ilvl w:val="0"/>
          <w:numId w:val="4"/>
        </w:numPr>
        <w:tabs>
          <w:tab w:val="left" w:pos="-720"/>
          <w:tab w:val="left" w:pos="0"/>
        </w:tabs>
        <w:suppressAutoHyphens/>
        <w:spacing w:after="0" w:line="240" w:lineRule="auto"/>
        <w:ind w:left="567" w:hanging="567"/>
        <w:jc w:val="both"/>
        <w:rPr>
          <w:rFonts w:ascii="Arial Narrow" w:hAnsi="Arial Narrow" w:cs="Arial"/>
          <w:bCs/>
          <w:spacing w:val="-3"/>
        </w:rPr>
      </w:pPr>
      <w:r w:rsidRPr="001B5C93">
        <w:rPr>
          <w:rFonts w:ascii="Arial Narrow" w:hAnsi="Arial Narrow" w:cs="Arial"/>
          <w:bCs/>
          <w:spacing w:val="-3"/>
        </w:rPr>
        <w:t xml:space="preserve">Poner en conocimiento de </w:t>
      </w:r>
      <w:r w:rsidR="0070714D">
        <w:rPr>
          <w:rFonts w:ascii="Arial Narrow" w:hAnsi="Arial Narrow" w:cs="Arial"/>
          <w:noProof/>
          <w:lang w:val="es-ES"/>
        </w:rPr>
        <w:t>Mauricio Felipe Bryson Puma</w:t>
      </w:r>
      <w:r w:rsidR="00956B7C" w:rsidRPr="001B5C93">
        <w:rPr>
          <w:rFonts w:ascii="Arial Narrow" w:hAnsi="Arial Narrow" w:cs="Arial"/>
          <w:noProof/>
          <w:lang w:val="es-ES"/>
        </w:rPr>
        <w:t xml:space="preserve"> </w:t>
      </w:r>
      <w:r w:rsidRPr="001B5C93">
        <w:rPr>
          <w:rFonts w:ascii="Arial Narrow" w:hAnsi="Arial Narrow" w:cs="Arial"/>
          <w:bCs/>
          <w:spacing w:val="-3"/>
        </w:rPr>
        <w:t>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p>
    <w:p w14:paraId="026B71C4" w14:textId="77777777" w:rsidR="003076A5" w:rsidRPr="001B5C93" w:rsidRDefault="003076A5" w:rsidP="007F10DF">
      <w:pPr>
        <w:pStyle w:val="Prrafodelista"/>
        <w:tabs>
          <w:tab w:val="left" w:pos="-720"/>
          <w:tab w:val="left" w:pos="0"/>
        </w:tabs>
        <w:suppressAutoHyphens/>
        <w:spacing w:after="0" w:line="240" w:lineRule="auto"/>
        <w:ind w:left="567" w:hanging="567"/>
        <w:jc w:val="both"/>
        <w:rPr>
          <w:rFonts w:ascii="Arial Narrow" w:hAnsi="Arial Narrow" w:cs="Arial"/>
          <w:bCs/>
          <w:spacing w:val="-3"/>
        </w:rPr>
      </w:pPr>
    </w:p>
    <w:p w14:paraId="5BCE7F81" w14:textId="497DAF9B" w:rsidR="0062543B" w:rsidRPr="001B5C93" w:rsidRDefault="003E1445" w:rsidP="007F10DF">
      <w:pPr>
        <w:pStyle w:val="Prrafodelista"/>
        <w:numPr>
          <w:ilvl w:val="0"/>
          <w:numId w:val="4"/>
        </w:numPr>
        <w:tabs>
          <w:tab w:val="left" w:pos="-720"/>
          <w:tab w:val="left" w:pos="0"/>
        </w:tabs>
        <w:suppressAutoHyphens/>
        <w:spacing w:after="0" w:line="240" w:lineRule="auto"/>
        <w:ind w:left="567" w:hanging="567"/>
        <w:jc w:val="both"/>
        <w:rPr>
          <w:rFonts w:ascii="Arial Narrow" w:hAnsi="Arial Narrow"/>
          <w:bCs/>
        </w:rPr>
      </w:pPr>
      <w:r w:rsidRPr="001B5C93">
        <w:rPr>
          <w:rFonts w:ascii="Arial Narrow" w:hAnsi="Arial Narrow" w:cs="Arial"/>
        </w:rPr>
        <w:t>R</w:t>
      </w:r>
      <w:r w:rsidR="003076A5" w:rsidRPr="001B5C93">
        <w:rPr>
          <w:rFonts w:ascii="Arial Narrow" w:hAnsi="Arial Narrow" w:cs="Arial"/>
        </w:rPr>
        <w:t xml:space="preserve">equerir </w:t>
      </w:r>
      <w:r w:rsidR="003076A5" w:rsidRPr="001B5C93">
        <w:rPr>
          <w:rFonts w:ascii="Arial Narrow" w:hAnsi="Arial Narrow" w:cs="Arial"/>
          <w:noProof/>
        </w:rPr>
        <w:t>a</w:t>
      </w:r>
      <w:r w:rsidR="00A613FC">
        <w:rPr>
          <w:rFonts w:ascii="Arial Narrow" w:hAnsi="Arial Narrow" w:cs="Arial"/>
          <w:noProof/>
        </w:rPr>
        <w:t xml:space="preserve">l señor </w:t>
      </w:r>
      <w:r w:rsidR="00A613FC">
        <w:rPr>
          <w:rFonts w:ascii="Arial Narrow" w:hAnsi="Arial Narrow" w:cs="Arial"/>
          <w:noProof/>
          <w:lang w:val="es-ES"/>
        </w:rPr>
        <w:t>Mauricio Felipe Bryson Puma</w:t>
      </w:r>
      <w:r w:rsidR="00956B7C" w:rsidRPr="001B5C93">
        <w:rPr>
          <w:rFonts w:ascii="Arial Narrow" w:hAnsi="Arial Narrow" w:cs="Arial"/>
          <w:noProof/>
          <w:lang w:val="es-ES"/>
        </w:rPr>
        <w:t xml:space="preserve"> </w:t>
      </w:r>
      <w:r w:rsidR="00A613FC">
        <w:rPr>
          <w:rFonts w:ascii="Arial Narrow" w:hAnsi="Arial Narrow" w:cs="Arial"/>
          <w:noProof/>
          <w:lang w:val="es-ES"/>
        </w:rPr>
        <w:t xml:space="preserve"> y a Scotiabank Perú S.A.A., </w:t>
      </w:r>
      <w:r w:rsidR="003076A5" w:rsidRPr="001B5C93">
        <w:rPr>
          <w:rFonts w:ascii="Arial Narrow" w:hAnsi="Arial Narrow" w:cs="Arial"/>
        </w:rPr>
        <w:t>que, dentro del plazo de dos (2) días hábiles siguientes a la fecha en que reciba</w:t>
      </w:r>
      <w:r w:rsidR="00A613FC">
        <w:rPr>
          <w:rFonts w:ascii="Arial Narrow" w:hAnsi="Arial Narrow" w:cs="Arial"/>
        </w:rPr>
        <w:t>n</w:t>
      </w:r>
      <w:r w:rsidR="003076A5" w:rsidRPr="001B5C93">
        <w:rPr>
          <w:rFonts w:ascii="Arial Narrow" w:hAnsi="Arial Narrow" w:cs="Arial"/>
        </w:rPr>
        <w:t xml:space="preserve"> la notificación en su bandeja de correo electrónico, efectúe</w:t>
      </w:r>
      <w:r w:rsidR="00A613FC">
        <w:rPr>
          <w:rFonts w:ascii="Arial Narrow" w:hAnsi="Arial Narrow" w:cs="Arial"/>
        </w:rPr>
        <w:t>n</w:t>
      </w:r>
      <w:r w:rsidR="003076A5" w:rsidRPr="001B5C93">
        <w:rPr>
          <w:rFonts w:ascii="Arial Narrow" w:hAnsi="Arial Narrow" w:cs="Arial"/>
        </w:rPr>
        <w:t xml:space="preserve"> la confirmación de recepción de la notificación remitida por este despacho a su correo electrónico, de conformidad con el segundo párrafo del numeral 4 del artículo 20 del </w:t>
      </w:r>
      <w:r w:rsidR="003076A5" w:rsidRPr="001B5C93">
        <w:rPr>
          <w:rFonts w:ascii="Arial Narrow" w:hAnsi="Arial Narrow" w:cs="Arial"/>
          <w:bCs/>
        </w:rPr>
        <w:t>Texto Único Ordenado de la Ley del Procedimiento Administrativo General, aprobado mediante Decreto Supremo N° 004-2019-JUS, bajo apercibimiento de rehacer el acto de notificación y notificarle conforme al numeral 1 del artículo 20 del citado cuerpo normativo</w:t>
      </w:r>
      <w:r w:rsidR="00082873" w:rsidRPr="007F10DF">
        <w:rPr>
          <w:rStyle w:val="Refdenotaalpie"/>
          <w:rFonts w:ascii="Arial Narrow" w:hAnsi="Arial Narrow" w:cs="Arial"/>
        </w:rPr>
        <w:footnoteReference w:customMarkFollows="1" w:id="10"/>
        <w:t>10</w:t>
      </w:r>
      <w:r w:rsidR="003076A5" w:rsidRPr="001B5C93">
        <w:rPr>
          <w:rFonts w:ascii="Arial Narrow" w:hAnsi="Arial Narrow" w:cs="Arial"/>
        </w:rPr>
        <w:t>.</w:t>
      </w:r>
    </w:p>
    <w:p w14:paraId="1BFE6509" w14:textId="77777777" w:rsidR="0062543B" w:rsidRPr="001B5C93" w:rsidRDefault="0062543B" w:rsidP="001B5C93">
      <w:pPr>
        <w:pStyle w:val="Prrafodelista"/>
        <w:spacing w:line="240" w:lineRule="auto"/>
        <w:rPr>
          <w:rFonts w:ascii="Arial Narrow" w:hAnsi="Arial Narrow" w:cs="Arial"/>
          <w:bCs/>
          <w:spacing w:val="-3"/>
        </w:rPr>
      </w:pPr>
    </w:p>
    <w:p w14:paraId="0C3413BC" w14:textId="77777777" w:rsidR="008638AB" w:rsidRPr="001B5C93" w:rsidRDefault="008638AB" w:rsidP="001B5C93">
      <w:pPr>
        <w:pStyle w:val="Prrafodelista"/>
        <w:spacing w:after="0" w:line="240" w:lineRule="auto"/>
        <w:rPr>
          <w:rFonts w:ascii="Arial Narrow" w:hAnsi="Arial Narrow"/>
          <w:bCs/>
        </w:rPr>
      </w:pPr>
    </w:p>
    <w:p w14:paraId="47840C93" w14:textId="7AAACEB7" w:rsidR="00584A8A" w:rsidRPr="001B5C93" w:rsidRDefault="003E1445" w:rsidP="001B5C93">
      <w:pPr>
        <w:pStyle w:val="Prrafodelista"/>
        <w:numPr>
          <w:ilvl w:val="0"/>
          <w:numId w:val="4"/>
        </w:numPr>
        <w:suppressAutoHyphens/>
        <w:spacing w:after="0" w:line="240" w:lineRule="auto"/>
        <w:ind w:left="567" w:hanging="567"/>
        <w:jc w:val="both"/>
        <w:rPr>
          <w:rFonts w:ascii="Arial Narrow" w:hAnsi="Arial Narrow" w:cs="Arial"/>
          <w:spacing w:val="-3"/>
        </w:rPr>
      </w:pPr>
      <w:r w:rsidRPr="001B5C93">
        <w:rPr>
          <w:rFonts w:ascii="Arial Narrow" w:hAnsi="Arial Narrow" w:cs="Arial"/>
          <w:bCs/>
          <w:spacing w:val="-3"/>
          <w:lang w:eastAsia="es-ES"/>
        </w:rPr>
        <w:t>R</w:t>
      </w:r>
      <w:r w:rsidR="00584A8A" w:rsidRPr="001B5C93">
        <w:rPr>
          <w:rFonts w:ascii="Arial Narrow" w:hAnsi="Arial Narrow" w:cs="Arial"/>
          <w:bCs/>
          <w:spacing w:val="-3"/>
          <w:lang w:eastAsia="es-ES"/>
        </w:rPr>
        <w:t>equerir a</w:t>
      </w:r>
      <w:r w:rsidR="00737EC3">
        <w:rPr>
          <w:rFonts w:ascii="Arial Narrow" w:hAnsi="Arial Narrow" w:cs="Arial"/>
          <w:bCs/>
          <w:spacing w:val="-3"/>
          <w:lang w:eastAsia="es-ES"/>
        </w:rPr>
        <w:t xml:space="preserve"> </w:t>
      </w:r>
      <w:r w:rsidR="00305DF4">
        <w:rPr>
          <w:rFonts w:ascii="Arial Narrow" w:hAnsi="Arial Narrow" w:cs="Arial"/>
          <w:noProof/>
          <w:lang w:val="es-ES"/>
        </w:rPr>
        <w:t xml:space="preserve">Scotiabank Perú S.A.A., </w:t>
      </w:r>
      <w:r w:rsidR="00305DF4" w:rsidRPr="001B5C93">
        <w:rPr>
          <w:rFonts w:ascii="Arial Narrow" w:hAnsi="Arial Narrow" w:cs="Arial"/>
          <w:spacing w:val="-3"/>
        </w:rPr>
        <w:t>bajo</w:t>
      </w:r>
      <w:r w:rsidR="00F70896" w:rsidRPr="001B5C93">
        <w:rPr>
          <w:rFonts w:ascii="Arial Narrow" w:hAnsi="Arial Narrow" w:cs="Arial"/>
          <w:spacing w:val="-3"/>
        </w:rPr>
        <w:t xml:space="preserve"> apercibimiento </w:t>
      </w:r>
      <w:r w:rsidR="00F70896" w:rsidRPr="001B5C93">
        <w:rPr>
          <w:rFonts w:ascii="Arial Narrow" w:hAnsi="Arial Narrow" w:cs="Arial"/>
          <w:u w:color="000000"/>
        </w:rPr>
        <w:t>de emitir un pronunciamiento únicamente con los medios probatorios que obran en el expediente,</w:t>
      </w:r>
      <w:r w:rsidR="00F70896" w:rsidRPr="001B5C93">
        <w:rPr>
          <w:rFonts w:ascii="Arial Narrow" w:hAnsi="Arial Narrow" w:cs="Arial"/>
          <w:bCs/>
          <w:spacing w:val="-3"/>
        </w:rPr>
        <w:t xml:space="preserve"> </w:t>
      </w:r>
      <w:r w:rsidR="00584A8A" w:rsidRPr="001B5C93">
        <w:rPr>
          <w:rFonts w:ascii="Arial Narrow" w:hAnsi="Arial Narrow" w:cs="Arial"/>
          <w:bCs/>
          <w:spacing w:val="-3"/>
        </w:rPr>
        <w:t xml:space="preserve">que, en el </w:t>
      </w:r>
      <w:r w:rsidR="00584A8A" w:rsidRPr="001B5C93">
        <w:rPr>
          <w:rFonts w:ascii="Arial Narrow" w:hAnsi="Arial Narrow" w:cs="Arial"/>
          <w:b/>
          <w:spacing w:val="-3"/>
          <w:u w:val="single"/>
        </w:rPr>
        <w:t>plazo improrrogable de cinco (5) días hábiles,</w:t>
      </w:r>
      <w:r w:rsidR="00584A8A" w:rsidRPr="001B5C93">
        <w:rPr>
          <w:rFonts w:ascii="Arial Narrow" w:hAnsi="Arial Narrow" w:cs="Arial"/>
          <w:bCs/>
          <w:spacing w:val="-3"/>
        </w:rPr>
        <w:t xml:space="preserve"> contado a partir del día siguiente de notificada la presente resolución, cumpla con lo siguiente: </w:t>
      </w:r>
    </w:p>
    <w:p w14:paraId="3C461181" w14:textId="77777777" w:rsidR="001B5C93" w:rsidRDefault="001B5C93" w:rsidP="001B5C93">
      <w:pPr>
        <w:tabs>
          <w:tab w:val="left" w:pos="-720"/>
          <w:tab w:val="left" w:pos="0"/>
        </w:tabs>
        <w:suppressAutoHyphens/>
        <w:ind w:left="1134"/>
        <w:jc w:val="both"/>
        <w:rPr>
          <w:rFonts w:ascii="Arial Narrow" w:hAnsi="Arial Narrow" w:cs="Arial"/>
          <w:spacing w:val="-3"/>
          <w:sz w:val="22"/>
          <w:szCs w:val="22"/>
          <w:lang w:val="es-ES" w:eastAsia="es-ES"/>
        </w:rPr>
      </w:pPr>
    </w:p>
    <w:p w14:paraId="2542F813" w14:textId="77777777" w:rsidR="00496318" w:rsidRPr="00496318" w:rsidRDefault="001B5C93" w:rsidP="00496318">
      <w:pPr>
        <w:numPr>
          <w:ilvl w:val="0"/>
          <w:numId w:val="13"/>
        </w:numPr>
        <w:tabs>
          <w:tab w:val="left" w:pos="-720"/>
          <w:tab w:val="left" w:pos="0"/>
        </w:tabs>
        <w:suppressAutoHyphens/>
        <w:ind w:left="1134" w:hanging="567"/>
        <w:jc w:val="both"/>
      </w:pPr>
      <w:r w:rsidRPr="001B5C93">
        <w:rPr>
          <w:rFonts w:ascii="Arial Narrow" w:hAnsi="Arial Narrow" w:cs="Arial"/>
          <w:spacing w:val="-3"/>
          <w:sz w:val="22"/>
          <w:szCs w:val="22"/>
        </w:rPr>
        <w:t xml:space="preserve">Presentar una copia legible y completa del contrato y/o los documentos debidamente suscritos que vinculen a la denunciante con </w:t>
      </w:r>
      <w:r>
        <w:rPr>
          <w:rFonts w:ascii="Arial Narrow" w:hAnsi="Arial Narrow" w:cs="Arial"/>
          <w:spacing w:val="-3"/>
          <w:sz w:val="22"/>
          <w:szCs w:val="22"/>
        </w:rPr>
        <w:t xml:space="preserve">el producto </w:t>
      </w:r>
      <w:r w:rsidRPr="001B5C93">
        <w:rPr>
          <w:rFonts w:ascii="Arial Narrow" w:hAnsi="Arial Narrow" w:cs="Arial"/>
          <w:spacing w:val="-3"/>
          <w:sz w:val="22"/>
          <w:szCs w:val="22"/>
        </w:rPr>
        <w:t>materia de denuncia</w:t>
      </w:r>
      <w:r>
        <w:rPr>
          <w:rFonts w:ascii="Arial Narrow" w:hAnsi="Arial Narrow" w:cs="Arial"/>
          <w:spacing w:val="-3"/>
          <w:sz w:val="22"/>
          <w:szCs w:val="22"/>
        </w:rPr>
        <w:t>.</w:t>
      </w:r>
    </w:p>
    <w:p w14:paraId="222BE99D" w14:textId="77777777" w:rsidR="00496318" w:rsidRDefault="00496318" w:rsidP="00496318">
      <w:pPr>
        <w:tabs>
          <w:tab w:val="left" w:pos="-720"/>
          <w:tab w:val="left" w:pos="0"/>
        </w:tabs>
        <w:suppressAutoHyphens/>
        <w:ind w:left="1134"/>
        <w:jc w:val="both"/>
      </w:pPr>
    </w:p>
    <w:p w14:paraId="6D3A7676" w14:textId="77777777" w:rsidR="00052484" w:rsidRDefault="00496318" w:rsidP="00052484">
      <w:pPr>
        <w:numPr>
          <w:ilvl w:val="0"/>
          <w:numId w:val="13"/>
        </w:numPr>
        <w:tabs>
          <w:tab w:val="left" w:pos="-720"/>
          <w:tab w:val="left" w:pos="0"/>
        </w:tabs>
        <w:suppressAutoHyphens/>
        <w:ind w:left="1134" w:hanging="567"/>
        <w:jc w:val="both"/>
        <w:rPr>
          <w:rFonts w:ascii="Arial Narrow" w:hAnsi="Arial Narrow"/>
          <w:sz w:val="22"/>
          <w:szCs w:val="22"/>
        </w:rPr>
      </w:pPr>
      <w:r w:rsidRPr="00496318">
        <w:rPr>
          <w:rFonts w:ascii="Arial Narrow" w:hAnsi="Arial Narrow"/>
          <w:sz w:val="22"/>
          <w:szCs w:val="22"/>
        </w:rPr>
        <w:t>Informar la fecha exacta de contratación del producto materia de denuncia, así como si respecto de estos el cliente efectuó alguna renovación posterior a su contratación. En caso corresponda, deberá adjuntar los medios probatorios que acrediten sus afirmaciones.</w:t>
      </w:r>
    </w:p>
    <w:p w14:paraId="76DF6F8B" w14:textId="77777777" w:rsidR="00052484" w:rsidRPr="00052484" w:rsidRDefault="00052484" w:rsidP="00052484">
      <w:pPr>
        <w:rPr>
          <w:rFonts w:ascii="Arial Narrow" w:hAnsi="Arial Narrow" w:cs="Arial"/>
          <w:sz w:val="22"/>
          <w:szCs w:val="22"/>
        </w:rPr>
      </w:pPr>
    </w:p>
    <w:p w14:paraId="4D81501F" w14:textId="77777777" w:rsidR="00052484" w:rsidRPr="00052484" w:rsidRDefault="00052484" w:rsidP="00052484">
      <w:pPr>
        <w:numPr>
          <w:ilvl w:val="0"/>
          <w:numId w:val="13"/>
        </w:numPr>
        <w:tabs>
          <w:tab w:val="left" w:pos="-720"/>
          <w:tab w:val="left" w:pos="0"/>
        </w:tabs>
        <w:suppressAutoHyphens/>
        <w:ind w:left="1134" w:hanging="567"/>
        <w:jc w:val="both"/>
        <w:rPr>
          <w:rFonts w:ascii="Arial Narrow" w:hAnsi="Arial Narrow"/>
          <w:sz w:val="22"/>
          <w:szCs w:val="22"/>
        </w:rPr>
      </w:pPr>
      <w:r w:rsidRPr="00052484">
        <w:rPr>
          <w:rFonts w:ascii="Arial Narrow" w:hAnsi="Arial Narrow" w:cs="Arial"/>
          <w:sz w:val="22"/>
          <w:szCs w:val="22"/>
        </w:rPr>
        <w:t>Presentar los documentos y/o “prints” de la pantalla del sistema que acredite que la denunciante se encontraba afiliado a la Banca por Internet, Clave SMS y/o Clave Token Digital; así como sustentar el procedimiento seguido por la denunciante para ello.</w:t>
      </w:r>
      <w:r w:rsidRPr="00052484">
        <w:rPr>
          <w:rFonts w:ascii="Arial" w:hAnsi="Arial" w:cs="Arial"/>
          <w:sz w:val="22"/>
          <w:szCs w:val="22"/>
        </w:rPr>
        <w:t>  </w:t>
      </w:r>
      <w:r w:rsidRPr="00052484">
        <w:rPr>
          <w:rFonts w:ascii="Arial Narrow" w:hAnsi="Arial Narrow" w:cs="Arial"/>
          <w:sz w:val="22"/>
          <w:szCs w:val="22"/>
        </w:rPr>
        <w:t xml:space="preserve"> </w:t>
      </w:r>
    </w:p>
    <w:p w14:paraId="74EB86B5" w14:textId="77777777" w:rsidR="00052484" w:rsidRPr="00052484" w:rsidRDefault="00052484" w:rsidP="00052484">
      <w:pPr>
        <w:rPr>
          <w:rFonts w:ascii="Arial" w:hAnsi="Arial" w:cs="Arial"/>
        </w:rPr>
      </w:pPr>
    </w:p>
    <w:p w14:paraId="08DB8A2C" w14:textId="77777777" w:rsidR="00963FE2" w:rsidRDefault="00052484" w:rsidP="00963FE2">
      <w:pPr>
        <w:numPr>
          <w:ilvl w:val="0"/>
          <w:numId w:val="13"/>
        </w:numPr>
        <w:tabs>
          <w:tab w:val="left" w:pos="-720"/>
          <w:tab w:val="left" w:pos="0"/>
        </w:tabs>
        <w:suppressAutoHyphens/>
        <w:ind w:left="1134" w:hanging="567"/>
        <w:jc w:val="both"/>
        <w:rPr>
          <w:rFonts w:ascii="Arial Narrow" w:hAnsi="Arial Narrow"/>
          <w:sz w:val="22"/>
          <w:szCs w:val="22"/>
        </w:rPr>
      </w:pPr>
      <w:r w:rsidRPr="00052484">
        <w:rPr>
          <w:rFonts w:ascii="Arial Narrow" w:hAnsi="Arial Narrow" w:cs="Arial"/>
          <w:sz w:val="22"/>
          <w:szCs w:val="22"/>
        </w:rPr>
        <w:t>Presentar la copia de los documentos que acrediten que las operaciones no reconocidas se realizaron válidamente; así como los “prints” de la pantalla del sistema que acrediten que dichas operaciones fueron autorizadas conforme a sus procedimientos, así como la explicación de las siglas y códigos que figuran en este, las mismas que deberán estar autorizadas y visadas</w:t>
      </w:r>
      <w:r w:rsidRPr="00052484">
        <w:rPr>
          <w:rFonts w:ascii="Arial" w:hAnsi="Arial" w:cs="Arial"/>
          <w:sz w:val="22"/>
          <w:szCs w:val="22"/>
        </w:rPr>
        <w:t> </w:t>
      </w:r>
      <w:r w:rsidRPr="00052484">
        <w:rPr>
          <w:rFonts w:ascii="Arial Narrow" w:hAnsi="Arial Narrow" w:cs="Arial"/>
          <w:sz w:val="22"/>
          <w:szCs w:val="22"/>
        </w:rPr>
        <w:t>por un funcionario debidamente acreditado de la entidad bancaria.</w:t>
      </w:r>
    </w:p>
    <w:p w14:paraId="6950758D" w14:textId="77777777" w:rsidR="00963FE2" w:rsidRPr="00963FE2" w:rsidRDefault="00963FE2" w:rsidP="00963FE2">
      <w:pPr>
        <w:rPr>
          <w:rFonts w:ascii="Arial" w:hAnsi="Arial" w:cs="Arial"/>
        </w:rPr>
      </w:pPr>
    </w:p>
    <w:p w14:paraId="3679E350" w14:textId="77777777" w:rsidR="004716EC" w:rsidRDefault="00963FE2" w:rsidP="004716EC">
      <w:pPr>
        <w:numPr>
          <w:ilvl w:val="0"/>
          <w:numId w:val="13"/>
        </w:numPr>
        <w:tabs>
          <w:tab w:val="left" w:pos="-720"/>
          <w:tab w:val="left" w:pos="0"/>
        </w:tabs>
        <w:suppressAutoHyphens/>
        <w:ind w:left="1134" w:hanging="567"/>
        <w:jc w:val="both"/>
        <w:rPr>
          <w:rFonts w:ascii="Arial Narrow" w:hAnsi="Arial Narrow"/>
          <w:sz w:val="22"/>
          <w:szCs w:val="22"/>
        </w:rPr>
      </w:pPr>
      <w:r w:rsidRPr="00963FE2">
        <w:rPr>
          <w:rFonts w:ascii="Arial Narrow" w:hAnsi="Arial Narrow" w:cs="Arial"/>
          <w:sz w:val="22"/>
          <w:szCs w:val="22"/>
        </w:rPr>
        <w:t>Presentar los medios probatorios de los que pueda verificarse indubitablemente la fecha y hora en que se efectuó el bloqueo de la cuenta de la cuenta en la que se realizó la operación(es) cuestionada(s), de titularidad del denunciante, según corresponda.</w:t>
      </w:r>
    </w:p>
    <w:p w14:paraId="7D123F49" w14:textId="77777777" w:rsidR="004716EC" w:rsidRPr="00BD44AC" w:rsidRDefault="004716EC" w:rsidP="00BD44AC">
      <w:pPr>
        <w:rPr>
          <w:rFonts w:ascii="Arial Narrow" w:hAnsi="Arial Narrow" w:cs="Arial"/>
          <w:spacing w:val="-3"/>
        </w:rPr>
      </w:pPr>
    </w:p>
    <w:p w14:paraId="799C1B4B" w14:textId="77777777" w:rsidR="00F136E8" w:rsidRDefault="004716EC" w:rsidP="000043B4">
      <w:pPr>
        <w:numPr>
          <w:ilvl w:val="0"/>
          <w:numId w:val="13"/>
        </w:numPr>
        <w:tabs>
          <w:tab w:val="left" w:pos="-720"/>
          <w:tab w:val="left" w:pos="0"/>
        </w:tabs>
        <w:suppressAutoHyphens/>
        <w:ind w:left="1134" w:hanging="567"/>
        <w:jc w:val="both"/>
        <w:rPr>
          <w:rFonts w:ascii="Arial Narrow" w:hAnsi="Arial Narrow"/>
          <w:sz w:val="22"/>
          <w:szCs w:val="22"/>
        </w:rPr>
      </w:pPr>
      <w:r w:rsidRPr="004716EC">
        <w:rPr>
          <w:rFonts w:ascii="Arial Narrow" w:hAnsi="Arial Narrow" w:cs="Arial"/>
          <w:spacing w:val="-3"/>
          <w:sz w:val="22"/>
          <w:szCs w:val="22"/>
        </w:rPr>
        <w:t xml:space="preserve">Presentar el medio probatorio pertinente que acredite que </w:t>
      </w:r>
      <w:r w:rsidRPr="004716EC">
        <w:rPr>
          <w:rFonts w:ascii="Arial Narrow" w:hAnsi="Arial Narrow" w:cs="Arial"/>
          <w:b/>
          <w:bCs/>
          <w:spacing w:val="-3"/>
          <w:sz w:val="22"/>
          <w:szCs w:val="22"/>
          <w:u w:val="single"/>
        </w:rPr>
        <w:t>se notificó al usuario con la(s) operación(es) no reconocida(s) realizadas.</w:t>
      </w:r>
    </w:p>
    <w:p w14:paraId="74D00BD9" w14:textId="25714791" w:rsidR="00F136E8" w:rsidRPr="00F136E8" w:rsidRDefault="00F136E8" w:rsidP="00F136E8">
      <w:pPr>
        <w:rPr>
          <w:rFonts w:ascii="Arial Narrow" w:hAnsi="Arial Narrow" w:cs="Arial"/>
        </w:rPr>
      </w:pPr>
    </w:p>
    <w:p w14:paraId="01C8AA86" w14:textId="77777777" w:rsidR="009B4C48" w:rsidRDefault="000043B4" w:rsidP="009B4C48">
      <w:pPr>
        <w:numPr>
          <w:ilvl w:val="0"/>
          <w:numId w:val="13"/>
        </w:numPr>
        <w:tabs>
          <w:tab w:val="left" w:pos="-720"/>
          <w:tab w:val="left" w:pos="0"/>
        </w:tabs>
        <w:suppressAutoHyphens/>
        <w:ind w:left="1134" w:hanging="567"/>
        <w:jc w:val="both"/>
        <w:rPr>
          <w:rFonts w:ascii="Arial Narrow" w:hAnsi="Arial Narrow"/>
          <w:sz w:val="22"/>
          <w:szCs w:val="22"/>
        </w:rPr>
      </w:pPr>
      <w:r w:rsidRPr="00F136E8">
        <w:rPr>
          <w:rFonts w:ascii="Arial Narrow" w:hAnsi="Arial Narrow" w:cs="Arial"/>
          <w:sz w:val="22"/>
          <w:szCs w:val="22"/>
        </w:rPr>
        <w:t>En caso corresponda, explicar de manera detallada el funcionamiento de sus sistemas de monitoreo para la detección de operaciones inusuales o que no corresponden al comportamiento habitual, debiendo adjuntar los medios probatorios que considere pertinentes para tal efecto.</w:t>
      </w:r>
    </w:p>
    <w:p w14:paraId="0A427780" w14:textId="77777777" w:rsidR="009B4C48" w:rsidRPr="009B4C48" w:rsidRDefault="009B4C48" w:rsidP="009B4C48">
      <w:pPr>
        <w:rPr>
          <w:rFonts w:ascii="Arial" w:hAnsi="Arial" w:cs="Arial"/>
        </w:rPr>
      </w:pPr>
    </w:p>
    <w:p w14:paraId="4950FF1C" w14:textId="77777777" w:rsidR="00A35DCF" w:rsidRDefault="009B4C48" w:rsidP="00A35DCF">
      <w:pPr>
        <w:numPr>
          <w:ilvl w:val="0"/>
          <w:numId w:val="13"/>
        </w:numPr>
        <w:tabs>
          <w:tab w:val="left" w:pos="-720"/>
          <w:tab w:val="left" w:pos="0"/>
        </w:tabs>
        <w:suppressAutoHyphens/>
        <w:ind w:left="1134" w:hanging="567"/>
        <w:jc w:val="both"/>
        <w:rPr>
          <w:rFonts w:ascii="Arial Narrow" w:hAnsi="Arial Narrow"/>
          <w:sz w:val="22"/>
          <w:szCs w:val="22"/>
        </w:rPr>
      </w:pPr>
      <w:r w:rsidRPr="0057780F">
        <w:rPr>
          <w:rFonts w:ascii="Arial Narrow" w:hAnsi="Arial Narrow" w:cs="Arial"/>
          <w:sz w:val="22"/>
          <w:szCs w:val="22"/>
        </w:rPr>
        <w:t>En caso corresponda, presentar el medio probatorio pertinente que acredite el enrolamiento del denunciante en el canal digital, materia de cuestionamiento, aplicación del artículo 18° del Reglamento para la Gestión de la Seguridad de la Información y la Ciberseguridad.</w:t>
      </w:r>
    </w:p>
    <w:p w14:paraId="4357BA66" w14:textId="77777777" w:rsidR="00A35DCF" w:rsidRPr="00A35DCF" w:rsidRDefault="00A35DCF" w:rsidP="00A35DCF">
      <w:pPr>
        <w:rPr>
          <w:rFonts w:ascii="Arial" w:hAnsi="Arial" w:cs="Arial"/>
        </w:rPr>
      </w:pPr>
    </w:p>
    <w:p w14:paraId="0F46BAC8" w14:textId="77777777" w:rsidR="003C4B9F" w:rsidRDefault="00A35DCF" w:rsidP="00226E7C">
      <w:pPr>
        <w:numPr>
          <w:ilvl w:val="0"/>
          <w:numId w:val="13"/>
        </w:numPr>
        <w:tabs>
          <w:tab w:val="left" w:pos="-720"/>
          <w:tab w:val="left" w:pos="0"/>
        </w:tabs>
        <w:suppressAutoHyphens/>
        <w:ind w:left="1134" w:hanging="567"/>
        <w:jc w:val="both"/>
        <w:rPr>
          <w:rFonts w:ascii="Arial Narrow" w:hAnsi="Arial Narrow"/>
          <w:sz w:val="22"/>
          <w:szCs w:val="22"/>
        </w:rPr>
      </w:pPr>
      <w:r w:rsidRPr="00226E7C">
        <w:rPr>
          <w:rFonts w:ascii="Arial Narrow" w:hAnsi="Arial Narrow" w:cs="Arial"/>
          <w:sz w:val="22"/>
          <w:szCs w:val="22"/>
        </w:rPr>
        <w:t xml:space="preserve">Explicar de forma detallada cuáles son los dos (2) factores de autenticación reforzada de naturaleza distinta e independiente utilizados por su representada en los supuestos de operación no reconocida con tarjeta no presente; precisando: (a) los registros que evidencien el uso del primer factor de autenticación, consistente en los datos contenidos en la representación física o digital de la tarjeta; (b) la información que sustente la utilización del segundo factor de autenticación, sea un código de verificación dinámico u otro factor verificable en línea requerido al usuario conforme al estándar EMV 3DS, incluyendo los registros de generación, envío y validación de dicho factor; y (iii) en caso </w:t>
      </w:r>
      <w:r w:rsidRPr="00226E7C">
        <w:rPr>
          <w:rFonts w:ascii="Arial Narrow" w:hAnsi="Arial Narrow" w:cs="Arial"/>
          <w:sz w:val="22"/>
          <w:szCs w:val="22"/>
        </w:rPr>
        <w:lastRenderedPageBreak/>
        <w:t>de sostener que no correspondía solicitar el segundo factor, la acreditación de que la operación se encontraba dentro de alguno de los supuestos de exención previstos en el artículo 20 del Reglamento de Ciberseguridad. Todo lo anterior deberá ser acompañado de la descripción del procedimiento interno aplicado por el Banco para la validación de este tipo de operaciones.</w:t>
      </w:r>
    </w:p>
    <w:p w14:paraId="277833DE" w14:textId="77777777" w:rsidR="003C4B9F" w:rsidRPr="003C4B9F" w:rsidRDefault="003C4B9F" w:rsidP="003C4B9F">
      <w:pPr>
        <w:rPr>
          <w:rFonts w:ascii="Arial Narrow" w:hAnsi="Arial Narrow" w:cs="Arial"/>
        </w:rPr>
      </w:pPr>
    </w:p>
    <w:p w14:paraId="6D60F963" w14:textId="6DD2625D" w:rsidR="00042045" w:rsidRDefault="00226E7C" w:rsidP="00042045">
      <w:pPr>
        <w:numPr>
          <w:ilvl w:val="0"/>
          <w:numId w:val="13"/>
        </w:numPr>
        <w:tabs>
          <w:tab w:val="left" w:pos="-720"/>
          <w:tab w:val="left" w:pos="0"/>
        </w:tabs>
        <w:suppressAutoHyphens/>
        <w:ind w:left="1134" w:hanging="567"/>
        <w:jc w:val="both"/>
        <w:rPr>
          <w:rFonts w:ascii="Arial Narrow" w:hAnsi="Arial Narrow"/>
          <w:sz w:val="22"/>
          <w:szCs w:val="22"/>
        </w:rPr>
      </w:pPr>
      <w:r w:rsidRPr="003C4B9F">
        <w:rPr>
          <w:rFonts w:ascii="Arial Narrow" w:hAnsi="Arial Narrow" w:cs="Arial"/>
          <w:sz w:val="22"/>
          <w:szCs w:val="22"/>
        </w:rPr>
        <w:t>En el caso de operaciones realizadas del 1 de julio de 2025, en adelante, acreditar contar con un control ante ataques de hombre en el medio, que puede ser satisfecho con la adopción de estándares EMV 3DS y EMV tokenization, a partir de los datos específicos de la operación no reconocida realizada por canal digital.</w:t>
      </w:r>
    </w:p>
    <w:p w14:paraId="3C4C2BEC" w14:textId="77777777" w:rsidR="00042045" w:rsidRPr="00CD4CE6" w:rsidRDefault="00042045" w:rsidP="00CD4CE6">
      <w:pPr>
        <w:rPr>
          <w:rFonts w:ascii="Arial Narrow" w:hAnsi="Arial Narrow" w:cs="Arial"/>
        </w:rPr>
      </w:pPr>
    </w:p>
    <w:p w14:paraId="38C32526" w14:textId="77777777" w:rsidR="006A3724" w:rsidRDefault="00042045" w:rsidP="006A3724">
      <w:pPr>
        <w:numPr>
          <w:ilvl w:val="0"/>
          <w:numId w:val="13"/>
        </w:numPr>
        <w:tabs>
          <w:tab w:val="left" w:pos="-720"/>
          <w:tab w:val="left" w:pos="0"/>
        </w:tabs>
        <w:suppressAutoHyphens/>
        <w:ind w:left="1134" w:hanging="567"/>
        <w:jc w:val="both"/>
        <w:rPr>
          <w:rFonts w:ascii="Arial Narrow" w:hAnsi="Arial Narrow"/>
          <w:sz w:val="22"/>
          <w:szCs w:val="22"/>
        </w:rPr>
      </w:pPr>
      <w:r w:rsidRPr="00CD4CE6">
        <w:rPr>
          <w:rFonts w:ascii="Arial Narrow" w:hAnsi="Arial Narrow" w:cs="Arial"/>
          <w:sz w:val="22"/>
          <w:szCs w:val="22"/>
        </w:rPr>
        <w:t>Presentar el medio probatorio pertinente que acredite que se notificó al usuario con la operación no reconocida realizada por canal digital;</w:t>
      </w:r>
      <w:bookmarkStart w:id="3" w:name="_Hlk215739262"/>
    </w:p>
    <w:p w14:paraId="3174EF15" w14:textId="77777777" w:rsidR="006A3724" w:rsidRPr="006A3724" w:rsidRDefault="006A3724" w:rsidP="006A3724">
      <w:pPr>
        <w:rPr>
          <w:rFonts w:ascii="Arial Narrow" w:hAnsi="Arial Narrow" w:cs="Arial"/>
        </w:rPr>
      </w:pPr>
    </w:p>
    <w:p w14:paraId="64544AC8" w14:textId="77777777" w:rsidR="002675F1" w:rsidRDefault="00E63000" w:rsidP="002675F1">
      <w:pPr>
        <w:numPr>
          <w:ilvl w:val="0"/>
          <w:numId w:val="13"/>
        </w:numPr>
        <w:tabs>
          <w:tab w:val="left" w:pos="-720"/>
          <w:tab w:val="left" w:pos="0"/>
        </w:tabs>
        <w:suppressAutoHyphens/>
        <w:ind w:left="1134" w:hanging="567"/>
        <w:jc w:val="both"/>
        <w:rPr>
          <w:rFonts w:ascii="Arial Narrow" w:hAnsi="Arial Narrow"/>
          <w:sz w:val="22"/>
          <w:szCs w:val="22"/>
        </w:rPr>
      </w:pPr>
      <w:r w:rsidRPr="006A3724">
        <w:rPr>
          <w:rFonts w:ascii="Arial Narrow" w:hAnsi="Arial Narrow" w:cs="Arial"/>
          <w:sz w:val="22"/>
          <w:szCs w:val="22"/>
        </w:rPr>
        <w:t>Indicar si la operación no reconocida realizada por canal digital se encuentra dentro del supuesto de exención de la norma; para lo cual, deberá explicar el límite y el cumplimiento de los requisitos exigibles para la aplicación de dicha exención, de conformidad con lo dispuesto en el artículo 20 del del Reglamento para la Gestión de la Seguridad de la Información y la Ciberseguridad, aprobado por Resolución SBS N° 504-2021.</w:t>
      </w:r>
    </w:p>
    <w:p w14:paraId="10C5D804" w14:textId="77777777" w:rsidR="002675F1" w:rsidRPr="002675F1" w:rsidRDefault="002675F1" w:rsidP="002675F1">
      <w:pPr>
        <w:rPr>
          <w:rFonts w:ascii="Arial Narrow" w:hAnsi="Arial Narrow" w:cs="Arial"/>
        </w:rPr>
      </w:pPr>
    </w:p>
    <w:p w14:paraId="4D62E7F0" w14:textId="604C6297" w:rsidR="00867FB9" w:rsidRDefault="005C573E" w:rsidP="00867FB9">
      <w:pPr>
        <w:numPr>
          <w:ilvl w:val="0"/>
          <w:numId w:val="13"/>
        </w:numPr>
        <w:tabs>
          <w:tab w:val="left" w:pos="-720"/>
          <w:tab w:val="left" w:pos="0"/>
        </w:tabs>
        <w:suppressAutoHyphens/>
        <w:ind w:left="1134" w:hanging="567"/>
        <w:jc w:val="both"/>
        <w:rPr>
          <w:rFonts w:ascii="Arial Narrow" w:hAnsi="Arial Narrow"/>
          <w:sz w:val="22"/>
          <w:szCs w:val="22"/>
        </w:rPr>
      </w:pPr>
      <w:r w:rsidRPr="00FC7B52">
        <w:rPr>
          <w:rFonts w:ascii="Arial Narrow" w:hAnsi="Arial Narrow" w:cs="Arial"/>
          <w:sz w:val="22"/>
          <w:szCs w:val="22"/>
        </w:rPr>
        <w:t>En caso corresponda, explicar de forma detallada el cumplimiento de lo dispuesto en el literal d) del numeral 17.1 del artículo 17° y en el numeral 17.4 del artículo 17° del Reglamento para la Gestión de la Seguridad de la Información y la Ciberseguridad, relacionado con la implementación de procesos de autenticación para controlar el acceso a los servicios que se proveen a los usuarios por canales digitales sobre línea base de controles de seguridad de la información requerida y la existencia de herramientas y procedimientos para implementar el monitoreo de transacciones que permita tomar medidas de reducción de la posibilidad de operaciones fraudulentas; lo cual deberá acompañarse de los medios probatorios con los que se acredita el referido cumplimiento, así como una explicación detallada de los mecanismos, reportes y las glosas que permiten verificar lo indicado.</w:t>
      </w:r>
      <w:bookmarkEnd w:id="3"/>
    </w:p>
    <w:p w14:paraId="6668BA14" w14:textId="77777777" w:rsidR="00867FB9" w:rsidRPr="00867FB9" w:rsidRDefault="00867FB9" w:rsidP="00867FB9">
      <w:pPr>
        <w:rPr>
          <w:rFonts w:ascii="Arial Narrow" w:hAnsi="Arial Narrow" w:cs="Arial"/>
        </w:rPr>
      </w:pPr>
    </w:p>
    <w:p w14:paraId="1E2E3FF6" w14:textId="1EF5456D" w:rsidR="00655DAB" w:rsidRPr="00867FB9" w:rsidRDefault="00655DAB" w:rsidP="00867FB9">
      <w:pPr>
        <w:numPr>
          <w:ilvl w:val="0"/>
          <w:numId w:val="13"/>
        </w:numPr>
        <w:tabs>
          <w:tab w:val="left" w:pos="-720"/>
          <w:tab w:val="left" w:pos="0"/>
        </w:tabs>
        <w:suppressAutoHyphens/>
        <w:ind w:left="1134" w:hanging="567"/>
        <w:jc w:val="both"/>
        <w:rPr>
          <w:rFonts w:ascii="Arial Narrow" w:hAnsi="Arial Narrow"/>
          <w:sz w:val="22"/>
          <w:szCs w:val="22"/>
        </w:rPr>
      </w:pPr>
      <w:r w:rsidRPr="00867FB9">
        <w:rPr>
          <w:rFonts w:ascii="Arial Narrow" w:hAnsi="Arial Narrow" w:cs="Arial"/>
          <w:sz w:val="22"/>
          <w:szCs w:val="22"/>
        </w:rPr>
        <w:t xml:space="preserve">En caso se alegue que, en el presente caso, se efectuó registro de un beneficiario de confianza, modificación en los productos de seguro ahorro/inversión contratados, la contratación de un producto o servicio, modificación de límites y condiciones u otro supuesto recogido en el artículo 19 del Reglamento para la Gestión de la Seguridad de la Información y la Ciberseguridad, aprobado por Resolución SBS N° 504-2021, brindar la información pertinente a los puntos a, b, c, d, e, f. </w:t>
      </w:r>
    </w:p>
    <w:p w14:paraId="61703A5C" w14:textId="77777777" w:rsidR="004716EC" w:rsidRPr="00963FE2" w:rsidRDefault="004716EC" w:rsidP="004716EC">
      <w:pPr>
        <w:tabs>
          <w:tab w:val="left" w:pos="-720"/>
          <w:tab w:val="left" w:pos="0"/>
        </w:tabs>
        <w:suppressAutoHyphens/>
        <w:jc w:val="both"/>
        <w:rPr>
          <w:rFonts w:ascii="Arial Narrow" w:hAnsi="Arial Narrow"/>
          <w:sz w:val="22"/>
          <w:szCs w:val="22"/>
        </w:rPr>
      </w:pPr>
    </w:p>
    <w:p w14:paraId="3F0C87E5" w14:textId="77777777" w:rsidR="00584A8A" w:rsidRPr="001B5C93" w:rsidRDefault="00584A8A" w:rsidP="001B5C93">
      <w:pPr>
        <w:jc w:val="both"/>
        <w:rPr>
          <w:rFonts w:ascii="Arial Narrow" w:hAnsi="Arial Narrow" w:cs="Arial"/>
          <w:sz w:val="22"/>
          <w:szCs w:val="22"/>
          <w:u w:color="000000"/>
        </w:rPr>
      </w:pPr>
    </w:p>
    <w:p w14:paraId="777540DC" w14:textId="77777777" w:rsidR="003076A5" w:rsidRPr="001B5C93" w:rsidRDefault="003076A5" w:rsidP="001B5C93">
      <w:pPr>
        <w:jc w:val="both"/>
        <w:rPr>
          <w:rFonts w:ascii="Arial Narrow" w:hAnsi="Arial Narrow" w:cs="Arial"/>
          <w:sz w:val="22"/>
          <w:szCs w:val="22"/>
        </w:rPr>
      </w:pPr>
    </w:p>
    <w:p w14:paraId="68462E62" w14:textId="77777777" w:rsidR="003076A5" w:rsidRPr="001B5C93" w:rsidRDefault="003076A5" w:rsidP="001B5C93">
      <w:pPr>
        <w:jc w:val="both"/>
        <w:rPr>
          <w:rFonts w:ascii="Arial Narrow" w:hAnsi="Arial Narrow" w:cs="Arial"/>
          <w:sz w:val="22"/>
          <w:szCs w:val="22"/>
        </w:rPr>
      </w:pPr>
    </w:p>
    <w:p w14:paraId="676E462F" w14:textId="77777777" w:rsidR="003076A5" w:rsidRPr="001B5C93" w:rsidRDefault="003076A5" w:rsidP="001B5C93">
      <w:pPr>
        <w:tabs>
          <w:tab w:val="left" w:pos="-720"/>
          <w:tab w:val="left" w:pos="0"/>
        </w:tabs>
        <w:suppressAutoHyphens/>
        <w:rPr>
          <w:rFonts w:ascii="Arial Narrow" w:hAnsi="Arial Narrow" w:cs="Arial"/>
          <w:spacing w:val="-3"/>
          <w:sz w:val="22"/>
          <w:szCs w:val="22"/>
        </w:rPr>
      </w:pPr>
    </w:p>
    <w:p w14:paraId="6282CDEC" w14:textId="77777777" w:rsidR="00956B7C" w:rsidRPr="001B5C93" w:rsidRDefault="00956B7C" w:rsidP="001B5C93">
      <w:pPr>
        <w:widowControl w:val="0"/>
        <w:autoSpaceDE w:val="0"/>
        <w:autoSpaceDN w:val="0"/>
        <w:jc w:val="center"/>
        <w:rPr>
          <w:rFonts w:ascii="Arial Narrow" w:eastAsia="Liberation Sans Narrow" w:hAnsi="Arial Narrow" w:cs="Arial"/>
          <w:b/>
          <w:bCs/>
          <w:sz w:val="22"/>
          <w:szCs w:val="22"/>
          <w:lang w:eastAsia="en-US"/>
        </w:rPr>
      </w:pPr>
      <w:bookmarkStart w:id="4" w:name="_Hlk201134049"/>
      <w:r w:rsidRPr="001B5C93">
        <w:rPr>
          <w:rFonts w:ascii="Arial Narrow" w:eastAsia="Liberation Sans Narrow" w:hAnsi="Arial Narrow" w:cs="Arial"/>
          <w:b/>
          <w:bCs/>
          <w:sz w:val="22"/>
          <w:szCs w:val="22"/>
          <w:lang w:eastAsia="en-US"/>
        </w:rPr>
        <w:t>TANIA LLAVE FERNÁNDEZ</w:t>
      </w:r>
    </w:p>
    <w:p w14:paraId="4F22B4B2" w14:textId="77777777" w:rsidR="00956B7C" w:rsidRPr="001B5C93" w:rsidRDefault="00956B7C" w:rsidP="001B5C93">
      <w:pPr>
        <w:widowControl w:val="0"/>
        <w:autoSpaceDE w:val="0"/>
        <w:autoSpaceDN w:val="0"/>
        <w:jc w:val="center"/>
        <w:rPr>
          <w:rFonts w:ascii="Arial Narrow" w:eastAsia="Liberation Sans Narrow" w:hAnsi="Arial Narrow" w:cs="Arial"/>
          <w:b/>
          <w:bCs/>
          <w:sz w:val="22"/>
          <w:szCs w:val="22"/>
          <w:lang w:eastAsia="en-US"/>
        </w:rPr>
      </w:pPr>
      <w:r w:rsidRPr="001B5C93">
        <w:rPr>
          <w:rFonts w:ascii="Arial Narrow" w:eastAsia="Liberation Sans Narrow" w:hAnsi="Arial Narrow" w:cs="Arial"/>
          <w:b/>
          <w:bCs/>
          <w:sz w:val="22"/>
          <w:szCs w:val="22"/>
          <w:lang w:eastAsia="en-US"/>
        </w:rPr>
        <w:t>Especialista Legal</w:t>
      </w:r>
    </w:p>
    <w:p w14:paraId="017AE1F7" w14:textId="77777777" w:rsidR="00956B7C" w:rsidRPr="001B5C93" w:rsidRDefault="00956B7C" w:rsidP="001B5C93">
      <w:pPr>
        <w:widowControl w:val="0"/>
        <w:autoSpaceDE w:val="0"/>
        <w:autoSpaceDN w:val="0"/>
        <w:jc w:val="center"/>
        <w:rPr>
          <w:rFonts w:ascii="Arial Narrow" w:eastAsia="Liberation Sans Narrow" w:hAnsi="Arial Narrow" w:cs="Arial"/>
          <w:b/>
          <w:bCs/>
          <w:sz w:val="22"/>
          <w:szCs w:val="22"/>
          <w:lang w:eastAsia="en-US"/>
        </w:rPr>
      </w:pPr>
      <w:r w:rsidRPr="001B5C93">
        <w:rPr>
          <w:rFonts w:ascii="Arial Narrow" w:eastAsia="Liberation Sans Narrow" w:hAnsi="Arial Narrow" w:cs="Arial"/>
          <w:b/>
          <w:bCs/>
          <w:sz w:val="22"/>
          <w:szCs w:val="22"/>
          <w:lang w:eastAsia="en-US"/>
        </w:rPr>
        <w:t>Comisión de Protección al Consumidor N° 1</w:t>
      </w:r>
    </w:p>
    <w:bookmarkEnd w:id="4"/>
    <w:p w14:paraId="58C53232" w14:textId="6FDD110D" w:rsidR="003076A5" w:rsidRPr="001B5C93" w:rsidRDefault="00956B7C" w:rsidP="001B5C93">
      <w:pPr>
        <w:pStyle w:val="Cuerpo"/>
        <w:rPr>
          <w:rStyle w:val="Ninguno"/>
          <w:rFonts w:ascii="Arial Narrow" w:hAnsi="Arial Narrow" w:cs="Arial"/>
          <w:b/>
          <w:bCs/>
          <w:sz w:val="16"/>
          <w:szCs w:val="16"/>
          <w:lang w:val="es-ES_tradnl"/>
        </w:rPr>
      </w:pPr>
      <w:r w:rsidRPr="000003C7">
        <w:rPr>
          <w:rStyle w:val="Ninguno"/>
          <w:rFonts w:ascii="Arial Narrow" w:hAnsi="Arial Narrow" w:cs="Arial"/>
          <w:b/>
          <w:bCs/>
          <w:sz w:val="16"/>
          <w:szCs w:val="16"/>
          <w:lang w:val="es-ES_tradnl"/>
        </w:rPr>
        <w:t>TLF/</w:t>
      </w:r>
      <w:r w:rsidR="000003C7" w:rsidRPr="000003C7">
        <w:rPr>
          <w:rStyle w:val="Ninguno"/>
          <w:rFonts w:ascii="Arial Narrow" w:hAnsi="Arial Narrow" w:cs="Arial"/>
          <w:b/>
          <w:bCs/>
          <w:sz w:val="16"/>
          <w:szCs w:val="16"/>
          <w:lang w:val="es-ES_tradnl"/>
        </w:rPr>
        <w:t>KCC</w:t>
      </w:r>
    </w:p>
    <w:p w14:paraId="1E2F0CEB" w14:textId="77777777" w:rsidR="001B5C93" w:rsidRPr="001B5C93" w:rsidRDefault="001B5C93">
      <w:pPr>
        <w:pStyle w:val="Cuerpo"/>
        <w:rPr>
          <w:rStyle w:val="Ninguno"/>
          <w:rFonts w:ascii="Arial Narrow" w:hAnsi="Arial Narrow" w:cs="Arial"/>
          <w:b/>
          <w:bCs/>
          <w:sz w:val="16"/>
          <w:szCs w:val="16"/>
          <w:lang w:val="es-ES_tradnl"/>
        </w:rPr>
      </w:pPr>
    </w:p>
    <w:sectPr w:rsidR="001B5C93" w:rsidRPr="001B5C93" w:rsidSect="003076A5">
      <w:headerReference w:type="default" r:id="rId8"/>
      <w:footerReference w:type="default" r:id="rId9"/>
      <w:type w:val="continuous"/>
      <w:pgSz w:w="11906" w:h="16838"/>
      <w:pgMar w:top="1928" w:right="1814" w:bottom="1701" w:left="1814"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33269" w14:textId="77777777" w:rsidR="001A6F01" w:rsidRDefault="001A6F01" w:rsidP="00A92E56">
      <w:r>
        <w:separator/>
      </w:r>
    </w:p>
  </w:endnote>
  <w:endnote w:type="continuationSeparator" w:id="0">
    <w:p w14:paraId="11503BC6" w14:textId="77777777" w:rsidR="001A6F01" w:rsidRDefault="001A6F01" w:rsidP="00A92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Liberation Sans Narrow">
    <w:altName w:val="Franklin Gothic Medium Cond"/>
    <w:charset w:val="00"/>
    <w:family w:val="swiss"/>
    <w:pitch w:val="variable"/>
    <w:sig w:usb0="A00002AF" w:usb1="5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382732"/>
      <w:docPartObj>
        <w:docPartGallery w:val="Page Numbers (Bottom of Page)"/>
        <w:docPartUnique/>
      </w:docPartObj>
    </w:sdtPr>
    <w:sdtEndPr>
      <w:rPr>
        <w:rFonts w:ascii="Arial Narrow" w:hAnsi="Arial Narrow"/>
        <w:sz w:val="16"/>
        <w:szCs w:val="16"/>
      </w:rPr>
    </w:sdtEndPr>
    <w:sdtContent>
      <w:p w14:paraId="3185ABBC" w14:textId="77777777" w:rsidR="000C1B56" w:rsidRPr="00253608" w:rsidRDefault="000C1B56">
        <w:pPr>
          <w:pStyle w:val="Piedepgina"/>
          <w:jc w:val="center"/>
          <w:rPr>
            <w:rFonts w:ascii="Arial Narrow" w:hAnsi="Arial Narrow"/>
            <w:sz w:val="16"/>
            <w:szCs w:val="16"/>
          </w:rPr>
        </w:pPr>
        <w:r w:rsidRPr="00253608">
          <w:rPr>
            <w:rFonts w:ascii="Arial Narrow" w:hAnsi="Arial Narrow"/>
            <w:sz w:val="16"/>
            <w:szCs w:val="16"/>
          </w:rPr>
          <w:fldChar w:fldCharType="begin"/>
        </w:r>
        <w:r w:rsidRPr="00253608">
          <w:rPr>
            <w:rFonts w:ascii="Arial Narrow" w:hAnsi="Arial Narrow"/>
            <w:sz w:val="16"/>
            <w:szCs w:val="16"/>
          </w:rPr>
          <w:instrText>PAGE   \* MERGEFORMAT</w:instrText>
        </w:r>
        <w:r w:rsidRPr="00253608">
          <w:rPr>
            <w:rFonts w:ascii="Arial Narrow" w:hAnsi="Arial Narrow"/>
            <w:sz w:val="16"/>
            <w:szCs w:val="16"/>
          </w:rPr>
          <w:fldChar w:fldCharType="separate"/>
        </w:r>
        <w:r w:rsidRPr="00253608">
          <w:rPr>
            <w:rFonts w:ascii="Arial Narrow" w:hAnsi="Arial Narrow"/>
            <w:sz w:val="16"/>
            <w:szCs w:val="16"/>
            <w:lang w:val="es-ES"/>
          </w:rPr>
          <w:t>2</w:t>
        </w:r>
        <w:r w:rsidRPr="00253608">
          <w:rPr>
            <w:rFonts w:ascii="Arial Narrow" w:hAnsi="Arial Narrow"/>
            <w:sz w:val="16"/>
            <w:szCs w:val="16"/>
          </w:rPr>
          <w:fldChar w:fldCharType="end"/>
        </w:r>
      </w:p>
    </w:sdtContent>
  </w:sdt>
  <w:p w14:paraId="701A1E64" w14:textId="77777777" w:rsidR="000C1B56" w:rsidRPr="00253608" w:rsidRDefault="00B32725" w:rsidP="00B32725">
    <w:pPr>
      <w:widowControl w:val="0"/>
      <w:rPr>
        <w:rFonts w:ascii="Arial" w:hAnsi="Arial"/>
        <w:color w:val="auto"/>
        <w:sz w:val="16"/>
        <w:szCs w:val="16"/>
        <w:lang w:val="es-ES_tradnl" w:eastAsia="es-ES"/>
      </w:rPr>
    </w:pPr>
    <w:r w:rsidRPr="00253608">
      <w:rPr>
        <w:rFonts w:ascii="Arial Narrow" w:hAnsi="Arial Narrow"/>
        <w:color w:val="auto"/>
        <w:sz w:val="16"/>
        <w:szCs w:val="16"/>
        <w:lang w:val="es-ES_tradnl" w:eastAsia="es-ES"/>
      </w:rPr>
      <w:t>M-CPC-07/03</w:t>
    </w:r>
    <w:r w:rsidRPr="00253608">
      <w:rPr>
        <w:rFonts w:ascii="Arial" w:hAnsi="Arial"/>
        <w:color w:val="auto"/>
        <w:sz w:val="16"/>
        <w:szCs w:val="16"/>
        <w:lang w:val="es-ES_tradnl" w:eastAsia="es-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2E6E3" w14:textId="77777777" w:rsidR="001A6F01" w:rsidRDefault="001A6F01" w:rsidP="00A92E56">
      <w:r>
        <w:separator/>
      </w:r>
    </w:p>
  </w:footnote>
  <w:footnote w:type="continuationSeparator" w:id="0">
    <w:p w14:paraId="23C5CC7F" w14:textId="77777777" w:rsidR="001A6F01" w:rsidRDefault="001A6F01" w:rsidP="00A92E56">
      <w:r>
        <w:continuationSeparator/>
      </w:r>
    </w:p>
  </w:footnote>
  <w:footnote w:id="1">
    <w:p w14:paraId="52076DE1" w14:textId="77777777" w:rsidR="008638AB" w:rsidRPr="00EC4A06" w:rsidRDefault="008638AB" w:rsidP="00EC4A06">
      <w:pPr>
        <w:tabs>
          <w:tab w:val="left" w:pos="567"/>
        </w:tabs>
        <w:ind w:left="567" w:hanging="567"/>
        <w:jc w:val="both"/>
        <w:rPr>
          <w:rFonts w:ascii="Arial" w:hAnsi="Arial" w:cs="Arial"/>
          <w:bCs/>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sz w:val="16"/>
          <w:szCs w:val="16"/>
        </w:rPr>
        <w:t>DECRETO LEGISLATIVO N° 807, LEY SOBRE FACULTADES, NORMAS Y ORGANIZACIÓN DEL INDECOPI, publicado el 18 de abril de 1996</w:t>
      </w:r>
    </w:p>
    <w:p w14:paraId="020F3C90" w14:textId="77777777" w:rsidR="008638AB" w:rsidRPr="00EC4A06" w:rsidRDefault="008638AB" w:rsidP="00EC4A06">
      <w:pPr>
        <w:tabs>
          <w:tab w:val="left" w:pos="567"/>
        </w:tabs>
        <w:ind w:left="567" w:hanging="567"/>
        <w:jc w:val="both"/>
        <w:rPr>
          <w:rFonts w:ascii="Arial" w:hAnsi="Arial" w:cs="Arial"/>
          <w:b/>
          <w:sz w:val="16"/>
          <w:szCs w:val="16"/>
        </w:rPr>
      </w:pPr>
      <w:r w:rsidRPr="00EC4A06">
        <w:rPr>
          <w:rFonts w:ascii="Arial" w:hAnsi="Arial" w:cs="Arial"/>
          <w:bCs/>
          <w:sz w:val="16"/>
          <w:szCs w:val="16"/>
        </w:rPr>
        <w:tab/>
      </w:r>
      <w:r w:rsidRPr="00EC4A06">
        <w:rPr>
          <w:rFonts w:ascii="Arial" w:hAnsi="Arial" w:cs="Arial"/>
          <w:sz w:val="16"/>
          <w:szCs w:val="16"/>
        </w:rPr>
        <w:t>Artículo 2.- Sin que la presente enumeración tenga carácter taxativo cada Comisión, Oficina o Sala del Tribunal del Indecopi tiene las siguientes facultades:</w:t>
      </w:r>
    </w:p>
    <w:p w14:paraId="1D932267" w14:textId="77777777" w:rsidR="008638AB" w:rsidRPr="00EC4A06" w:rsidRDefault="008638AB" w:rsidP="00EC4A06">
      <w:pPr>
        <w:tabs>
          <w:tab w:val="left" w:pos="567"/>
        </w:tabs>
        <w:ind w:left="567" w:hanging="567"/>
        <w:jc w:val="both"/>
        <w:rPr>
          <w:rFonts w:ascii="Arial" w:hAnsi="Arial" w:cs="Arial"/>
          <w:b/>
          <w:sz w:val="16"/>
          <w:szCs w:val="16"/>
        </w:rPr>
      </w:pPr>
      <w:r w:rsidRPr="00EC4A06">
        <w:rPr>
          <w:rFonts w:ascii="Arial" w:hAnsi="Arial" w:cs="Arial"/>
          <w:sz w:val="16"/>
          <w:szCs w:val="16"/>
        </w:rPr>
        <w:tab/>
        <w:t>a) Exigir a las personas naturales o jurídicas la exhibición de todo tipo de documentos, incluyendo los libros contables y societarios, los comprobantes de pago, la correspondencia comercial y los registros magnéticos incluyendo, en este caso, los programas que fueran necesario para su lectura; así como solicitar información referida a la organización, los negocios, el accionariado y la estructura de propiedad de las empresas. (...)</w:t>
      </w:r>
    </w:p>
    <w:p w14:paraId="309B84D7" w14:textId="77777777" w:rsidR="008638AB" w:rsidRPr="00EC4A06" w:rsidRDefault="008638AB" w:rsidP="00EC4A06">
      <w:pPr>
        <w:tabs>
          <w:tab w:val="left" w:pos="851"/>
        </w:tabs>
        <w:ind w:left="851" w:hanging="284"/>
        <w:jc w:val="both"/>
        <w:rPr>
          <w:rFonts w:ascii="Arial" w:hAnsi="Arial" w:cs="Arial"/>
          <w:b/>
          <w:sz w:val="16"/>
          <w:szCs w:val="16"/>
        </w:rPr>
      </w:pPr>
    </w:p>
  </w:footnote>
  <w:footnote w:id="2">
    <w:p w14:paraId="6DBAA707" w14:textId="77777777" w:rsidR="008638AB" w:rsidRPr="00EC4A06" w:rsidRDefault="008638AB" w:rsidP="00EC4A06">
      <w:pPr>
        <w:pStyle w:val="Textonotapie"/>
        <w:ind w:left="567" w:hanging="567"/>
        <w:jc w:val="both"/>
        <w:rPr>
          <w:rFonts w:ascii="Arial" w:hAnsi="Arial" w:cs="Arial"/>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Resolución SBS N° 504-2021, publicado el 23 de febrero de 2021</w:t>
      </w:r>
    </w:p>
    <w:p w14:paraId="2CA69701" w14:textId="77777777" w:rsidR="008638AB" w:rsidRPr="00EC4A06" w:rsidRDefault="008638AB"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19. Autenticación reforzada para operaciones por canal digital</w:t>
      </w:r>
    </w:p>
    <w:p w14:paraId="0DFBC4BA" w14:textId="77777777" w:rsidR="008638AB" w:rsidRPr="00EC4A06" w:rsidRDefault="008638AB" w:rsidP="00EC4A06">
      <w:pPr>
        <w:pStyle w:val="Textonotapie"/>
        <w:ind w:left="567"/>
        <w:jc w:val="both"/>
        <w:rPr>
          <w:rFonts w:ascii="Arial" w:hAnsi="Arial" w:cs="Arial"/>
          <w:sz w:val="16"/>
          <w:szCs w:val="16"/>
        </w:rPr>
      </w:pPr>
      <w:r w:rsidRPr="00EC4A06">
        <w:rPr>
          <w:rFonts w:ascii="Arial" w:hAnsi="Arial" w:cs="Arial"/>
          <w:sz w:val="16"/>
          <w:szCs w:val="16"/>
        </w:rPr>
        <w:t>Se requiere de autenticación reforzada para aquellas acciones que puedan originar operaciones fraudulentas u otro abuso del servicio en perjuicio del cliente, como las operaciones a través de un canal digital que impliquen pagos o transferencia de fondos a terceros, registro de un beneficiario de confianza, modificación en los productos de seguro ahorro/inversión contratados, la contratación de un producto o servicio, modificación de límites y condiciones, para lo cual se requiere:</w:t>
      </w:r>
    </w:p>
    <w:p w14:paraId="0EB6D25D" w14:textId="77777777" w:rsidR="008638AB" w:rsidRPr="00EC4A06" w:rsidRDefault="008638AB" w:rsidP="00EC4A06">
      <w:pPr>
        <w:pStyle w:val="Textonotapie"/>
        <w:numPr>
          <w:ilvl w:val="0"/>
          <w:numId w:val="10"/>
        </w:numPr>
        <w:ind w:left="851" w:hanging="284"/>
        <w:jc w:val="both"/>
        <w:rPr>
          <w:rFonts w:ascii="Arial" w:hAnsi="Arial" w:cs="Arial"/>
          <w:sz w:val="16"/>
          <w:szCs w:val="16"/>
        </w:rPr>
      </w:pPr>
      <w:r w:rsidRPr="00EC4A06">
        <w:rPr>
          <w:rFonts w:ascii="Arial" w:hAnsi="Arial" w:cs="Arial"/>
          <w:sz w:val="16"/>
          <w:szCs w:val="16"/>
        </w:rPr>
        <w:t>Utilizar una combinación de factores de autenticación, según el literal j) del artículo 2 del presente Reglamento que, por lo menos, correspondan a dos categorías distintas y que sean independientes uno del otro.</w:t>
      </w:r>
    </w:p>
    <w:p w14:paraId="16B0F581" w14:textId="77777777" w:rsidR="008638AB" w:rsidRPr="00EC4A06" w:rsidRDefault="008638AB" w:rsidP="00EC4A06">
      <w:pPr>
        <w:pStyle w:val="Textonotapie"/>
        <w:numPr>
          <w:ilvl w:val="0"/>
          <w:numId w:val="10"/>
        </w:numPr>
        <w:ind w:left="851" w:hanging="284"/>
        <w:jc w:val="both"/>
        <w:rPr>
          <w:rFonts w:ascii="Arial" w:hAnsi="Arial" w:cs="Arial"/>
          <w:sz w:val="16"/>
          <w:szCs w:val="16"/>
        </w:rPr>
      </w:pPr>
      <w:r w:rsidRPr="00EC4A06">
        <w:rPr>
          <w:rFonts w:ascii="Arial" w:hAnsi="Arial" w:cs="Arial"/>
          <w:sz w:val="16"/>
          <w:szCs w:val="16"/>
        </w:rPr>
        <w:t>Generar un código de autenticación mediante métodos criptográficos, a partir de los datos específicos de cada operación, el cual debe utilizarse por única vez.</w:t>
      </w:r>
    </w:p>
    <w:p w14:paraId="1DC726CA" w14:textId="77777777" w:rsidR="008638AB" w:rsidRPr="00EC4A06" w:rsidRDefault="008638AB" w:rsidP="00EC4A06">
      <w:pPr>
        <w:pStyle w:val="Textonotapie"/>
        <w:numPr>
          <w:ilvl w:val="0"/>
          <w:numId w:val="10"/>
        </w:numPr>
        <w:ind w:left="851" w:hanging="284"/>
        <w:jc w:val="both"/>
        <w:rPr>
          <w:rFonts w:ascii="Arial" w:hAnsi="Arial" w:cs="Arial"/>
          <w:sz w:val="16"/>
          <w:szCs w:val="16"/>
        </w:rPr>
      </w:pPr>
      <w:bookmarkStart w:id="1" w:name="_Hlk146632875"/>
      <w:r w:rsidRPr="00EC4A06">
        <w:rPr>
          <w:rFonts w:ascii="Arial" w:hAnsi="Arial" w:cs="Arial"/>
          <w:sz w:val="16"/>
          <w:szCs w:val="16"/>
        </w:rPr>
        <w:t>Cuando la operación sea exitosa, notificar los datos de la operación al usuario.</w:t>
      </w:r>
    </w:p>
    <w:bookmarkEnd w:id="1"/>
    <w:p w14:paraId="7C27CD73" w14:textId="77777777" w:rsidR="008638AB" w:rsidRPr="00EC4A06" w:rsidRDefault="008638AB" w:rsidP="00EC4A06">
      <w:pPr>
        <w:pStyle w:val="Textonotapie"/>
        <w:ind w:left="567"/>
        <w:jc w:val="both"/>
        <w:rPr>
          <w:rFonts w:ascii="Arial" w:hAnsi="Arial" w:cs="Arial"/>
          <w:sz w:val="16"/>
          <w:szCs w:val="16"/>
        </w:rPr>
      </w:pPr>
    </w:p>
  </w:footnote>
  <w:footnote w:id="3">
    <w:p w14:paraId="1E01AC37" w14:textId="77777777" w:rsidR="008638AB" w:rsidRPr="00EC4A06" w:rsidRDefault="008638AB" w:rsidP="00EC4A06">
      <w:pPr>
        <w:pStyle w:val="Textonotapie"/>
        <w:ind w:left="567" w:hanging="567"/>
        <w:jc w:val="both"/>
        <w:rPr>
          <w:rFonts w:ascii="Arial" w:hAnsi="Arial" w:cs="Arial"/>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Resolución SBS N° 504-2021, publicado el 23 de febrero de 2021</w:t>
      </w:r>
    </w:p>
    <w:p w14:paraId="41388223" w14:textId="77777777" w:rsidR="008638AB" w:rsidRPr="00EC4A06" w:rsidRDefault="008638AB"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2. Definiciones</w:t>
      </w:r>
    </w:p>
    <w:p w14:paraId="2FE54F7C" w14:textId="77777777" w:rsidR="008638AB" w:rsidRPr="00EC4A06" w:rsidRDefault="008638AB" w:rsidP="00EC4A06">
      <w:pPr>
        <w:pStyle w:val="Textonotapie"/>
        <w:ind w:left="567" w:hanging="567"/>
        <w:jc w:val="both"/>
        <w:rPr>
          <w:rFonts w:ascii="Arial" w:hAnsi="Arial" w:cs="Arial"/>
          <w:color w:val="333333"/>
          <w:sz w:val="16"/>
          <w:szCs w:val="16"/>
          <w:shd w:val="clear" w:color="auto" w:fill="FFFFFF"/>
        </w:rPr>
      </w:pPr>
      <w:r w:rsidRPr="00EC4A06">
        <w:rPr>
          <w:rFonts w:ascii="Arial" w:hAnsi="Arial" w:cs="Arial"/>
          <w:sz w:val="16"/>
          <w:szCs w:val="16"/>
        </w:rPr>
        <w:t xml:space="preserve">          </w:t>
      </w:r>
      <w:r w:rsidRPr="00EC4A06">
        <w:rPr>
          <w:rFonts w:ascii="Arial" w:hAnsi="Arial" w:cs="Arial"/>
          <w:sz w:val="16"/>
          <w:szCs w:val="16"/>
        </w:rPr>
        <w:tab/>
        <w:t>Para efectos de la aplicación del presente Reglamento deben considerarse las siguientes definiciones</w:t>
      </w:r>
      <w:r w:rsidRPr="00EC4A06">
        <w:rPr>
          <w:rFonts w:ascii="Arial" w:hAnsi="Arial" w:cs="Arial"/>
          <w:color w:val="333333"/>
          <w:sz w:val="16"/>
          <w:szCs w:val="16"/>
          <w:shd w:val="clear" w:color="auto" w:fill="FFFFFF"/>
        </w:rPr>
        <w:t>:</w:t>
      </w:r>
    </w:p>
    <w:p w14:paraId="0B270890" w14:textId="77777777" w:rsidR="008638AB" w:rsidRPr="00EC4A06" w:rsidRDefault="008638AB" w:rsidP="00EC4A06">
      <w:pPr>
        <w:pStyle w:val="Textonotapie"/>
        <w:ind w:left="567" w:hanging="567"/>
        <w:jc w:val="both"/>
        <w:rPr>
          <w:rFonts w:ascii="Arial" w:hAnsi="Arial" w:cs="Arial"/>
          <w:color w:val="333333"/>
          <w:sz w:val="16"/>
          <w:szCs w:val="16"/>
          <w:shd w:val="clear" w:color="auto" w:fill="FFFFFF"/>
        </w:rPr>
      </w:pPr>
      <w:r w:rsidRPr="00EC4A06">
        <w:rPr>
          <w:rFonts w:ascii="Arial" w:hAnsi="Arial" w:cs="Arial"/>
          <w:color w:val="333333"/>
          <w:sz w:val="16"/>
          <w:szCs w:val="16"/>
          <w:shd w:val="clear" w:color="auto" w:fill="FFFFFF"/>
        </w:rPr>
        <w:t xml:space="preserve">          </w:t>
      </w:r>
      <w:r w:rsidRPr="00EC4A06">
        <w:rPr>
          <w:rFonts w:ascii="Arial" w:hAnsi="Arial" w:cs="Arial"/>
          <w:color w:val="333333"/>
          <w:sz w:val="16"/>
          <w:szCs w:val="16"/>
          <w:shd w:val="clear" w:color="auto" w:fill="FFFFFF"/>
        </w:rPr>
        <w:tab/>
      </w:r>
      <w:r w:rsidRPr="00EC4A06">
        <w:rPr>
          <w:rFonts w:ascii="Arial" w:hAnsi="Arial" w:cs="Arial"/>
          <w:sz w:val="16"/>
          <w:szCs w:val="16"/>
        </w:rPr>
        <w:t>(…)</w:t>
      </w:r>
    </w:p>
    <w:p w14:paraId="73803ED9" w14:textId="77777777" w:rsidR="008638AB" w:rsidRPr="00EC4A06" w:rsidRDefault="008638AB" w:rsidP="00EC4A06">
      <w:pPr>
        <w:shd w:val="clear" w:color="auto" w:fill="FFFFFF"/>
        <w:ind w:left="567"/>
        <w:jc w:val="both"/>
        <w:rPr>
          <w:rFonts w:ascii="Arial" w:hAnsi="Arial" w:cs="Arial"/>
          <w:color w:val="333333"/>
          <w:sz w:val="16"/>
          <w:szCs w:val="16"/>
        </w:rPr>
      </w:pPr>
      <w:r w:rsidRPr="00EC4A06">
        <w:rPr>
          <w:rFonts w:ascii="Arial" w:hAnsi="Arial" w:cs="Arial"/>
          <w:color w:val="333333"/>
          <w:sz w:val="16"/>
          <w:szCs w:val="16"/>
          <w:shd w:val="clear" w:color="auto" w:fill="FFFFFF"/>
        </w:rPr>
        <w:t>j)</w:t>
      </w:r>
      <w:r w:rsidRPr="00EC4A06">
        <w:rPr>
          <w:rFonts w:ascii="Arial" w:hAnsi="Arial" w:cs="Arial"/>
          <w:b/>
          <w:bCs/>
          <w:color w:val="333333"/>
          <w:sz w:val="16"/>
          <w:szCs w:val="16"/>
          <w:shd w:val="clear" w:color="auto" w:fill="FFFFFF"/>
        </w:rPr>
        <w:t xml:space="preserve"> Factores de autenticación de usuario:</w:t>
      </w:r>
      <w:r w:rsidRPr="00EC4A06">
        <w:rPr>
          <w:rFonts w:ascii="Arial" w:hAnsi="Arial" w:cs="Arial"/>
          <w:color w:val="333333"/>
          <w:sz w:val="16"/>
          <w:szCs w:val="16"/>
          <w:shd w:val="clear" w:color="auto" w:fill="FFFFFF"/>
        </w:rPr>
        <w:t> Aquellos factores empleados para verificar la identidad de un usuario, que pueden corresponder a las siguientes categorías:</w:t>
      </w:r>
    </w:p>
    <w:p w14:paraId="19F7F010" w14:textId="77777777" w:rsidR="008638AB" w:rsidRPr="00EC4A06" w:rsidRDefault="008638AB" w:rsidP="00EC4A06">
      <w:pPr>
        <w:numPr>
          <w:ilvl w:val="0"/>
          <w:numId w:val="11"/>
        </w:numPr>
        <w:shd w:val="clear" w:color="auto" w:fill="FFFFFF"/>
        <w:ind w:left="851" w:hanging="284"/>
        <w:jc w:val="both"/>
        <w:rPr>
          <w:rFonts w:ascii="Arial" w:hAnsi="Arial" w:cs="Arial"/>
          <w:color w:val="333333"/>
          <w:sz w:val="16"/>
          <w:szCs w:val="16"/>
        </w:rPr>
      </w:pPr>
      <w:r w:rsidRPr="00EC4A06">
        <w:rPr>
          <w:rFonts w:ascii="Arial" w:hAnsi="Arial" w:cs="Arial"/>
          <w:color w:val="333333"/>
          <w:sz w:val="16"/>
          <w:szCs w:val="16"/>
        </w:rPr>
        <w:t>Algo que solo el usuario conoce.</w:t>
      </w:r>
    </w:p>
    <w:p w14:paraId="57C15893" w14:textId="77777777" w:rsidR="008638AB" w:rsidRPr="00EC4A06" w:rsidRDefault="008638AB" w:rsidP="00EC4A06">
      <w:pPr>
        <w:numPr>
          <w:ilvl w:val="0"/>
          <w:numId w:val="11"/>
        </w:numPr>
        <w:shd w:val="clear" w:color="auto" w:fill="FFFFFF"/>
        <w:ind w:left="851" w:hanging="284"/>
        <w:jc w:val="both"/>
        <w:rPr>
          <w:rFonts w:ascii="Arial" w:hAnsi="Arial" w:cs="Arial"/>
          <w:color w:val="333333"/>
          <w:sz w:val="16"/>
          <w:szCs w:val="16"/>
        </w:rPr>
      </w:pPr>
      <w:r w:rsidRPr="00EC4A06">
        <w:rPr>
          <w:rFonts w:ascii="Arial" w:hAnsi="Arial" w:cs="Arial"/>
          <w:color w:val="333333"/>
          <w:sz w:val="16"/>
          <w:szCs w:val="16"/>
        </w:rPr>
        <w:t>Algo que solo el usuario posee.</w:t>
      </w:r>
    </w:p>
    <w:p w14:paraId="2F6FD32C" w14:textId="77777777" w:rsidR="008638AB" w:rsidRPr="00EC4A06" w:rsidRDefault="008638AB" w:rsidP="00EC4A06">
      <w:pPr>
        <w:numPr>
          <w:ilvl w:val="0"/>
          <w:numId w:val="11"/>
        </w:numPr>
        <w:shd w:val="clear" w:color="auto" w:fill="FFFFFF"/>
        <w:ind w:left="851" w:hanging="284"/>
        <w:jc w:val="both"/>
        <w:rPr>
          <w:rFonts w:ascii="Arial" w:hAnsi="Arial" w:cs="Arial"/>
          <w:color w:val="333333"/>
          <w:sz w:val="16"/>
          <w:szCs w:val="16"/>
        </w:rPr>
      </w:pPr>
      <w:r w:rsidRPr="00EC4A06">
        <w:rPr>
          <w:rFonts w:ascii="Arial" w:hAnsi="Arial" w:cs="Arial"/>
          <w:color w:val="333333"/>
          <w:sz w:val="16"/>
          <w:szCs w:val="16"/>
        </w:rPr>
        <w:t>Algo que el usuario es, que incluye las características biométricas.</w:t>
      </w:r>
    </w:p>
    <w:p w14:paraId="70051BAB" w14:textId="77777777" w:rsidR="008638AB" w:rsidRPr="00EC4A06" w:rsidRDefault="008638AB" w:rsidP="00EC4A06">
      <w:pPr>
        <w:shd w:val="clear" w:color="auto" w:fill="FFFFFF"/>
        <w:ind w:left="567" w:hanging="567"/>
        <w:jc w:val="both"/>
        <w:rPr>
          <w:rFonts w:ascii="Arial" w:hAnsi="Arial" w:cs="Arial"/>
          <w:color w:val="333333"/>
          <w:sz w:val="16"/>
          <w:szCs w:val="16"/>
        </w:rPr>
      </w:pPr>
      <w:r w:rsidRPr="00EC4A06">
        <w:rPr>
          <w:rFonts w:ascii="Arial" w:hAnsi="Arial" w:cs="Arial"/>
          <w:color w:val="333333"/>
          <w:sz w:val="16"/>
          <w:szCs w:val="16"/>
        </w:rPr>
        <w:t xml:space="preserve">      </w:t>
      </w:r>
      <w:r w:rsidRPr="00EC4A06">
        <w:rPr>
          <w:rFonts w:ascii="Arial" w:hAnsi="Arial" w:cs="Arial"/>
          <w:color w:val="333333"/>
          <w:sz w:val="16"/>
          <w:szCs w:val="16"/>
        </w:rPr>
        <w:tab/>
        <w:t>(…)</w:t>
      </w:r>
    </w:p>
    <w:p w14:paraId="0F03636A" w14:textId="77777777" w:rsidR="008638AB" w:rsidRPr="00EC4A06" w:rsidRDefault="008638AB" w:rsidP="00EC4A06">
      <w:pPr>
        <w:pStyle w:val="Textonotapie"/>
        <w:jc w:val="both"/>
        <w:rPr>
          <w:rFonts w:ascii="Arial" w:hAnsi="Arial" w:cs="Arial"/>
          <w:sz w:val="16"/>
          <w:szCs w:val="16"/>
        </w:rPr>
      </w:pPr>
    </w:p>
  </w:footnote>
  <w:footnote w:id="4">
    <w:p w14:paraId="26632D65" w14:textId="77777777" w:rsidR="00F70896" w:rsidRPr="00EC4A06" w:rsidRDefault="00F70896" w:rsidP="00EC4A06">
      <w:pPr>
        <w:pStyle w:val="Textonotapie"/>
        <w:ind w:left="567" w:hanging="567"/>
        <w:jc w:val="both"/>
        <w:rPr>
          <w:rFonts w:ascii="Arial" w:hAnsi="Arial" w:cs="Arial"/>
          <w:b/>
          <w:spacing w:val="-3"/>
          <w:sz w:val="16"/>
          <w:szCs w:val="16"/>
          <w:lang w:val="es-ES" w:eastAsia="es-ES"/>
        </w:rPr>
      </w:pPr>
      <w:r w:rsidRPr="00EC4A06">
        <w:rPr>
          <w:rStyle w:val="Refdenotaalpie"/>
          <w:rFonts w:ascii="Arial"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spacing w:val="-3"/>
          <w:sz w:val="16"/>
          <w:szCs w:val="16"/>
          <w:lang w:val="es-ES" w:eastAsia="es-ES"/>
        </w:rPr>
        <w:t>RESOLUCIÓN SBS N° 03797-2023, publicada el 17 de noviembre de 2023.</w:t>
      </w:r>
    </w:p>
    <w:p w14:paraId="45D1530F" w14:textId="77777777" w:rsidR="00F70896" w:rsidRPr="00EC4A06" w:rsidRDefault="00F70896" w:rsidP="00EC4A06">
      <w:pPr>
        <w:pStyle w:val="Textonotapie"/>
        <w:ind w:left="567"/>
        <w:jc w:val="both"/>
        <w:rPr>
          <w:rFonts w:ascii="Arial" w:hAnsi="Arial" w:cs="Arial"/>
          <w:bCs/>
          <w:sz w:val="16"/>
          <w:szCs w:val="16"/>
          <w:lang w:val="es-ES"/>
        </w:rPr>
      </w:pPr>
      <w:r w:rsidRPr="00EC4A06">
        <w:rPr>
          <w:rFonts w:ascii="Arial" w:hAnsi="Arial" w:cs="Arial"/>
          <w:b/>
          <w:sz w:val="16"/>
          <w:szCs w:val="16"/>
          <w:lang w:val="es-ES"/>
        </w:rPr>
        <w:t>Artículo Primero. -</w:t>
      </w:r>
      <w:r w:rsidRPr="00EC4A06">
        <w:rPr>
          <w:rFonts w:ascii="Arial" w:hAnsi="Arial" w:cs="Arial"/>
          <w:bCs/>
          <w:sz w:val="16"/>
          <w:szCs w:val="16"/>
          <w:lang w:val="es-ES"/>
        </w:rPr>
        <w:t xml:space="preserve"> Modificar del Reglamento para la Gestión de la Seguridad de la Información y la Ciberseguridad aprobado por la Resolución SBS N° 504-2021, de acuerdo a lo siguiente:</w:t>
      </w:r>
    </w:p>
    <w:p w14:paraId="0A6C3859" w14:textId="77777777" w:rsidR="00F70896" w:rsidRPr="00EC4A06" w:rsidRDefault="00F70896" w:rsidP="00EC4A06">
      <w:pPr>
        <w:pStyle w:val="Textonotapie"/>
        <w:ind w:left="567"/>
        <w:jc w:val="both"/>
        <w:rPr>
          <w:rFonts w:ascii="Arial" w:hAnsi="Arial" w:cs="Arial"/>
          <w:bCs/>
          <w:sz w:val="16"/>
          <w:szCs w:val="16"/>
          <w:lang w:val="es-ES"/>
        </w:rPr>
      </w:pPr>
      <w:r w:rsidRPr="00EC4A06">
        <w:rPr>
          <w:rFonts w:ascii="Arial" w:hAnsi="Arial" w:cs="Arial"/>
          <w:bCs/>
          <w:sz w:val="16"/>
          <w:szCs w:val="16"/>
          <w:lang w:val="es-ES"/>
        </w:rPr>
        <w:t>(…)</w:t>
      </w:r>
    </w:p>
    <w:p w14:paraId="74BA7643" w14:textId="77777777" w:rsidR="00F70896" w:rsidRPr="00EC4A06" w:rsidRDefault="00F70896" w:rsidP="00EC4A06">
      <w:pPr>
        <w:pStyle w:val="Textonotapie"/>
        <w:ind w:left="567"/>
        <w:jc w:val="both"/>
        <w:rPr>
          <w:rFonts w:ascii="Arial" w:hAnsi="Arial" w:cs="Arial"/>
          <w:bCs/>
          <w:sz w:val="16"/>
          <w:szCs w:val="16"/>
        </w:rPr>
      </w:pPr>
      <w:r w:rsidRPr="00EC4A06">
        <w:rPr>
          <w:rFonts w:ascii="Arial" w:hAnsi="Arial" w:cs="Arial"/>
          <w:bCs/>
          <w:sz w:val="16"/>
          <w:szCs w:val="16"/>
        </w:rPr>
        <w:t xml:space="preserve">2. Sustituir el literal b) del artículo 19, con el siguiente texto: </w:t>
      </w:r>
    </w:p>
    <w:p w14:paraId="3057D091" w14:textId="77777777" w:rsidR="00F70896" w:rsidRPr="00EC4A06" w:rsidRDefault="00F70896" w:rsidP="00EC4A06">
      <w:pPr>
        <w:pStyle w:val="Textonotapie"/>
        <w:ind w:left="567"/>
        <w:jc w:val="both"/>
        <w:rPr>
          <w:rFonts w:ascii="Arial" w:hAnsi="Arial" w:cs="Arial"/>
          <w:bCs/>
          <w:sz w:val="16"/>
          <w:szCs w:val="16"/>
        </w:rPr>
      </w:pPr>
      <w:r w:rsidRPr="00EC4A06">
        <w:rPr>
          <w:rFonts w:ascii="Arial" w:hAnsi="Arial" w:cs="Arial"/>
          <w:bCs/>
          <w:sz w:val="16"/>
          <w:szCs w:val="16"/>
        </w:rPr>
        <w:t xml:space="preserve">(…) </w:t>
      </w:r>
    </w:p>
    <w:p w14:paraId="33E917A1" w14:textId="77777777" w:rsidR="00F70896" w:rsidRPr="00EC4A06" w:rsidRDefault="00F70896" w:rsidP="00EC4A06">
      <w:pPr>
        <w:pStyle w:val="Textonotapie"/>
        <w:ind w:left="567"/>
        <w:jc w:val="both"/>
        <w:rPr>
          <w:rFonts w:ascii="Arial" w:hAnsi="Arial" w:cs="Arial"/>
          <w:bCs/>
          <w:sz w:val="16"/>
          <w:szCs w:val="16"/>
          <w:lang w:val="es-ES"/>
        </w:rPr>
      </w:pPr>
      <w:r w:rsidRPr="00EC4A06">
        <w:rPr>
          <w:rFonts w:ascii="Arial" w:hAnsi="Arial" w:cs="Arial"/>
          <w:bCs/>
          <w:sz w:val="16"/>
          <w:szCs w:val="16"/>
        </w:rPr>
        <w:t>b) Contar con un control ante ataques de hombre en el medio, que puede incluir un código único generado mediante métodos criptográficos, a partir de los datos específicos de cada operación, el cual debe utilizarse por única vez.</w:t>
      </w:r>
    </w:p>
    <w:p w14:paraId="103C43DF" w14:textId="77777777" w:rsidR="00F70896" w:rsidRPr="00EC4A06" w:rsidRDefault="00F70896" w:rsidP="00EC4A06">
      <w:pPr>
        <w:pStyle w:val="Textonotapie"/>
        <w:ind w:left="567"/>
        <w:jc w:val="both"/>
        <w:rPr>
          <w:rFonts w:ascii="Arial" w:hAnsi="Arial" w:cs="Arial"/>
          <w:b/>
          <w:sz w:val="16"/>
          <w:szCs w:val="16"/>
          <w:lang w:val="es-ES"/>
        </w:rPr>
      </w:pPr>
    </w:p>
  </w:footnote>
  <w:footnote w:id="5">
    <w:p w14:paraId="10098964" w14:textId="77777777" w:rsidR="008638AB" w:rsidRPr="00EC4A06" w:rsidRDefault="008638AB" w:rsidP="00EC4A06">
      <w:pPr>
        <w:pStyle w:val="Textonotapie"/>
        <w:ind w:left="567" w:hanging="567"/>
        <w:jc w:val="both"/>
        <w:rPr>
          <w:rFonts w:ascii="Arial" w:hAnsi="Arial" w:cs="Arial"/>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Resolución SBS N° 504-2021, publicado el 23 de febrero de 2021</w:t>
      </w:r>
    </w:p>
    <w:p w14:paraId="58E8776D" w14:textId="77777777" w:rsidR="008638AB" w:rsidRPr="00EC4A06" w:rsidRDefault="008638AB"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20. Exenciones de autenticación reforzada para operaciones por canal digital</w:t>
      </w:r>
    </w:p>
    <w:p w14:paraId="693A6FFB" w14:textId="77777777" w:rsidR="008638AB" w:rsidRPr="00EC4A06" w:rsidRDefault="008638AB" w:rsidP="00EC4A06">
      <w:pPr>
        <w:pStyle w:val="Textonotapie"/>
        <w:ind w:left="567" w:hanging="567"/>
        <w:jc w:val="both"/>
        <w:rPr>
          <w:rFonts w:ascii="Arial" w:hAnsi="Arial" w:cs="Arial"/>
          <w:sz w:val="16"/>
          <w:szCs w:val="16"/>
        </w:rPr>
      </w:pPr>
      <w:r w:rsidRPr="00EC4A06">
        <w:rPr>
          <w:rFonts w:ascii="Arial" w:hAnsi="Arial" w:cs="Arial"/>
          <w:sz w:val="16"/>
          <w:szCs w:val="16"/>
        </w:rPr>
        <w:t xml:space="preserve">          </w:t>
      </w:r>
      <w:r w:rsidRPr="00EC4A06">
        <w:rPr>
          <w:rFonts w:ascii="Arial" w:hAnsi="Arial" w:cs="Arial"/>
          <w:sz w:val="16"/>
          <w:szCs w:val="16"/>
        </w:rPr>
        <w:tab/>
        <w:t xml:space="preserve">20.1 Están exentas del requisito de autenticación reforzada indicado en el artículo 19 del presente Reglamento, las siguientes operaciones realizadas por canal digital: </w:t>
      </w:r>
    </w:p>
    <w:p w14:paraId="01E6D2CB" w14:textId="77777777" w:rsidR="008638AB" w:rsidRPr="00EC4A06" w:rsidRDefault="008638AB" w:rsidP="00EC4A06">
      <w:pPr>
        <w:pStyle w:val="Textonotapie"/>
        <w:ind w:left="567"/>
        <w:jc w:val="both"/>
        <w:rPr>
          <w:rFonts w:ascii="Arial" w:hAnsi="Arial" w:cs="Arial"/>
          <w:sz w:val="16"/>
          <w:szCs w:val="16"/>
        </w:rPr>
      </w:pPr>
      <w:r w:rsidRPr="00EC4A06">
        <w:rPr>
          <w:rFonts w:ascii="Arial" w:hAnsi="Arial" w:cs="Arial"/>
          <w:sz w:val="16"/>
          <w:szCs w:val="16"/>
        </w:rPr>
        <w:t xml:space="preserve">a) Las operaciones de pago, pagos periódicos o transferencia hacia un beneficiario registrado previamente por el usuario como beneficiario de confianza, como destinatario usual de dichas operaciones. </w:t>
      </w:r>
    </w:p>
    <w:p w14:paraId="0F316AB9"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sz w:val="16"/>
          <w:szCs w:val="16"/>
        </w:rPr>
        <w:t>b) Las operaciones de pago, pagos periódicos o transferencias a cuentas en las que el cliente y el beneficiario sean la misma persona, sea natural o jurídica, y siempre que dichas cuentas se mantengan en la misma empresa.</w:t>
      </w:r>
    </w:p>
    <w:p w14:paraId="75D7FECB"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w:t>
      </w:r>
    </w:p>
    <w:p w14:paraId="7A569C71" w14:textId="77777777" w:rsidR="008638AB" w:rsidRPr="00EC4A06" w:rsidRDefault="008638AB" w:rsidP="00EC4A06">
      <w:pPr>
        <w:pStyle w:val="Textonotapie"/>
        <w:ind w:left="567"/>
        <w:jc w:val="both"/>
        <w:rPr>
          <w:rFonts w:ascii="Arial" w:hAnsi="Arial" w:cs="Arial"/>
          <w:color w:val="333333"/>
          <w:sz w:val="16"/>
          <w:szCs w:val="16"/>
        </w:rPr>
      </w:pPr>
    </w:p>
  </w:footnote>
  <w:footnote w:id="6">
    <w:p w14:paraId="67BC8E10" w14:textId="77777777" w:rsidR="008638AB" w:rsidRPr="00EC4A06" w:rsidRDefault="008638AB" w:rsidP="00EC4A06">
      <w:pPr>
        <w:pStyle w:val="Textonotapie"/>
        <w:ind w:left="567" w:hanging="567"/>
        <w:jc w:val="both"/>
        <w:rPr>
          <w:rFonts w:ascii="Arial" w:hAnsi="Arial" w:cs="Arial"/>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Resolución SBS N° 504-2021, publicado el 23 de febrero de 2021</w:t>
      </w:r>
    </w:p>
    <w:p w14:paraId="47A2F51F" w14:textId="77777777" w:rsidR="008638AB" w:rsidRPr="00EC4A06" w:rsidRDefault="008638AB"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20. Exenciones de autenticación reforzada para operaciones por canal digital</w:t>
      </w:r>
    </w:p>
    <w:p w14:paraId="51A28306" w14:textId="77777777" w:rsidR="008638AB" w:rsidRPr="00EC4A06" w:rsidRDefault="008638AB" w:rsidP="00EC4A06">
      <w:pPr>
        <w:pStyle w:val="Textonotapie"/>
        <w:ind w:left="567" w:hanging="567"/>
        <w:jc w:val="both"/>
        <w:rPr>
          <w:rFonts w:ascii="Arial" w:hAnsi="Arial" w:cs="Arial"/>
          <w:color w:val="333333"/>
          <w:sz w:val="16"/>
          <w:szCs w:val="16"/>
        </w:rPr>
      </w:pPr>
      <w:r w:rsidRPr="00EC4A06">
        <w:rPr>
          <w:rFonts w:ascii="Arial" w:hAnsi="Arial" w:cs="Arial"/>
          <w:sz w:val="16"/>
          <w:szCs w:val="16"/>
        </w:rPr>
        <w:t xml:space="preserve">          </w:t>
      </w:r>
      <w:r w:rsidRPr="00EC4A06">
        <w:rPr>
          <w:rFonts w:ascii="Arial" w:hAnsi="Arial" w:cs="Arial"/>
          <w:sz w:val="16"/>
          <w:szCs w:val="16"/>
        </w:rPr>
        <w:tab/>
        <w:t>(…)</w:t>
      </w:r>
    </w:p>
    <w:p w14:paraId="62895212"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 xml:space="preserve">20.2 Las operaciones de pago que presenten un nivel de riesgo de fraude bajo, como resultado de un análisis del riesgo en línea por operación, están exentas de la autenticación reforzada, siempre que la empresa cumpla con: </w:t>
      </w:r>
    </w:p>
    <w:p w14:paraId="491E7506"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 xml:space="preserve">i. Implementar alguno de los estándares de la industria de pagos, EMV 3DS y tokenización de pagos EMV, en sus versiones más recientes. </w:t>
      </w:r>
    </w:p>
    <w:p w14:paraId="307C4404"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ii. Definir el monto de umbral por operación por debajo del cual aplicará la exención por el citado análisis de riesgos.</w:t>
      </w:r>
    </w:p>
    <w:p w14:paraId="2A4A2951"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 xml:space="preserve">iii. Medir periódicamente el ratio de fraude de las operaciones de pago por canal y tipo de operación. </w:t>
      </w:r>
    </w:p>
    <w:p w14:paraId="7A1FD66C"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 xml:space="preserve">iv. Actualizar periódicamente las reglas aplicables en el análisis de riesgo en función al indicador de riesgo de fraude. </w:t>
      </w:r>
    </w:p>
    <w:p w14:paraId="3271F0CF"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v. Utilizar los datos que estén disponibles por cada tipo de operación, que incluye, pero no se limita a, los asociados al comportamiento del usuario, al medio utilizado y los que de este se pueda obtener para fines del análisis de riesgo</w:t>
      </w:r>
    </w:p>
    <w:p w14:paraId="58300D8A" w14:textId="77777777" w:rsidR="008638AB" w:rsidRPr="00EC4A06" w:rsidRDefault="008638AB" w:rsidP="00EC4A06">
      <w:pPr>
        <w:pStyle w:val="Textonotapie"/>
        <w:ind w:left="567"/>
        <w:jc w:val="both"/>
        <w:rPr>
          <w:rFonts w:ascii="Arial" w:hAnsi="Arial" w:cs="Arial"/>
          <w:color w:val="333333"/>
          <w:sz w:val="16"/>
          <w:szCs w:val="16"/>
        </w:rPr>
      </w:pPr>
    </w:p>
    <w:p w14:paraId="379DE3F1" w14:textId="22CC6FD7" w:rsidR="00082873"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20.3 Las operaciones no reconocidas por los clientes que hayan sido efectuadas en aplicación de la exención señalada en el párrafo 20.2 del presente artículo, o que fueron realizadas luego de que el usuario reportara el robo o pérdida de sus credenciales, son responsabilidad de la empresa, para lo cual deben implementar mecanismos que ante el repudio de la operación por parte del usuario garanticen su aplicación inmediata.</w:t>
      </w:r>
    </w:p>
    <w:p w14:paraId="73FFB443" w14:textId="77777777" w:rsidR="00082873" w:rsidRPr="00EC4A06" w:rsidRDefault="00082873" w:rsidP="00EC4A06">
      <w:pPr>
        <w:pStyle w:val="Textonotapie"/>
        <w:ind w:left="567"/>
        <w:jc w:val="both"/>
        <w:rPr>
          <w:rFonts w:ascii="Arial" w:hAnsi="Arial" w:cs="Arial"/>
          <w:color w:val="333333"/>
          <w:sz w:val="16"/>
          <w:szCs w:val="16"/>
        </w:rPr>
      </w:pPr>
    </w:p>
  </w:footnote>
  <w:footnote w:id="7">
    <w:p w14:paraId="71563244" w14:textId="5C68B3A9" w:rsidR="00082873" w:rsidRPr="00EC4A06" w:rsidRDefault="00082873" w:rsidP="00EC4A06">
      <w:pPr>
        <w:ind w:left="567" w:hanging="567"/>
        <w:jc w:val="both"/>
        <w:rPr>
          <w:rFonts w:ascii="Arial" w:eastAsia="Calibri" w:hAnsi="Arial" w:cs="Arial"/>
          <w:sz w:val="16"/>
          <w:szCs w:val="16"/>
        </w:rPr>
      </w:pPr>
      <w:r w:rsidRPr="00EC4A06">
        <w:rPr>
          <w:rStyle w:val="Refdenotaalpie"/>
          <w:rFonts w:ascii="Arial" w:hAnsi="Arial" w:cs="Arial"/>
          <w:sz w:val="16"/>
          <w:szCs w:val="16"/>
          <w:vertAlign w:val="baseline"/>
        </w:rPr>
        <w:t>7</w:t>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DECRETO LEGISLATIVO Nº 807, LEY SOBRE FACULTADES, NORMAS Y ORGANIZACIÓN DEL INDECOPI </w:t>
      </w:r>
    </w:p>
    <w:p w14:paraId="12D34B19" w14:textId="77777777" w:rsidR="00082873" w:rsidRPr="00EC4A06" w:rsidRDefault="00082873" w:rsidP="00EC4A06">
      <w:pPr>
        <w:ind w:left="567"/>
        <w:jc w:val="both"/>
        <w:rPr>
          <w:rFonts w:ascii="Arial" w:hAnsi="Arial" w:cs="Arial"/>
          <w:sz w:val="16"/>
          <w:szCs w:val="16"/>
        </w:rPr>
      </w:pPr>
      <w:r w:rsidRPr="00EC4A06">
        <w:rPr>
          <w:rFonts w:ascii="Arial" w:hAnsi="Arial" w:cs="Arial"/>
          <w:b/>
          <w:bCs/>
          <w:sz w:val="16"/>
          <w:szCs w:val="16"/>
        </w:rPr>
        <w:t>Artículo 1.</w:t>
      </w:r>
      <w:r w:rsidRPr="00EC4A06">
        <w:rPr>
          <w:rFonts w:ascii="Arial" w:hAnsi="Arial" w:cs="Arial"/>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4EF4C33E" w14:textId="77777777" w:rsidR="00082873" w:rsidRPr="00EC4A06" w:rsidRDefault="00082873" w:rsidP="00EC4A06">
      <w:pPr>
        <w:ind w:left="567"/>
        <w:jc w:val="both"/>
        <w:rPr>
          <w:rFonts w:ascii="Arial" w:hAnsi="Arial" w:cs="Arial"/>
          <w:b/>
          <w:bCs/>
          <w:sz w:val="16"/>
          <w:szCs w:val="16"/>
        </w:rPr>
      </w:pPr>
    </w:p>
    <w:p w14:paraId="1EF2EE1A" w14:textId="77777777" w:rsidR="00082873" w:rsidRPr="00EC4A06" w:rsidRDefault="00082873" w:rsidP="00EC4A06">
      <w:pPr>
        <w:ind w:left="567"/>
        <w:jc w:val="both"/>
        <w:rPr>
          <w:rFonts w:ascii="Arial" w:hAnsi="Arial" w:cs="Arial"/>
          <w:sz w:val="16"/>
          <w:szCs w:val="16"/>
        </w:rPr>
      </w:pPr>
      <w:r w:rsidRPr="00EC4A06">
        <w:rPr>
          <w:rFonts w:ascii="Arial" w:hAnsi="Arial" w:cs="Arial"/>
          <w:b/>
          <w:bCs/>
          <w:sz w:val="16"/>
          <w:szCs w:val="16"/>
        </w:rPr>
        <w:t>Artículo 24.-</w:t>
      </w:r>
      <w:r w:rsidRPr="00EC4A06">
        <w:rPr>
          <w:rFonts w:ascii="Arial" w:hAnsi="Arial" w:cs="Arial"/>
          <w:sz w:val="16"/>
          <w:szCs w:val="16"/>
        </w:rPr>
        <w:t xml:space="preserve"> El Secretario Técnico se encargará de la tramitación del procedimiento. Para ello, cuenta con las siguientes facultades:</w:t>
      </w:r>
    </w:p>
    <w:p w14:paraId="68A52758" w14:textId="77777777" w:rsidR="00082873" w:rsidRPr="00EC4A06" w:rsidRDefault="00082873" w:rsidP="00EC4A06">
      <w:pPr>
        <w:ind w:left="567"/>
        <w:jc w:val="both"/>
        <w:rPr>
          <w:rFonts w:ascii="Arial" w:hAnsi="Arial" w:cs="Arial"/>
          <w:sz w:val="16"/>
          <w:szCs w:val="16"/>
        </w:rPr>
      </w:pPr>
      <w:r w:rsidRPr="00EC4A06">
        <w:rPr>
          <w:rFonts w:ascii="Arial" w:hAnsi="Arial" w:cs="Arial"/>
          <w:sz w:val="16"/>
          <w:szCs w:val="16"/>
        </w:rPr>
        <w:t>(...)</w:t>
      </w:r>
    </w:p>
    <w:p w14:paraId="22E35B40" w14:textId="77777777" w:rsidR="00082873" w:rsidRPr="00EC4A06" w:rsidRDefault="00082873" w:rsidP="00EC4A06">
      <w:pPr>
        <w:ind w:left="567"/>
        <w:jc w:val="both"/>
        <w:rPr>
          <w:rFonts w:ascii="Arial" w:hAnsi="Arial" w:cs="Arial"/>
          <w:sz w:val="16"/>
          <w:szCs w:val="16"/>
        </w:rPr>
      </w:pPr>
      <w:r w:rsidRPr="00EC4A06">
        <w:rPr>
          <w:rFonts w:ascii="Arial" w:hAnsi="Arial"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 (...)</w:t>
      </w:r>
    </w:p>
    <w:p w14:paraId="13D6DA8E" w14:textId="07305888" w:rsidR="00082873" w:rsidRPr="00EC4A06" w:rsidRDefault="00082873" w:rsidP="00EC4A06">
      <w:pPr>
        <w:pStyle w:val="Textonotapie"/>
        <w:jc w:val="both"/>
        <w:rPr>
          <w:rFonts w:ascii="Arial" w:hAnsi="Arial" w:cs="Arial"/>
          <w:sz w:val="16"/>
          <w:szCs w:val="16"/>
          <w:lang w:val="es-ES"/>
        </w:rPr>
      </w:pPr>
    </w:p>
  </w:footnote>
  <w:footnote w:id="8">
    <w:p w14:paraId="556D65AA" w14:textId="5335E4F7" w:rsidR="00082873" w:rsidRPr="00EC4A06" w:rsidRDefault="00082873" w:rsidP="00EC4A06">
      <w:pPr>
        <w:pStyle w:val="Default"/>
        <w:ind w:left="567" w:hanging="567"/>
        <w:jc w:val="both"/>
        <w:rPr>
          <w:b/>
          <w:bCs/>
          <w:sz w:val="16"/>
          <w:szCs w:val="16"/>
        </w:rPr>
      </w:pPr>
      <w:r w:rsidRPr="00EC4A06">
        <w:rPr>
          <w:rStyle w:val="Refdenotaalpie"/>
          <w:rFonts w:eastAsia="Calibri"/>
          <w:color w:val="auto"/>
          <w:sz w:val="16"/>
          <w:szCs w:val="16"/>
          <w:vertAlign w:val="baseline"/>
          <w:lang w:val="x-none" w:eastAsia="x-none"/>
        </w:rPr>
        <w:t>8</w:t>
      </w:r>
      <w:r w:rsidRPr="00EC4A06">
        <w:rPr>
          <w:sz w:val="16"/>
          <w:szCs w:val="16"/>
        </w:rPr>
        <w:t xml:space="preserve"> </w:t>
      </w:r>
      <w:r w:rsidRPr="00EC4A06">
        <w:rPr>
          <w:sz w:val="16"/>
          <w:szCs w:val="16"/>
        </w:rPr>
        <w:tab/>
      </w:r>
      <w:r w:rsidRPr="00EC4A06">
        <w:rPr>
          <w:b/>
          <w:bCs/>
          <w:sz w:val="16"/>
          <w:szCs w:val="16"/>
        </w:rPr>
        <w:t xml:space="preserve">LEY N° 29571, CÓDIGO DE PROTECCIÓN AL CONSUMIDOR </w:t>
      </w:r>
    </w:p>
    <w:p w14:paraId="60E21B99" w14:textId="77777777" w:rsidR="00082873" w:rsidRPr="00EC4A06" w:rsidRDefault="00082873" w:rsidP="00EC4A06">
      <w:pPr>
        <w:pStyle w:val="Default"/>
        <w:ind w:left="567"/>
        <w:jc w:val="both"/>
        <w:rPr>
          <w:sz w:val="16"/>
          <w:szCs w:val="16"/>
        </w:rPr>
      </w:pPr>
      <w:r w:rsidRPr="00EC4A06">
        <w:rPr>
          <w:b/>
          <w:bCs/>
          <w:sz w:val="16"/>
          <w:szCs w:val="16"/>
        </w:rPr>
        <w:t xml:space="preserve">Artículo 89.- Informe técnico de la Superintendencia de Banca, Seguros y Administradoras Privadas de Fondos de Pensiones </w:t>
      </w:r>
    </w:p>
    <w:p w14:paraId="5D49AB8D" w14:textId="77777777" w:rsidR="00082873" w:rsidRPr="00EC4A06" w:rsidRDefault="00082873" w:rsidP="00EC4A06">
      <w:pPr>
        <w:pStyle w:val="Textonotapie"/>
        <w:ind w:left="567"/>
        <w:jc w:val="both"/>
        <w:rPr>
          <w:rFonts w:ascii="Arial" w:hAnsi="Arial" w:cs="Arial"/>
          <w:color w:val="151515"/>
          <w:sz w:val="16"/>
          <w:szCs w:val="16"/>
        </w:rPr>
      </w:pPr>
      <w:r w:rsidRPr="00EC4A06">
        <w:rPr>
          <w:rFonts w:ascii="Arial" w:hAnsi="Arial" w:cs="Arial"/>
          <w:color w:val="151515"/>
          <w:sz w:val="16"/>
          <w:szCs w:val="16"/>
        </w:rPr>
        <w:t xml:space="preserve">En los casos en que sea necesaria la interpretación de la Ley núm. 26702, Ley General del Sistema Financiero y del Sistema de Seguros y Orgánica de la Superintendencia de Banca y Seguros, o las normas dictadas por la Superintendencia de Banca, Seguros y Administradoras Privadas de Fondos de Pensiones, el Indecopi debe solicitar a esta un informe técnico. </w:t>
      </w:r>
    </w:p>
    <w:p w14:paraId="449FEAA1" w14:textId="77777777" w:rsidR="003E1445" w:rsidRPr="00EC4A06" w:rsidRDefault="003E1445" w:rsidP="00EC4A06">
      <w:pPr>
        <w:pStyle w:val="Textonotapie"/>
        <w:ind w:left="567"/>
        <w:jc w:val="both"/>
        <w:rPr>
          <w:rFonts w:ascii="Arial" w:hAnsi="Arial" w:cs="Arial"/>
          <w:color w:val="151515"/>
          <w:sz w:val="16"/>
          <w:szCs w:val="16"/>
        </w:rPr>
      </w:pPr>
    </w:p>
  </w:footnote>
  <w:footnote w:id="9">
    <w:p w14:paraId="24194F50" w14:textId="6EC61CBE" w:rsidR="00082873" w:rsidRPr="00EC4A06" w:rsidRDefault="00082873" w:rsidP="00EC4A06">
      <w:pPr>
        <w:pStyle w:val="Textonotapie"/>
        <w:ind w:left="567" w:hanging="567"/>
        <w:jc w:val="both"/>
        <w:rPr>
          <w:rFonts w:ascii="Arial" w:hAnsi="Arial" w:cs="Arial"/>
          <w:sz w:val="16"/>
          <w:szCs w:val="16"/>
        </w:rPr>
      </w:pPr>
      <w:r w:rsidRPr="00EC4A06">
        <w:rPr>
          <w:rStyle w:val="Refdenotaalpie"/>
          <w:rFonts w:ascii="Arial" w:hAnsi="Arial" w:cs="Arial"/>
          <w:sz w:val="16"/>
          <w:szCs w:val="16"/>
          <w:vertAlign w:val="baseline"/>
        </w:rPr>
        <w:t>9</w:t>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Resolución SBS N° 504-2021, publicado el 23 de febrero de 2021</w:t>
      </w:r>
    </w:p>
    <w:p w14:paraId="7A04845B" w14:textId="77777777" w:rsidR="00082873" w:rsidRPr="00EC4A06" w:rsidRDefault="00082873"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17. Implementación de los procesos autenticación</w:t>
      </w:r>
    </w:p>
    <w:p w14:paraId="1A567E2A" w14:textId="77777777" w:rsidR="00082873" w:rsidRPr="00EC4A06" w:rsidRDefault="00082873" w:rsidP="00EC4A06">
      <w:pPr>
        <w:pStyle w:val="Textonotapie"/>
        <w:ind w:left="567" w:hanging="567"/>
        <w:jc w:val="both"/>
        <w:rPr>
          <w:rFonts w:ascii="Arial" w:hAnsi="Arial" w:cs="Arial"/>
          <w:color w:val="333333"/>
          <w:sz w:val="16"/>
          <w:szCs w:val="16"/>
        </w:rPr>
      </w:pPr>
      <w:r w:rsidRPr="00EC4A06">
        <w:rPr>
          <w:rFonts w:ascii="Arial" w:hAnsi="Arial" w:cs="Arial"/>
          <w:sz w:val="16"/>
          <w:szCs w:val="16"/>
        </w:rPr>
        <w:t xml:space="preserve">          </w:t>
      </w:r>
      <w:r w:rsidRPr="00EC4A06">
        <w:rPr>
          <w:rFonts w:ascii="Arial" w:hAnsi="Arial" w:cs="Arial"/>
          <w:sz w:val="16"/>
          <w:szCs w:val="16"/>
        </w:rPr>
        <w:tab/>
        <w:t>(…)</w:t>
      </w:r>
    </w:p>
    <w:p w14:paraId="0332C257" w14:textId="77777777" w:rsidR="00082873" w:rsidRPr="00EC4A06" w:rsidRDefault="00082873"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17.4 La empresa debe contar con herramientas y procedimientos para implementar el monitoreo de transacciones que permita tomar medidas de reducción de la posibilidad de operaciones fraudulentas, que incorpore los escenarios de fraude ya conocidos, y el robo o compromiso de los elementos utilizados para la autenticación.</w:t>
      </w:r>
    </w:p>
    <w:p w14:paraId="4D56361B" w14:textId="77777777" w:rsidR="00082873" w:rsidRPr="00EC4A06" w:rsidRDefault="00082873"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w:t>
      </w:r>
    </w:p>
    <w:p w14:paraId="74345F57" w14:textId="77777777" w:rsidR="00082873" w:rsidRPr="00EC4A06" w:rsidRDefault="00082873" w:rsidP="00EC4A06">
      <w:pPr>
        <w:pStyle w:val="Textonotapie"/>
        <w:ind w:left="567"/>
        <w:jc w:val="both"/>
        <w:rPr>
          <w:rFonts w:ascii="Arial" w:hAnsi="Arial" w:cs="Arial"/>
          <w:color w:val="333333"/>
          <w:sz w:val="16"/>
          <w:szCs w:val="16"/>
        </w:rPr>
      </w:pPr>
    </w:p>
  </w:footnote>
  <w:footnote w:id="10">
    <w:p w14:paraId="5EF3BFFC" w14:textId="6D5DBF75" w:rsidR="00082873" w:rsidRPr="00EC4A06" w:rsidRDefault="00082873" w:rsidP="00EC4A06">
      <w:pPr>
        <w:pStyle w:val="Textonotapie"/>
        <w:ind w:left="567" w:hanging="567"/>
        <w:jc w:val="both"/>
        <w:rPr>
          <w:rFonts w:ascii="Arial" w:hAnsi="Arial" w:cs="Arial"/>
          <w:sz w:val="16"/>
          <w:szCs w:val="16"/>
        </w:rPr>
      </w:pPr>
      <w:r w:rsidRPr="00EC4A06">
        <w:rPr>
          <w:rStyle w:val="Refdenotaalpie"/>
          <w:rFonts w:ascii="Arial" w:hAnsi="Arial" w:cs="Arial"/>
          <w:sz w:val="16"/>
          <w:szCs w:val="16"/>
          <w:vertAlign w:val="baseline"/>
        </w:rPr>
        <w:t>10</w:t>
      </w:r>
      <w:r w:rsidRPr="00EC4A06">
        <w:rPr>
          <w:rFonts w:ascii="Arial" w:hAnsi="Arial" w:cs="Arial"/>
          <w:sz w:val="16"/>
          <w:szCs w:val="16"/>
        </w:rPr>
        <w:t xml:space="preserve"> </w:t>
      </w:r>
      <w:r w:rsidRPr="00EC4A06">
        <w:rPr>
          <w:rFonts w:ascii="Arial" w:hAnsi="Arial" w:cs="Arial"/>
          <w:sz w:val="16"/>
          <w:szCs w:val="16"/>
        </w:rPr>
        <w:tab/>
      </w:r>
      <w:r w:rsidRPr="00EC4A06">
        <w:rPr>
          <w:rFonts w:ascii="Arial" w:eastAsia="Arial" w:hAnsi="Arial" w:cs="Arial"/>
          <w:b/>
          <w:sz w:val="16"/>
          <w:szCs w:val="16"/>
        </w:rPr>
        <w:t>TEXTO ÚNICO ORDENADO DE LA LEY DEL PROCEDIMIENTO ADMINISTRATIVO GENERAL, aprobado mediante DECRETO SUPREMO N° 004-2019-JUS y publicado el 25 de enero de 2019</w:t>
      </w:r>
    </w:p>
    <w:p w14:paraId="481919C9" w14:textId="77777777" w:rsidR="00082873" w:rsidRPr="00EC4A06" w:rsidRDefault="00082873" w:rsidP="00EC4A06">
      <w:pPr>
        <w:pStyle w:val="Textonotapie"/>
        <w:ind w:left="1134" w:hanging="567"/>
        <w:jc w:val="both"/>
        <w:rPr>
          <w:rFonts w:ascii="Arial" w:hAnsi="Arial" w:cs="Arial"/>
          <w:b/>
          <w:bCs/>
          <w:sz w:val="16"/>
          <w:szCs w:val="16"/>
        </w:rPr>
      </w:pPr>
      <w:r w:rsidRPr="00EC4A06">
        <w:rPr>
          <w:rFonts w:ascii="Arial" w:hAnsi="Arial" w:cs="Arial"/>
          <w:b/>
          <w:bCs/>
          <w:sz w:val="16"/>
          <w:szCs w:val="16"/>
        </w:rPr>
        <w:t>Artículo 20. Modalidades de notificación|</w:t>
      </w:r>
    </w:p>
    <w:p w14:paraId="05FF1BCD" w14:textId="77777777" w:rsidR="00082873" w:rsidRPr="00EC4A06" w:rsidRDefault="00082873" w:rsidP="00EC4A06">
      <w:pPr>
        <w:pStyle w:val="Textonotapie"/>
        <w:ind w:left="1134" w:hanging="567"/>
        <w:jc w:val="both"/>
        <w:rPr>
          <w:rFonts w:ascii="Arial" w:hAnsi="Arial" w:cs="Arial"/>
          <w:sz w:val="16"/>
          <w:szCs w:val="16"/>
        </w:rPr>
      </w:pPr>
      <w:r w:rsidRPr="00EC4A06">
        <w:rPr>
          <w:rFonts w:ascii="Arial" w:hAnsi="Arial" w:cs="Arial"/>
          <w:sz w:val="16"/>
          <w:szCs w:val="16"/>
        </w:rPr>
        <w:t xml:space="preserve">20.4. </w:t>
      </w:r>
      <w:r w:rsidRPr="00EC4A06">
        <w:rPr>
          <w:rFonts w:ascii="Arial" w:hAnsi="Arial"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6DA2A8A" w14:textId="77777777" w:rsidR="00082873" w:rsidRPr="00EC4A06" w:rsidRDefault="00082873" w:rsidP="00EC4A06">
      <w:pPr>
        <w:pStyle w:val="Textonotapie"/>
        <w:ind w:left="1134"/>
        <w:jc w:val="both"/>
        <w:rPr>
          <w:rFonts w:ascii="Arial" w:hAnsi="Arial" w:cs="Arial"/>
          <w:sz w:val="16"/>
          <w:szCs w:val="16"/>
        </w:rPr>
      </w:pPr>
      <w:r w:rsidRPr="00EC4A06">
        <w:rPr>
          <w:rFonts w:ascii="Arial" w:hAnsi="Arial"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A9ECA46" w14:textId="77777777" w:rsidR="00082873" w:rsidRPr="00EC4A06" w:rsidRDefault="00082873" w:rsidP="00EC4A06">
      <w:pPr>
        <w:pStyle w:val="Textonotapie"/>
        <w:ind w:left="1134"/>
        <w:jc w:val="both"/>
        <w:rPr>
          <w:rFonts w:ascii="Arial" w:hAnsi="Arial" w:cs="Arial"/>
          <w:sz w:val="16"/>
          <w:szCs w:val="16"/>
        </w:rPr>
      </w:pPr>
      <w:r w:rsidRPr="00EC4A06">
        <w:rPr>
          <w:rFonts w:ascii="Arial" w:hAnsi="Arial"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8C2A69C" w14:textId="77777777" w:rsidR="00082873" w:rsidRPr="00EC4A06" w:rsidRDefault="00082873" w:rsidP="00EC4A06">
      <w:pPr>
        <w:pStyle w:val="Textonotapie"/>
        <w:ind w:left="1134" w:hanging="567"/>
        <w:jc w:val="both"/>
        <w:rPr>
          <w:rFonts w:ascii="Arial" w:hAnsi="Arial"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C51C" w14:textId="77777777" w:rsidR="00CF14E0" w:rsidRDefault="004451A8" w:rsidP="004451A8">
    <w:pPr>
      <w:jc w:val="right"/>
      <w:rPr>
        <w:rFonts w:ascii="Arial" w:hAnsi="Arial" w:cs="Arial"/>
        <w:b/>
        <w:i/>
        <w:sz w:val="18"/>
        <w:szCs w:val="18"/>
      </w:rPr>
    </w:pPr>
    <w:r>
      <w:rPr>
        <w:noProof/>
      </w:rPr>
      <mc:AlternateContent>
        <mc:Choice Requires="wps">
          <w:drawing>
            <wp:anchor distT="0" distB="0" distL="114300" distR="114300" simplePos="0" relativeHeight="251659264" behindDoc="0" locked="0" layoutInCell="1" allowOverlap="1" wp14:anchorId="66883B32" wp14:editId="1353DDA2">
              <wp:simplePos x="0" y="0"/>
              <wp:positionH relativeFrom="margin">
                <wp:posOffset>3324860</wp:posOffset>
              </wp:positionH>
              <wp:positionV relativeFrom="margin">
                <wp:posOffset>-647782</wp:posOffset>
              </wp:positionV>
              <wp:extent cx="2169795" cy="572135"/>
              <wp:effectExtent l="0" t="0" r="1905"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2169795"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62C2B5"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SECRETARÍA TÉCNICA DE LA COMISIÓN DE PROTECCIÓN AL CONSUMIDOR N° 1</w:t>
                          </w:r>
                        </w:p>
                        <w:p w14:paraId="5AD441B0"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883B32" id="_x0000_t202" coordsize="21600,21600" o:spt="202" path="m,l,21600r21600,l21600,xe">
              <v:stroke joinstyle="miter"/>
              <v:path gradientshapeok="t" o:connecttype="rect"/>
            </v:shapetype>
            <v:shape id="Cuadro de texto 2" o:spid="_x0000_s1026" type="#_x0000_t202" style="position:absolute;left:0;text-align:left;margin-left:261.8pt;margin-top:-51pt;width:170.85pt;height:45.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" fillcolor="white [3201]" stroked="f" strokeweight=".5pt">
              <v:textbox>
                <w:txbxContent>
                  <w:p w14:paraId="0F62C2B5"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SECRETARÍA TÉCNICA DE LA COMISIÓN DE PROTECCIÓN AL CONSUMIDOR N° 1</w:t>
                    </w:r>
                  </w:p>
                  <w:p w14:paraId="5AD441B0"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SEDE CENTRAL</w:t>
                    </w:r>
                  </w:p>
                </w:txbxContent>
              </v:textbox>
              <w10:wrap type="square" anchorx="margin" anchory="margin"/>
            </v:shape>
          </w:pict>
        </mc:Fallback>
      </mc:AlternateContent>
    </w:r>
    <w:r>
      <w:rPr>
        <w:noProof/>
      </w:rPr>
      <w:drawing>
        <wp:anchor distT="0" distB="0" distL="114300" distR="114300" simplePos="0" relativeHeight="251660288" behindDoc="1" locked="0" layoutInCell="1" allowOverlap="1" wp14:anchorId="136A5BFB" wp14:editId="725774A3">
          <wp:simplePos x="0" y="0"/>
          <wp:positionH relativeFrom="margin">
            <wp:align>left</wp:align>
          </wp:positionH>
          <wp:positionV relativeFrom="paragraph">
            <wp:posOffset>-407394</wp:posOffset>
          </wp:positionV>
          <wp:extent cx="1640205" cy="780415"/>
          <wp:effectExtent l="0" t="0" r="0" b="635"/>
          <wp:wrapNone/>
          <wp:docPr id="639863309" name="Imagen 639863309"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76069" name="Imagen 1026076069"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anchor>
      </w:drawing>
    </w:r>
  </w:p>
  <w:p w14:paraId="4B7D626B" w14:textId="77777777" w:rsidR="00CF14E0" w:rsidRDefault="00CF14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E26F5853"/>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AB6604E"/>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2A6BF0"/>
    <w:multiLevelType w:val="hybridMultilevel"/>
    <w:tmpl w:val="D3388CE6"/>
    <w:lvl w:ilvl="0" w:tplc="7BDC3C04">
      <w:start w:val="1"/>
      <w:numFmt w:val="lowerRoman"/>
      <w:lvlText w:val="(%1)"/>
      <w:lvlJc w:val="left"/>
      <w:pPr>
        <w:ind w:left="1080" w:hanging="720"/>
      </w:pPr>
      <w:rPr>
        <w:rFonts w:hint="default"/>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6663E6A"/>
    <w:multiLevelType w:val="hybridMultilevel"/>
    <w:tmpl w:val="BD6ECF5C"/>
    <w:lvl w:ilvl="0" w:tplc="8402D9EC">
      <w:start w:val="1"/>
      <w:numFmt w:val="lowerLetter"/>
      <w:lvlText w:val="%1)"/>
      <w:lvlJc w:val="left"/>
      <w:pPr>
        <w:ind w:left="720" w:hanging="360"/>
      </w:pPr>
      <w:rPr>
        <w:rFonts w:ascii="Arial Narrow" w:hAnsi="Arial Narrow" w:cs="Arial" w:hint="default"/>
        <w:sz w:val="16"/>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BD00204"/>
    <w:multiLevelType w:val="hybridMultilevel"/>
    <w:tmpl w:val="80E8E40E"/>
    <w:lvl w:ilvl="0" w:tplc="E3EEC29C">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44522E60"/>
    <w:multiLevelType w:val="hybridMultilevel"/>
    <w:tmpl w:val="61264776"/>
    <w:lvl w:ilvl="0" w:tplc="0AE6886C">
      <w:start w:val="1"/>
      <w:numFmt w:val="lowerLetter"/>
      <w:lvlText w:val="%1."/>
      <w:lvlJc w:val="left"/>
      <w:pPr>
        <w:ind w:left="720" w:hanging="360"/>
      </w:pPr>
      <w:rPr>
        <w:rFonts w:ascii="Arial Narrow" w:hAnsi="Arial Narrow" w:cs="Arial"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7DA2BF1"/>
    <w:multiLevelType w:val="hybridMultilevel"/>
    <w:tmpl w:val="3D707C50"/>
    <w:lvl w:ilvl="0" w:tplc="D086287A">
      <w:start w:val="10"/>
      <w:numFmt w:val="bullet"/>
      <w:lvlText w:val="-"/>
      <w:lvlJc w:val="left"/>
      <w:pPr>
        <w:ind w:left="1069" w:hanging="360"/>
      </w:pPr>
      <w:rPr>
        <w:rFonts w:ascii="Arial" w:eastAsia="Times New Roman" w:hAnsi="Arial" w:cs="Aria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7" w15:restartNumberingAfterBreak="0">
    <w:nsid w:val="57B16C9F"/>
    <w:multiLevelType w:val="hybridMultilevel"/>
    <w:tmpl w:val="10E69D7C"/>
    <w:lvl w:ilvl="0" w:tplc="6B4800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8" w15:restartNumberingAfterBreak="1">
    <w:nsid w:val="5B7B3687"/>
    <w:multiLevelType w:val="hybridMultilevel"/>
    <w:tmpl w:val="5DB0831C"/>
    <w:lvl w:ilvl="0" w:tplc="5BA42B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1">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6B003DE2"/>
    <w:multiLevelType w:val="hybridMultilevel"/>
    <w:tmpl w:val="025CFE3E"/>
    <w:lvl w:ilvl="0" w:tplc="3D764E02">
      <w:start w:val="1"/>
      <w:numFmt w:val="lowerRoman"/>
      <w:lvlText w:val="(%1)"/>
      <w:lvlJc w:val="left"/>
      <w:pPr>
        <w:ind w:left="1080" w:hanging="72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1">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2" w15:restartNumberingAfterBreak="0">
    <w:nsid w:val="77972E63"/>
    <w:multiLevelType w:val="hybridMultilevel"/>
    <w:tmpl w:val="7B68C458"/>
    <w:lvl w:ilvl="0" w:tplc="D5887622">
      <w:start w:val="1"/>
      <w:numFmt w:val="lowerRoman"/>
      <w:lvlText w:val="(%1)"/>
      <w:lvlJc w:val="left"/>
      <w:pPr>
        <w:ind w:left="1287" w:hanging="720"/>
      </w:pPr>
      <w:rPr>
        <w:rFonts w:eastAsia="Times New Roman"/>
        <w:color w:val="000000"/>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13" w15:restartNumberingAfterBreak="1">
    <w:nsid w:val="79FF6DF1"/>
    <w:multiLevelType w:val="hybridMultilevel"/>
    <w:tmpl w:val="2FDEA932"/>
    <w:lvl w:ilvl="0" w:tplc="C944E0F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1">
    <w:nsid w:val="7AF610F0"/>
    <w:multiLevelType w:val="hybridMultilevel"/>
    <w:tmpl w:val="4F840AF6"/>
    <w:lvl w:ilvl="0" w:tplc="F844DD3E">
      <w:start w:val="1"/>
      <w:numFmt w:val="lowerRoman"/>
      <w:lvlText w:val="(%1)"/>
      <w:lvlJc w:val="left"/>
      <w:pPr>
        <w:ind w:left="72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1105610185">
    <w:abstractNumId w:val="11"/>
  </w:num>
  <w:num w:numId="2" w16cid:durableId="1221790808">
    <w:abstractNumId w:val="14"/>
  </w:num>
  <w:num w:numId="3" w16cid:durableId="746193188">
    <w:abstractNumId w:val="0"/>
  </w:num>
  <w:num w:numId="4" w16cid:durableId="1272274829">
    <w:abstractNumId w:val="9"/>
  </w:num>
  <w:num w:numId="5" w16cid:durableId="566957776">
    <w:abstractNumId w:val="13"/>
  </w:num>
  <w:num w:numId="6" w16cid:durableId="851535125">
    <w:abstractNumId w:val="8"/>
  </w:num>
  <w:num w:numId="7" w16cid:durableId="109710971">
    <w:abstractNumId w:val="10"/>
  </w:num>
  <w:num w:numId="8" w16cid:durableId="1787655577">
    <w:abstractNumId w:val="2"/>
  </w:num>
  <w:num w:numId="9" w16cid:durableId="20077830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4105785">
    <w:abstractNumId w:val="3"/>
  </w:num>
  <w:num w:numId="11" w16cid:durableId="1333989522">
    <w:abstractNumId w:val="6"/>
  </w:num>
  <w:num w:numId="12" w16cid:durableId="348914104">
    <w:abstractNumId w:val="12"/>
  </w:num>
  <w:num w:numId="13" w16cid:durableId="1287204110">
    <w:abstractNumId w:val="5"/>
  </w:num>
  <w:num w:numId="14" w16cid:durableId="1262448059">
    <w:abstractNumId w:val="1"/>
  </w:num>
  <w:num w:numId="15" w16cid:durableId="21204903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E56"/>
    <w:rsid w:val="000003C7"/>
    <w:rsid w:val="000043B4"/>
    <w:rsid w:val="000155BE"/>
    <w:rsid w:val="000343AA"/>
    <w:rsid w:val="000343F2"/>
    <w:rsid w:val="00042045"/>
    <w:rsid w:val="00052484"/>
    <w:rsid w:val="00055DB5"/>
    <w:rsid w:val="00063094"/>
    <w:rsid w:val="0006557C"/>
    <w:rsid w:val="00082873"/>
    <w:rsid w:val="00083AC5"/>
    <w:rsid w:val="000A5ADB"/>
    <w:rsid w:val="000B1616"/>
    <w:rsid w:val="000C0680"/>
    <w:rsid w:val="000C1B56"/>
    <w:rsid w:val="000E786D"/>
    <w:rsid w:val="00101A1B"/>
    <w:rsid w:val="00104115"/>
    <w:rsid w:val="00126C4E"/>
    <w:rsid w:val="00130806"/>
    <w:rsid w:val="00131350"/>
    <w:rsid w:val="0014745F"/>
    <w:rsid w:val="001571E2"/>
    <w:rsid w:val="00166B90"/>
    <w:rsid w:val="001A4F9A"/>
    <w:rsid w:val="001A6F01"/>
    <w:rsid w:val="001B5C93"/>
    <w:rsid w:val="00216024"/>
    <w:rsid w:val="0022060C"/>
    <w:rsid w:val="00223CFF"/>
    <w:rsid w:val="00226E7C"/>
    <w:rsid w:val="00247E9D"/>
    <w:rsid w:val="00253608"/>
    <w:rsid w:val="00255B15"/>
    <w:rsid w:val="002675F1"/>
    <w:rsid w:val="00271F07"/>
    <w:rsid w:val="00274FD8"/>
    <w:rsid w:val="002A329C"/>
    <w:rsid w:val="002B747C"/>
    <w:rsid w:val="002D5018"/>
    <w:rsid w:val="002E74C7"/>
    <w:rsid w:val="002F6387"/>
    <w:rsid w:val="002F6D5D"/>
    <w:rsid w:val="0030049B"/>
    <w:rsid w:val="00303132"/>
    <w:rsid w:val="00305B20"/>
    <w:rsid w:val="00305DF4"/>
    <w:rsid w:val="003076A5"/>
    <w:rsid w:val="00341732"/>
    <w:rsid w:val="00345676"/>
    <w:rsid w:val="00345A52"/>
    <w:rsid w:val="00364207"/>
    <w:rsid w:val="003677FA"/>
    <w:rsid w:val="00375B64"/>
    <w:rsid w:val="003A4BAE"/>
    <w:rsid w:val="003C0466"/>
    <w:rsid w:val="003C3B3E"/>
    <w:rsid w:val="003C4B9F"/>
    <w:rsid w:val="003D0150"/>
    <w:rsid w:val="003E1445"/>
    <w:rsid w:val="003F2FA1"/>
    <w:rsid w:val="00406DB8"/>
    <w:rsid w:val="00417C16"/>
    <w:rsid w:val="004421FD"/>
    <w:rsid w:val="004424BB"/>
    <w:rsid w:val="004451A8"/>
    <w:rsid w:val="004716EC"/>
    <w:rsid w:val="004719BD"/>
    <w:rsid w:val="004844F9"/>
    <w:rsid w:val="004932D1"/>
    <w:rsid w:val="00496318"/>
    <w:rsid w:val="004B53CF"/>
    <w:rsid w:val="004B5C5E"/>
    <w:rsid w:val="004C58E9"/>
    <w:rsid w:val="004C7659"/>
    <w:rsid w:val="00525A3C"/>
    <w:rsid w:val="00526AB4"/>
    <w:rsid w:val="005335AE"/>
    <w:rsid w:val="00544806"/>
    <w:rsid w:val="0055124F"/>
    <w:rsid w:val="0057780F"/>
    <w:rsid w:val="005820F0"/>
    <w:rsid w:val="00584A8A"/>
    <w:rsid w:val="00585BAD"/>
    <w:rsid w:val="00591168"/>
    <w:rsid w:val="005A0F33"/>
    <w:rsid w:val="005C573E"/>
    <w:rsid w:val="005D2EC9"/>
    <w:rsid w:val="005D5F4E"/>
    <w:rsid w:val="005F1F7A"/>
    <w:rsid w:val="00611E1B"/>
    <w:rsid w:val="0062543B"/>
    <w:rsid w:val="0063012D"/>
    <w:rsid w:val="00632969"/>
    <w:rsid w:val="00640776"/>
    <w:rsid w:val="00655DAB"/>
    <w:rsid w:val="006603E6"/>
    <w:rsid w:val="00667608"/>
    <w:rsid w:val="006764CA"/>
    <w:rsid w:val="0068540C"/>
    <w:rsid w:val="00686A3B"/>
    <w:rsid w:val="0069180F"/>
    <w:rsid w:val="006A3724"/>
    <w:rsid w:val="006A6D4B"/>
    <w:rsid w:val="006B0836"/>
    <w:rsid w:val="006E63C6"/>
    <w:rsid w:val="006F7CF7"/>
    <w:rsid w:val="00701EBD"/>
    <w:rsid w:val="0070714D"/>
    <w:rsid w:val="0071667E"/>
    <w:rsid w:val="00716EB1"/>
    <w:rsid w:val="00717272"/>
    <w:rsid w:val="00725391"/>
    <w:rsid w:val="00726173"/>
    <w:rsid w:val="00733859"/>
    <w:rsid w:val="00737EC3"/>
    <w:rsid w:val="00765351"/>
    <w:rsid w:val="00771FFD"/>
    <w:rsid w:val="00781D85"/>
    <w:rsid w:val="00784F5F"/>
    <w:rsid w:val="0079689D"/>
    <w:rsid w:val="00797E27"/>
    <w:rsid w:val="007C00F8"/>
    <w:rsid w:val="007C1104"/>
    <w:rsid w:val="007D2CAF"/>
    <w:rsid w:val="007F10DF"/>
    <w:rsid w:val="008112ED"/>
    <w:rsid w:val="00833290"/>
    <w:rsid w:val="0084442B"/>
    <w:rsid w:val="00853F20"/>
    <w:rsid w:val="008638AB"/>
    <w:rsid w:val="00865585"/>
    <w:rsid w:val="00865CE5"/>
    <w:rsid w:val="00867FB9"/>
    <w:rsid w:val="0087599A"/>
    <w:rsid w:val="00875D67"/>
    <w:rsid w:val="008776F0"/>
    <w:rsid w:val="008827CA"/>
    <w:rsid w:val="00896AC4"/>
    <w:rsid w:val="008C009B"/>
    <w:rsid w:val="008D194A"/>
    <w:rsid w:val="0094606F"/>
    <w:rsid w:val="009535A0"/>
    <w:rsid w:val="00956B7C"/>
    <w:rsid w:val="00963FE2"/>
    <w:rsid w:val="00964CC9"/>
    <w:rsid w:val="009956A6"/>
    <w:rsid w:val="009B4C48"/>
    <w:rsid w:val="009C3DB1"/>
    <w:rsid w:val="009F0492"/>
    <w:rsid w:val="009F2560"/>
    <w:rsid w:val="00A10285"/>
    <w:rsid w:val="00A15CF7"/>
    <w:rsid w:val="00A32A6F"/>
    <w:rsid w:val="00A35DCF"/>
    <w:rsid w:val="00A4404C"/>
    <w:rsid w:val="00A57E2F"/>
    <w:rsid w:val="00A613FC"/>
    <w:rsid w:val="00A633EB"/>
    <w:rsid w:val="00A71976"/>
    <w:rsid w:val="00A87D68"/>
    <w:rsid w:val="00A91CFB"/>
    <w:rsid w:val="00A92E56"/>
    <w:rsid w:val="00AA07F0"/>
    <w:rsid w:val="00AA2058"/>
    <w:rsid w:val="00AB621E"/>
    <w:rsid w:val="00AC6D67"/>
    <w:rsid w:val="00AC79A2"/>
    <w:rsid w:val="00AD30E6"/>
    <w:rsid w:val="00AD58BB"/>
    <w:rsid w:val="00AF2DE2"/>
    <w:rsid w:val="00B1034D"/>
    <w:rsid w:val="00B254F8"/>
    <w:rsid w:val="00B256A1"/>
    <w:rsid w:val="00B32725"/>
    <w:rsid w:val="00B37645"/>
    <w:rsid w:val="00B4173A"/>
    <w:rsid w:val="00B42469"/>
    <w:rsid w:val="00B44B3C"/>
    <w:rsid w:val="00B51110"/>
    <w:rsid w:val="00B57A6F"/>
    <w:rsid w:val="00B865C3"/>
    <w:rsid w:val="00B8750F"/>
    <w:rsid w:val="00BA6D51"/>
    <w:rsid w:val="00BA6F8D"/>
    <w:rsid w:val="00BC14F9"/>
    <w:rsid w:val="00BD44AC"/>
    <w:rsid w:val="00BF2AC9"/>
    <w:rsid w:val="00C055E9"/>
    <w:rsid w:val="00C31429"/>
    <w:rsid w:val="00C541C5"/>
    <w:rsid w:val="00CA09D8"/>
    <w:rsid w:val="00CA603D"/>
    <w:rsid w:val="00CB7C0A"/>
    <w:rsid w:val="00CD0FEF"/>
    <w:rsid w:val="00CD4CE6"/>
    <w:rsid w:val="00CD50A0"/>
    <w:rsid w:val="00CE0FA4"/>
    <w:rsid w:val="00CE61A0"/>
    <w:rsid w:val="00CF14E0"/>
    <w:rsid w:val="00CF2351"/>
    <w:rsid w:val="00D21555"/>
    <w:rsid w:val="00D22458"/>
    <w:rsid w:val="00D41550"/>
    <w:rsid w:val="00D61A8B"/>
    <w:rsid w:val="00D62425"/>
    <w:rsid w:val="00D63445"/>
    <w:rsid w:val="00D64E40"/>
    <w:rsid w:val="00D80696"/>
    <w:rsid w:val="00DA53D1"/>
    <w:rsid w:val="00DB3E2B"/>
    <w:rsid w:val="00DC078B"/>
    <w:rsid w:val="00DE385C"/>
    <w:rsid w:val="00DE7234"/>
    <w:rsid w:val="00E059C0"/>
    <w:rsid w:val="00E24F63"/>
    <w:rsid w:val="00E63000"/>
    <w:rsid w:val="00E65576"/>
    <w:rsid w:val="00E96380"/>
    <w:rsid w:val="00E96A27"/>
    <w:rsid w:val="00EA0713"/>
    <w:rsid w:val="00EC4A06"/>
    <w:rsid w:val="00EC778A"/>
    <w:rsid w:val="00F136E8"/>
    <w:rsid w:val="00F16DA0"/>
    <w:rsid w:val="00F16EFF"/>
    <w:rsid w:val="00F224EF"/>
    <w:rsid w:val="00F239E3"/>
    <w:rsid w:val="00F30306"/>
    <w:rsid w:val="00F30659"/>
    <w:rsid w:val="00F33E10"/>
    <w:rsid w:val="00F546C9"/>
    <w:rsid w:val="00F56916"/>
    <w:rsid w:val="00F64652"/>
    <w:rsid w:val="00F64E3F"/>
    <w:rsid w:val="00F66D82"/>
    <w:rsid w:val="00F70896"/>
    <w:rsid w:val="00F90C35"/>
    <w:rsid w:val="00F97467"/>
    <w:rsid w:val="00FB4C84"/>
    <w:rsid w:val="00FC34B1"/>
    <w:rsid w:val="00FC7B52"/>
    <w:rsid w:val="00FE2AE1"/>
    <w:rsid w:val="00FE6FB8"/>
    <w:rsid w:val="00FF2C8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1C917"/>
  <w15:chartTrackingRefBased/>
  <w15:docId w15:val="{E97B29AD-A001-4BA1-BFA3-15DC94EDB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2E56"/>
    <w:pPr>
      <w:spacing w:after="0" w:line="240" w:lineRule="auto"/>
    </w:pPr>
    <w:rPr>
      <w:rFonts w:ascii="Times New Roman" w:eastAsia="Times New Roman" w:hAnsi="Times New Roman" w:cs="Times New Roman"/>
      <w:color w:val="000000"/>
      <w:sz w:val="20"/>
      <w:szCs w:val="20"/>
      <w:lang w:eastAsia="es-PE"/>
    </w:rPr>
  </w:style>
  <w:style w:type="paragraph" w:styleId="Ttulo2">
    <w:name w:val="heading 2"/>
    <w:basedOn w:val="Normal"/>
    <w:next w:val="Normal"/>
    <w:link w:val="Ttulo2Car"/>
    <w:uiPriority w:val="9"/>
    <w:semiHidden/>
    <w:unhideWhenUsed/>
    <w:qFormat/>
    <w:rsid w:val="00CE0FA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584A8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F7089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A92E56"/>
    <w:rPr>
      <w:rFonts w:ascii="Calibri" w:eastAsia="Calibri" w:hAnsi="Calibri"/>
      <w:color w:val="auto"/>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92E56"/>
    <w:rPr>
      <w:rFonts w:ascii="Calibri" w:eastAsia="Calibri" w:hAnsi="Calibri" w:cs="Times New Roman"/>
      <w:sz w:val="20"/>
      <w:szCs w:val="20"/>
      <w:lang w:val="x-none" w:eastAsia="x-none"/>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Bo"/>
    <w:basedOn w:val="Normal"/>
    <w:link w:val="PrrafodelistaCar"/>
    <w:uiPriority w:val="34"/>
    <w:qFormat/>
    <w:rsid w:val="00A92E56"/>
    <w:pPr>
      <w:spacing w:after="200" w:line="276" w:lineRule="auto"/>
      <w:ind w:left="720"/>
      <w:contextualSpacing/>
    </w:pPr>
    <w:rPr>
      <w:rFonts w:ascii="Calibri" w:eastAsia="Calibri" w:hAnsi="Calibri"/>
      <w:color w:val="auto"/>
      <w:sz w:val="22"/>
      <w:szCs w:val="22"/>
      <w:lang w:eastAsia="en-US"/>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Car21,C1,Ca Ca"/>
    <w:link w:val="Texto1"/>
    <w:uiPriority w:val="99"/>
    <w:unhideWhenUsed/>
    <w:qFormat/>
    <w:rsid w:val="00A92E56"/>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A92E56"/>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A92E56"/>
    <w:rPr>
      <w:rFonts w:asciiTheme="minorHAnsi" w:eastAsiaTheme="minorHAnsi" w:hAnsiTheme="minorHAnsi" w:cstheme="minorBidi"/>
      <w:color w:val="auto"/>
      <w:sz w:val="22"/>
      <w:szCs w:val="22"/>
      <w:vertAlign w:val="superscript"/>
      <w:lang w:eastAsia="en-US"/>
    </w:rPr>
  </w:style>
  <w:style w:type="character" w:customStyle="1" w:styleId="Ninguno">
    <w:name w:val="Ninguno"/>
    <w:autoRedefine/>
    <w:rsid w:val="00A92E56"/>
  </w:style>
  <w:style w:type="paragraph" w:customStyle="1" w:styleId="Cuerpo">
    <w:name w:val="Cuerpo"/>
    <w:rsid w:val="00A92E56"/>
    <w:pPr>
      <w:spacing w:after="0" w:line="240" w:lineRule="auto"/>
    </w:pPr>
    <w:rPr>
      <w:rFonts w:ascii="Times New Roman" w:eastAsia="Arial Unicode MS" w:hAnsi="Times New Roman" w:cs="Arial Unicode MS"/>
      <w:color w:val="000000"/>
      <w:sz w:val="24"/>
      <w:szCs w:val="24"/>
      <w:u w:color="000000"/>
      <w:lang w:eastAsia="es-PE"/>
    </w:rPr>
  </w:style>
  <w:style w:type="paragraph" w:styleId="Encabezado">
    <w:name w:val="header"/>
    <w:basedOn w:val="Normal"/>
    <w:link w:val="EncabezadoCar"/>
    <w:uiPriority w:val="99"/>
    <w:unhideWhenUsed/>
    <w:rsid w:val="00CF14E0"/>
    <w:pPr>
      <w:tabs>
        <w:tab w:val="center" w:pos="4252"/>
        <w:tab w:val="right" w:pos="8504"/>
      </w:tabs>
    </w:pPr>
  </w:style>
  <w:style w:type="character" w:customStyle="1" w:styleId="EncabezadoCar">
    <w:name w:val="Encabezado Car"/>
    <w:basedOn w:val="Fuentedeprrafopredeter"/>
    <w:link w:val="Encabezado"/>
    <w:uiPriority w:val="99"/>
    <w:rsid w:val="00CF14E0"/>
    <w:rPr>
      <w:rFonts w:ascii="Times New Roman" w:eastAsia="Times New Roman" w:hAnsi="Times New Roman" w:cs="Times New Roman"/>
      <w:color w:val="000000"/>
      <w:sz w:val="20"/>
      <w:szCs w:val="20"/>
      <w:lang w:eastAsia="es-PE"/>
    </w:rPr>
  </w:style>
  <w:style w:type="paragraph" w:styleId="Piedepgina">
    <w:name w:val="footer"/>
    <w:basedOn w:val="Normal"/>
    <w:link w:val="PiedepginaCar"/>
    <w:uiPriority w:val="99"/>
    <w:unhideWhenUsed/>
    <w:rsid w:val="00CF14E0"/>
    <w:pPr>
      <w:tabs>
        <w:tab w:val="center" w:pos="4252"/>
        <w:tab w:val="right" w:pos="8504"/>
      </w:tabs>
    </w:pPr>
  </w:style>
  <w:style w:type="character" w:customStyle="1" w:styleId="PiedepginaCar">
    <w:name w:val="Pie de página Car"/>
    <w:basedOn w:val="Fuentedeprrafopredeter"/>
    <w:link w:val="Piedepgina"/>
    <w:uiPriority w:val="99"/>
    <w:rsid w:val="00CF14E0"/>
    <w:rPr>
      <w:rFonts w:ascii="Times New Roman" w:eastAsia="Times New Roman" w:hAnsi="Times New Roman" w:cs="Times New Roman"/>
      <w:color w:val="000000"/>
      <w:sz w:val="20"/>
      <w:szCs w:val="20"/>
      <w:lang w:eastAsia="es-PE"/>
    </w:rPr>
  </w:style>
  <w:style w:type="paragraph" w:customStyle="1" w:styleId="Default">
    <w:name w:val="Default"/>
    <w:rsid w:val="00E65576"/>
    <w:pPr>
      <w:autoSpaceDE w:val="0"/>
      <w:autoSpaceDN w:val="0"/>
      <w:adjustRightInd w:val="0"/>
      <w:spacing w:after="0" w:line="240" w:lineRule="auto"/>
    </w:pPr>
    <w:rPr>
      <w:rFonts w:ascii="Arial" w:hAnsi="Arial" w:cs="Arial"/>
      <w:color w:val="000000"/>
      <w:sz w:val="24"/>
      <w:szCs w:val="24"/>
    </w:rPr>
  </w:style>
  <w:style w:type="character" w:customStyle="1" w:styleId="Ttulo2Car">
    <w:name w:val="Título 2 Car"/>
    <w:basedOn w:val="Fuentedeprrafopredeter"/>
    <w:link w:val="Ttulo2"/>
    <w:uiPriority w:val="9"/>
    <w:semiHidden/>
    <w:rsid w:val="00CE0FA4"/>
    <w:rPr>
      <w:rFonts w:asciiTheme="majorHAnsi" w:eastAsiaTheme="majorEastAsia" w:hAnsiTheme="majorHAnsi" w:cstheme="majorBidi"/>
      <w:color w:val="2F5496" w:themeColor="accent1" w:themeShade="BF"/>
      <w:sz w:val="26"/>
      <w:szCs w:val="26"/>
      <w:lang w:eastAsia="es-PE"/>
    </w:rPr>
  </w:style>
  <w:style w:type="paragraph" w:styleId="Revisin">
    <w:name w:val="Revision"/>
    <w:hidden/>
    <w:uiPriority w:val="99"/>
    <w:semiHidden/>
    <w:rsid w:val="00104115"/>
    <w:pPr>
      <w:spacing w:after="0" w:line="240" w:lineRule="auto"/>
    </w:pPr>
    <w:rPr>
      <w:rFonts w:ascii="Times New Roman" w:eastAsia="Times New Roman" w:hAnsi="Times New Roman" w:cs="Times New Roman"/>
      <w:color w:val="000000"/>
      <w:sz w:val="20"/>
      <w:szCs w:val="20"/>
      <w:lang w:eastAsia="es-PE"/>
    </w:rPr>
  </w:style>
  <w:style w:type="character" w:styleId="Refdecomentario">
    <w:name w:val="annotation reference"/>
    <w:basedOn w:val="Fuentedeprrafopredeter"/>
    <w:uiPriority w:val="99"/>
    <w:semiHidden/>
    <w:unhideWhenUsed/>
    <w:rsid w:val="00544806"/>
    <w:rPr>
      <w:sz w:val="16"/>
      <w:szCs w:val="16"/>
    </w:rPr>
  </w:style>
  <w:style w:type="paragraph" w:styleId="Textocomentario">
    <w:name w:val="annotation text"/>
    <w:basedOn w:val="Normal"/>
    <w:link w:val="TextocomentarioCar"/>
    <w:uiPriority w:val="99"/>
    <w:unhideWhenUsed/>
    <w:rsid w:val="00544806"/>
  </w:style>
  <w:style w:type="character" w:customStyle="1" w:styleId="TextocomentarioCar">
    <w:name w:val="Texto comentario Car"/>
    <w:basedOn w:val="Fuentedeprrafopredeter"/>
    <w:link w:val="Textocomentario"/>
    <w:uiPriority w:val="99"/>
    <w:rsid w:val="00544806"/>
    <w:rPr>
      <w:rFonts w:ascii="Times New Roman" w:eastAsia="Times New Roman" w:hAnsi="Times New Roman" w:cs="Times New Roman"/>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544806"/>
    <w:rPr>
      <w:b/>
      <w:bCs/>
    </w:rPr>
  </w:style>
  <w:style w:type="character" w:customStyle="1" w:styleId="AsuntodelcomentarioCar">
    <w:name w:val="Asunto del comentario Car"/>
    <w:basedOn w:val="TextocomentarioCar"/>
    <w:link w:val="Asuntodelcomentario"/>
    <w:uiPriority w:val="99"/>
    <w:semiHidden/>
    <w:rsid w:val="00544806"/>
    <w:rPr>
      <w:rFonts w:ascii="Times New Roman" w:eastAsia="Times New Roman" w:hAnsi="Times New Roman" w:cs="Times New Roman"/>
      <w:b/>
      <w:bCs/>
      <w:color w:val="000000"/>
      <w:sz w:val="20"/>
      <w:szCs w:val="20"/>
      <w:lang w:eastAsia="es-PE"/>
    </w:rPr>
  </w:style>
  <w:style w:type="paragraph" w:styleId="Sinespaciado">
    <w:name w:val="No Spacing"/>
    <w:uiPriority w:val="1"/>
    <w:qFormat/>
    <w:rsid w:val="00781D85"/>
    <w:pPr>
      <w:spacing w:after="0" w:line="240" w:lineRule="auto"/>
    </w:pPr>
  </w:style>
  <w:style w:type="character" w:styleId="Hipervnculo">
    <w:name w:val="Hyperlink"/>
    <w:basedOn w:val="Fuentedeprrafopredeter"/>
    <w:uiPriority w:val="99"/>
    <w:unhideWhenUsed/>
    <w:rsid w:val="007D2CAF"/>
    <w:rPr>
      <w:color w:val="0563C1" w:themeColor="hyperlink"/>
      <w:u w:val="single"/>
    </w:rPr>
  </w:style>
  <w:style w:type="character" w:styleId="Mencinsinresolver">
    <w:name w:val="Unresolved Mention"/>
    <w:basedOn w:val="Fuentedeprrafopredeter"/>
    <w:uiPriority w:val="99"/>
    <w:semiHidden/>
    <w:unhideWhenUsed/>
    <w:rsid w:val="007D2CAF"/>
    <w:rPr>
      <w:color w:val="605E5C"/>
      <w:shd w:val="clear" w:color="auto" w:fill="E1DFDD"/>
    </w:rPr>
  </w:style>
  <w:style w:type="character" w:customStyle="1" w:styleId="Ttulo3Car">
    <w:name w:val="Título 3 Car"/>
    <w:basedOn w:val="Fuentedeprrafopredeter"/>
    <w:link w:val="Ttulo3"/>
    <w:uiPriority w:val="9"/>
    <w:semiHidden/>
    <w:rsid w:val="00584A8A"/>
    <w:rPr>
      <w:rFonts w:asciiTheme="majorHAnsi" w:eastAsiaTheme="majorEastAsia" w:hAnsiTheme="majorHAnsi" w:cstheme="majorBidi"/>
      <w:color w:val="1F3763" w:themeColor="accent1" w:themeShade="7F"/>
      <w:sz w:val="24"/>
      <w:szCs w:val="24"/>
      <w:lang w:eastAsia="es-PE"/>
    </w:rPr>
  </w:style>
  <w:style w:type="character" w:customStyle="1" w:styleId="Ttulo4Car">
    <w:name w:val="Título 4 Car"/>
    <w:basedOn w:val="Fuentedeprrafopredeter"/>
    <w:link w:val="Ttulo4"/>
    <w:uiPriority w:val="9"/>
    <w:semiHidden/>
    <w:rsid w:val="00F70896"/>
    <w:rPr>
      <w:rFonts w:asciiTheme="majorHAnsi" w:eastAsiaTheme="majorEastAsia" w:hAnsiTheme="majorHAnsi" w:cstheme="majorBidi"/>
      <w:i/>
      <w:iCs/>
      <w:color w:val="2F5496" w:themeColor="accent1" w:themeShade="BF"/>
      <w:sz w:val="20"/>
      <w:szCs w:val="20"/>
      <w:lang w:eastAsia="es-PE"/>
    </w:rPr>
  </w:style>
  <w:style w:type="character" w:customStyle="1" w:styleId="normaltextrun">
    <w:name w:val="normaltextrun"/>
    <w:basedOn w:val="Fuentedeprrafopredeter"/>
    <w:rsid w:val="001B5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09142">
      <w:bodyDiv w:val="1"/>
      <w:marLeft w:val="0"/>
      <w:marRight w:val="0"/>
      <w:marTop w:val="0"/>
      <w:marBottom w:val="0"/>
      <w:divBdr>
        <w:top w:val="none" w:sz="0" w:space="0" w:color="auto"/>
        <w:left w:val="none" w:sz="0" w:space="0" w:color="auto"/>
        <w:bottom w:val="none" w:sz="0" w:space="0" w:color="auto"/>
        <w:right w:val="none" w:sz="0" w:space="0" w:color="auto"/>
      </w:divBdr>
    </w:div>
    <w:div w:id="298649188">
      <w:bodyDiv w:val="1"/>
      <w:marLeft w:val="0"/>
      <w:marRight w:val="0"/>
      <w:marTop w:val="0"/>
      <w:marBottom w:val="0"/>
      <w:divBdr>
        <w:top w:val="none" w:sz="0" w:space="0" w:color="auto"/>
        <w:left w:val="none" w:sz="0" w:space="0" w:color="auto"/>
        <w:bottom w:val="none" w:sz="0" w:space="0" w:color="auto"/>
        <w:right w:val="none" w:sz="0" w:space="0" w:color="auto"/>
      </w:divBdr>
    </w:div>
    <w:div w:id="375659782">
      <w:bodyDiv w:val="1"/>
      <w:marLeft w:val="0"/>
      <w:marRight w:val="0"/>
      <w:marTop w:val="0"/>
      <w:marBottom w:val="0"/>
      <w:divBdr>
        <w:top w:val="none" w:sz="0" w:space="0" w:color="auto"/>
        <w:left w:val="none" w:sz="0" w:space="0" w:color="auto"/>
        <w:bottom w:val="none" w:sz="0" w:space="0" w:color="auto"/>
        <w:right w:val="none" w:sz="0" w:space="0" w:color="auto"/>
      </w:divBdr>
    </w:div>
    <w:div w:id="492531581">
      <w:bodyDiv w:val="1"/>
      <w:marLeft w:val="0"/>
      <w:marRight w:val="0"/>
      <w:marTop w:val="0"/>
      <w:marBottom w:val="0"/>
      <w:divBdr>
        <w:top w:val="none" w:sz="0" w:space="0" w:color="auto"/>
        <w:left w:val="none" w:sz="0" w:space="0" w:color="auto"/>
        <w:bottom w:val="none" w:sz="0" w:space="0" w:color="auto"/>
        <w:right w:val="none" w:sz="0" w:space="0" w:color="auto"/>
      </w:divBdr>
    </w:div>
    <w:div w:id="975991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17F54-46E3-41A0-B4CB-49D0ADCFF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6</Pages>
  <Words>2058</Words>
  <Characters>11361</Characters>
  <Application>Microsoft Office Word</Application>
  <DocSecurity>0</DocSecurity>
  <Lines>454</Lines>
  <Paragraphs>239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Rodrigo Salerno Boggio</dc:creator>
  <cp:keywords/>
  <dc:description/>
  <cp:lastModifiedBy>Kamila Nataly Contreras Castelo</cp:lastModifiedBy>
  <cp:revision>102</cp:revision>
  <dcterms:created xsi:type="dcterms:W3CDTF">2024-09-17T00:29:00Z</dcterms:created>
  <dcterms:modified xsi:type="dcterms:W3CDTF">2025-12-04T21:10:00Z</dcterms:modified>
</cp:coreProperties>
</file>