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4065" w14:textId="600F2069" w:rsidR="002A612D" w:rsidRPr="002A612D" w:rsidRDefault="002A612D" w:rsidP="002A612D">
      <w:pPr>
        <w:spacing w:after="0" w:line="240" w:lineRule="auto"/>
        <w:rPr>
          <w:rFonts w:ascii="Arial" w:eastAsia="Arial,Times New Roman" w:hAnsi="Arial" w:cs="Arial"/>
          <w:i/>
          <w:iCs/>
          <w:kern w:val="0"/>
          <w:sz w:val="16"/>
          <w:lang w:val="pt-BR" w:eastAsia="es-ES"/>
          <w14:ligatures w14:val="none"/>
        </w:rPr>
      </w:pPr>
      <w:r w:rsidRPr="002A612D">
        <w:rPr>
          <w:rFonts w:ascii="Arial" w:eastAsia="Arial,Times New Roman" w:hAnsi="Arial" w:cs="Arial"/>
          <w:i/>
          <w:iCs/>
          <w:kern w:val="0"/>
          <w:sz w:val="16"/>
          <w:lang w:val="pt-BR" w:eastAsia="es-ES"/>
          <w14:ligatures w14:val="none"/>
        </w:rPr>
        <w:t xml:space="preserve">Elaborado por: </w:t>
      </w:r>
      <w:r w:rsidR="002436B6" w:rsidRPr="00271C1B">
        <w:rPr>
          <w:rFonts w:ascii="Arial" w:eastAsia="Arial,Times New Roman" w:hAnsi="Arial" w:cs="Arial"/>
          <w:i/>
          <w:iCs/>
          <w:kern w:val="0"/>
          <w:sz w:val="16"/>
          <w:highlight w:val="green"/>
          <w:lang w:val="pt-BR" w:eastAsia="es-ES"/>
          <w14:ligatures w14:val="none"/>
        </w:rPr>
        <w:t>David Chávez</w:t>
      </w:r>
      <w:r>
        <w:rPr>
          <w:rFonts w:ascii="Arial" w:eastAsia="Arial,Times New Roman" w:hAnsi="Arial" w:cs="Arial"/>
          <w:i/>
          <w:iCs/>
          <w:kern w:val="0"/>
          <w:sz w:val="16"/>
          <w:lang w:val="pt-BR" w:eastAsia="es-ES"/>
          <w14:ligatures w14:val="none"/>
        </w:rPr>
        <w:t xml:space="preserve"> </w:t>
      </w:r>
    </w:p>
    <w:p w14:paraId="307C3005" w14:textId="1BC96F78" w:rsidR="002A612D" w:rsidRPr="002A612D" w:rsidRDefault="002A612D" w:rsidP="002A612D">
      <w:pPr>
        <w:spacing w:after="0" w:line="240" w:lineRule="auto"/>
        <w:rPr>
          <w:rFonts w:ascii="Arial" w:eastAsia="Arial,Times New Roman" w:hAnsi="Arial" w:cs="Arial"/>
          <w:i/>
          <w:iCs/>
          <w:kern w:val="0"/>
          <w:sz w:val="16"/>
          <w:lang w:val="pt-BR" w:eastAsia="es-ES"/>
          <w14:ligatures w14:val="none"/>
        </w:rPr>
      </w:pPr>
      <w:r w:rsidRPr="002A612D">
        <w:rPr>
          <w:rFonts w:ascii="Arial" w:eastAsia="Arial,Times New Roman" w:hAnsi="Arial" w:cs="Arial"/>
          <w:i/>
          <w:iCs/>
          <w:kern w:val="0"/>
          <w:sz w:val="16"/>
          <w:lang w:val="pt-BR" w:eastAsia="es-ES"/>
          <w14:ligatures w14:val="none"/>
        </w:rPr>
        <w:t xml:space="preserve">Supervisado por: </w:t>
      </w:r>
      <w:r w:rsidR="009F43D6" w:rsidRPr="009355A7">
        <w:rPr>
          <w:rFonts w:ascii="Arial" w:eastAsia="Arial,Times New Roman" w:hAnsi="Arial" w:cs="Arial"/>
          <w:i/>
          <w:iCs/>
          <w:kern w:val="0"/>
          <w:sz w:val="16"/>
          <w:highlight w:val="magenta"/>
          <w:lang w:val="pt-BR" w:eastAsia="es-ES"/>
          <w14:ligatures w14:val="none"/>
        </w:rPr>
        <w:t>Luis Gamonal</w:t>
      </w:r>
    </w:p>
    <w:p w14:paraId="7C0CD843" w14:textId="77777777" w:rsidR="002436B6" w:rsidRPr="000510B1" w:rsidRDefault="002A612D" w:rsidP="002436B6">
      <w:pPr>
        <w:spacing w:after="0" w:line="240" w:lineRule="auto"/>
        <w:rPr>
          <w:rFonts w:ascii="Arial" w:eastAsia="Arial,Times New Roman" w:hAnsi="Arial" w:cs="Arial"/>
          <w:i/>
          <w:iCs/>
          <w:kern w:val="0"/>
          <w:sz w:val="16"/>
          <w:lang w:eastAsia="es-ES"/>
          <w14:ligatures w14:val="none"/>
        </w:rPr>
      </w:pPr>
      <w:r w:rsidRPr="002A612D">
        <w:rPr>
          <w:rFonts w:ascii="Arial" w:eastAsia="Arial,Times New Roman" w:hAnsi="Arial" w:cs="Arial"/>
          <w:i/>
          <w:iCs/>
          <w:kern w:val="0"/>
          <w:sz w:val="16"/>
          <w:lang w:eastAsia="es-ES"/>
          <w14:ligatures w14:val="none"/>
        </w:rPr>
        <w:t>Equipo: Seguros</w:t>
      </w:r>
      <w:r w:rsidR="002436B6" w:rsidRPr="002436B6">
        <w:rPr>
          <w:rFonts w:ascii="Arial" w:eastAsia="Arial,Times New Roman" w:hAnsi="Arial" w:cs="Arial"/>
          <w:i/>
          <w:iCs/>
          <w:kern w:val="0"/>
          <w:sz w:val="16"/>
          <w:lang w:eastAsia="es-ES"/>
          <w14:ligatures w14:val="none"/>
        </w:rPr>
        <w:t xml:space="preserve"> </w:t>
      </w:r>
    </w:p>
    <w:p w14:paraId="20DADB14" w14:textId="18A91EA1" w:rsidR="002436B6" w:rsidRPr="000510B1" w:rsidRDefault="002436B6" w:rsidP="002A612D">
      <w:pPr>
        <w:spacing w:after="0" w:line="240" w:lineRule="auto"/>
        <w:rPr>
          <w:rFonts w:ascii="Arial" w:eastAsia="Arial,Times New Roman" w:hAnsi="Arial" w:cs="Arial"/>
          <w:i/>
          <w:iCs/>
          <w:kern w:val="0"/>
          <w:sz w:val="16"/>
          <w:lang w:eastAsia="es-ES"/>
          <w14:ligatures w14:val="none"/>
        </w:rPr>
      </w:pPr>
      <w:r w:rsidRPr="000510B1">
        <w:rPr>
          <w:rFonts w:ascii="Arial" w:eastAsia="Arial,Times New Roman" w:hAnsi="Arial" w:cs="Arial"/>
          <w:i/>
          <w:iCs/>
          <w:kern w:val="0"/>
          <w:sz w:val="16"/>
          <w:lang w:eastAsia="es-ES"/>
          <w14:ligatures w14:val="none"/>
        </w:rPr>
        <w:t xml:space="preserve">Fecha Límite: </w:t>
      </w:r>
      <w:r w:rsidRPr="007F5A2D">
        <w:rPr>
          <w:rFonts w:ascii="Arial" w:eastAsia="Arial,Times New Roman" w:hAnsi="Arial" w:cs="Arial"/>
          <w:i/>
          <w:iCs/>
          <w:kern w:val="0"/>
          <w:sz w:val="16"/>
          <w:highlight w:val="green"/>
          <w:lang w:eastAsia="es-ES"/>
          <w14:ligatures w14:val="none"/>
        </w:rPr>
        <w:t>15/09/2025</w:t>
      </w:r>
    </w:p>
    <w:p w14:paraId="019967EB" w14:textId="77777777" w:rsidR="002A612D" w:rsidRPr="002A612D" w:rsidRDefault="002A612D" w:rsidP="002A612D">
      <w:pPr>
        <w:spacing w:after="0" w:line="240" w:lineRule="auto"/>
        <w:jc w:val="center"/>
        <w:rPr>
          <w:rFonts w:ascii="Arial" w:eastAsia="Arial" w:hAnsi="Arial" w:cs="Arial"/>
          <w:b/>
          <w:color w:val="000000"/>
          <w:kern w:val="0"/>
          <w:sz w:val="32"/>
          <w:lang w:eastAsia="es-PE"/>
          <w14:ligatures w14:val="none"/>
        </w:rPr>
      </w:pPr>
    </w:p>
    <w:p w14:paraId="75345864" w14:textId="6229166D" w:rsidR="002A612D" w:rsidRPr="002A612D" w:rsidRDefault="002A612D" w:rsidP="002A612D">
      <w:pPr>
        <w:spacing w:after="0" w:line="240" w:lineRule="auto"/>
        <w:jc w:val="center"/>
        <w:rPr>
          <w:rFonts w:ascii="Arial" w:eastAsia="Calibri" w:hAnsi="Arial" w:cs="Arial"/>
          <w:color w:val="000000"/>
          <w:kern w:val="0"/>
          <w:sz w:val="32"/>
          <w:lang w:eastAsia="es-PE"/>
          <w14:ligatures w14:val="none"/>
        </w:rPr>
      </w:pPr>
      <w:r w:rsidRPr="002A612D">
        <w:rPr>
          <w:rFonts w:ascii="Arial" w:eastAsia="Arial" w:hAnsi="Arial" w:cs="Arial"/>
          <w:b/>
          <w:color w:val="000000"/>
          <w:kern w:val="0"/>
          <w:sz w:val="32"/>
          <w:lang w:eastAsia="es-PE"/>
          <w14:ligatures w14:val="none"/>
        </w:rPr>
        <w:t xml:space="preserve">RESOLUCIÓN FINAL N° </w:t>
      </w:r>
      <w:r>
        <w:rPr>
          <w:rFonts w:ascii="Arial" w:eastAsia="Arial" w:hAnsi="Arial" w:cs="Arial"/>
          <w:b/>
          <w:color w:val="000000"/>
          <w:kern w:val="0"/>
          <w:sz w:val="32"/>
          <w:lang w:eastAsia="es-PE"/>
          <w14:ligatures w14:val="none"/>
        </w:rPr>
        <w:t>****</w:t>
      </w:r>
      <w:r w:rsidRPr="002A612D">
        <w:rPr>
          <w:rFonts w:ascii="Arial" w:eastAsia="Arial" w:hAnsi="Arial" w:cs="Arial"/>
          <w:b/>
          <w:color w:val="000000"/>
          <w:kern w:val="0"/>
          <w:sz w:val="32"/>
          <w:lang w:eastAsia="es-PE"/>
          <w14:ligatures w14:val="none"/>
        </w:rPr>
        <w:t>-202</w:t>
      </w:r>
      <w:r w:rsidR="00E216A9">
        <w:rPr>
          <w:rFonts w:ascii="Arial" w:eastAsia="Arial" w:hAnsi="Arial" w:cs="Arial"/>
          <w:b/>
          <w:color w:val="000000"/>
          <w:kern w:val="0"/>
          <w:sz w:val="32"/>
          <w:lang w:eastAsia="es-PE"/>
          <w14:ligatures w14:val="none"/>
        </w:rPr>
        <w:t>6</w:t>
      </w:r>
      <w:r w:rsidRPr="002A612D">
        <w:rPr>
          <w:rFonts w:ascii="Arial" w:eastAsia="Arial" w:hAnsi="Arial" w:cs="Arial"/>
          <w:b/>
          <w:color w:val="000000"/>
          <w:kern w:val="0"/>
          <w:sz w:val="32"/>
          <w:lang w:eastAsia="es-PE"/>
          <w14:ligatures w14:val="none"/>
        </w:rPr>
        <w:t>/CC1</w:t>
      </w:r>
    </w:p>
    <w:p w14:paraId="742FF31B" w14:textId="77777777" w:rsidR="002A612D" w:rsidRPr="002A612D" w:rsidRDefault="002A612D" w:rsidP="002A612D">
      <w:pPr>
        <w:widowControl w:val="0"/>
        <w:spacing w:after="0" w:line="240" w:lineRule="auto"/>
        <w:rPr>
          <w:rFonts w:ascii="Arial" w:eastAsia="Calibri" w:hAnsi="Arial" w:cs="Arial"/>
          <w:color w:val="000000"/>
          <w:kern w:val="0"/>
          <w:lang w:eastAsia="es-PE"/>
          <w14:ligatures w14:val="none"/>
        </w:rPr>
      </w:pPr>
      <w:bookmarkStart w:id="0" w:name="h.gjdgxs" w:colFirst="0" w:colLast="0"/>
      <w:bookmarkEnd w:id="0"/>
    </w:p>
    <w:p w14:paraId="6E8E4512" w14:textId="4E6FC558" w:rsidR="002A612D" w:rsidRPr="004442B4" w:rsidRDefault="002A612D" w:rsidP="002A612D">
      <w:pPr>
        <w:widowControl w:val="0"/>
        <w:tabs>
          <w:tab w:val="left" w:pos="2268"/>
          <w:tab w:val="left" w:pos="3120"/>
        </w:tabs>
        <w:spacing w:after="0" w:line="240" w:lineRule="auto"/>
        <w:ind w:left="3119" w:hanging="3134"/>
        <w:jc w:val="both"/>
        <w:rPr>
          <w:rFonts w:ascii="Arial" w:eastAsia="Arial" w:hAnsi="Arial" w:cs="Arial"/>
          <w:b/>
          <w:color w:val="000000"/>
          <w:kern w:val="0"/>
          <w:lang w:eastAsia="es-PE"/>
          <w14:ligatures w14:val="none"/>
        </w:rPr>
      </w:pPr>
      <w:r w:rsidRPr="002A612D">
        <w:rPr>
          <w:rFonts w:ascii="Arial" w:eastAsia="Arial" w:hAnsi="Arial" w:cs="Arial"/>
          <w:b/>
          <w:color w:val="000000"/>
          <w:kern w:val="0"/>
          <w:lang w:eastAsia="es-PE"/>
          <w14:ligatures w14:val="none"/>
        </w:rPr>
        <w:t>DENUNCIANTE</w:t>
      </w:r>
      <w:r w:rsidRPr="002A612D">
        <w:rPr>
          <w:rFonts w:ascii="Arial" w:eastAsia="Arial" w:hAnsi="Arial" w:cs="Arial"/>
          <w:b/>
          <w:color w:val="000000"/>
          <w:kern w:val="0"/>
          <w:lang w:eastAsia="es-PE"/>
          <w14:ligatures w14:val="none"/>
        </w:rPr>
        <w:tab/>
        <w:t>:</w:t>
      </w:r>
      <w:r w:rsidRPr="002A612D">
        <w:rPr>
          <w:rFonts w:ascii="Arial" w:eastAsia="Arial" w:hAnsi="Arial" w:cs="Arial"/>
          <w:b/>
          <w:color w:val="000000"/>
          <w:kern w:val="0"/>
          <w:lang w:eastAsia="es-PE"/>
          <w14:ligatures w14:val="none"/>
        </w:rPr>
        <w:tab/>
      </w:r>
      <w:r w:rsidR="004442B4" w:rsidRPr="00271C1B">
        <w:rPr>
          <w:rFonts w:ascii="Arial" w:eastAsia="Calibri" w:hAnsi="Arial" w:cs="Arial"/>
          <w:b/>
          <w:color w:val="000000"/>
          <w:kern w:val="0"/>
          <w:highlight w:val="green"/>
          <w:lang w:eastAsia="es-PE"/>
          <w14:ligatures w14:val="none"/>
        </w:rPr>
        <w:t>J.B. COMERCIO NACIONAL S.A.C. (J.B. COMERCIO</w:t>
      </w:r>
      <w:r w:rsidRPr="00271C1B">
        <w:rPr>
          <w:rFonts w:ascii="Arial" w:eastAsia="Calibri" w:hAnsi="Arial" w:cs="Arial"/>
          <w:b/>
          <w:color w:val="000000"/>
          <w:kern w:val="0"/>
          <w:highlight w:val="green"/>
          <w:lang w:eastAsia="es-PE"/>
          <w14:ligatures w14:val="none"/>
        </w:rPr>
        <w:t>)</w:t>
      </w:r>
    </w:p>
    <w:p w14:paraId="62FCC3E4" w14:textId="5F787F05" w:rsidR="002A612D" w:rsidRPr="002A612D" w:rsidRDefault="002A612D" w:rsidP="002A612D">
      <w:pPr>
        <w:widowControl w:val="0"/>
        <w:tabs>
          <w:tab w:val="left" w:pos="2268"/>
          <w:tab w:val="left" w:pos="3120"/>
        </w:tabs>
        <w:spacing w:after="0" w:line="240" w:lineRule="auto"/>
        <w:ind w:left="3119" w:hanging="3134"/>
        <w:jc w:val="both"/>
        <w:rPr>
          <w:rFonts w:ascii="Arial" w:eastAsia="Arial" w:hAnsi="Arial" w:cs="Arial"/>
          <w:b/>
          <w:color w:val="000000"/>
          <w:kern w:val="0"/>
          <w:lang w:eastAsia="es-PE"/>
          <w14:ligatures w14:val="none"/>
        </w:rPr>
      </w:pPr>
      <w:r w:rsidRPr="004442B4">
        <w:rPr>
          <w:rFonts w:ascii="Arial" w:eastAsia="Arial" w:hAnsi="Arial" w:cs="Arial"/>
          <w:b/>
          <w:color w:val="000000"/>
          <w:kern w:val="0"/>
          <w:lang w:eastAsia="es-PE"/>
          <w14:ligatures w14:val="none"/>
        </w:rPr>
        <w:t>DENUNCIADO</w:t>
      </w:r>
      <w:r w:rsidRPr="004442B4">
        <w:rPr>
          <w:rFonts w:ascii="Arial" w:eastAsia="Arial" w:hAnsi="Arial" w:cs="Arial"/>
          <w:b/>
          <w:color w:val="000000"/>
          <w:kern w:val="0"/>
          <w:lang w:eastAsia="es-PE"/>
          <w14:ligatures w14:val="none"/>
        </w:rPr>
        <w:tab/>
        <w:t>:</w:t>
      </w:r>
      <w:r w:rsidRPr="004442B4">
        <w:rPr>
          <w:rFonts w:ascii="Arial" w:eastAsia="Arial" w:hAnsi="Arial" w:cs="Arial"/>
          <w:b/>
          <w:color w:val="000000"/>
          <w:kern w:val="0"/>
          <w:lang w:eastAsia="es-PE"/>
          <w14:ligatures w14:val="none"/>
        </w:rPr>
        <w:tab/>
      </w:r>
      <w:r w:rsidRPr="004442B4">
        <w:rPr>
          <w:rFonts w:ascii="Arial" w:eastAsia="Arial" w:hAnsi="Arial" w:cs="Arial"/>
          <w:b/>
          <w:color w:val="000000"/>
          <w:kern w:val="0"/>
          <w:lang w:eastAsia="es-PE"/>
          <w14:ligatures w14:val="none"/>
        </w:rPr>
        <w:tab/>
      </w:r>
      <w:r w:rsidR="004442B4" w:rsidRPr="00271C1B">
        <w:rPr>
          <w:rFonts w:ascii="Arial" w:eastAsia="Calibri" w:hAnsi="Arial" w:cs="Arial"/>
          <w:b/>
          <w:color w:val="000000"/>
          <w:kern w:val="0"/>
          <w:highlight w:val="green"/>
          <w:lang w:eastAsia="es-PE"/>
          <w14:ligatures w14:val="none"/>
        </w:rPr>
        <w:t>QUALITAS COMPAÑIA DE SEGUROS S.A. (QUALITAS</w:t>
      </w:r>
      <w:r w:rsidRPr="00271C1B">
        <w:rPr>
          <w:rFonts w:ascii="Arial" w:eastAsia="Calibri" w:hAnsi="Arial" w:cs="Arial"/>
          <w:b/>
          <w:color w:val="000000"/>
          <w:kern w:val="0"/>
          <w:highlight w:val="green"/>
          <w:lang w:eastAsia="es-PE"/>
          <w14:ligatures w14:val="none"/>
        </w:rPr>
        <w:t>)</w:t>
      </w:r>
    </w:p>
    <w:p w14:paraId="15F3E184" w14:textId="77777777" w:rsidR="002A612D" w:rsidRPr="002A612D" w:rsidRDefault="002A612D" w:rsidP="002A612D">
      <w:pPr>
        <w:widowControl w:val="0"/>
        <w:tabs>
          <w:tab w:val="left" w:pos="2268"/>
          <w:tab w:val="left" w:pos="3120"/>
        </w:tabs>
        <w:spacing w:after="0" w:line="240" w:lineRule="auto"/>
        <w:ind w:left="3119" w:hanging="3119"/>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MATERIAS</w:t>
      </w:r>
      <w:r w:rsidRPr="002A612D">
        <w:rPr>
          <w:rFonts w:ascii="Arial" w:eastAsia="Arial" w:hAnsi="Arial" w:cs="Arial"/>
          <w:b/>
          <w:color w:val="000000"/>
          <w:kern w:val="0"/>
          <w:lang w:eastAsia="es-PE"/>
          <w14:ligatures w14:val="none"/>
        </w:rPr>
        <w:tab/>
        <w:t>:</w:t>
      </w:r>
      <w:r w:rsidRPr="002A612D">
        <w:rPr>
          <w:rFonts w:ascii="Arial" w:eastAsia="Arial" w:hAnsi="Arial" w:cs="Arial"/>
          <w:b/>
          <w:color w:val="000000"/>
          <w:kern w:val="0"/>
          <w:lang w:eastAsia="es-PE"/>
          <w14:ligatures w14:val="none"/>
        </w:rPr>
        <w:tab/>
        <w:t>PROTECCIÓN AL CONSUMIDOR</w:t>
      </w:r>
    </w:p>
    <w:p w14:paraId="481F36B5" w14:textId="77777777" w:rsidR="002A612D" w:rsidRPr="002A612D" w:rsidRDefault="002A612D" w:rsidP="002A612D">
      <w:pPr>
        <w:widowControl w:val="0"/>
        <w:tabs>
          <w:tab w:val="left" w:pos="2265"/>
          <w:tab w:val="left" w:pos="3120"/>
        </w:tabs>
        <w:spacing w:after="0" w:line="240" w:lineRule="auto"/>
        <w:ind w:left="3120" w:hanging="15"/>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NOCIÓN DE CONSUMIDOR FINAL</w:t>
      </w:r>
      <w:r w:rsidRPr="002A612D">
        <w:rPr>
          <w:rFonts w:ascii="Arial" w:eastAsia="Arial" w:hAnsi="Arial" w:cs="Arial"/>
          <w:b/>
          <w:color w:val="000000"/>
          <w:kern w:val="0"/>
          <w:lang w:eastAsia="es-PE"/>
          <w14:ligatures w14:val="none"/>
        </w:rPr>
        <w:tab/>
      </w:r>
      <w:r w:rsidRPr="002A612D">
        <w:rPr>
          <w:rFonts w:ascii="Arial" w:eastAsia="Arial" w:hAnsi="Arial" w:cs="Arial"/>
          <w:b/>
          <w:color w:val="000000"/>
          <w:kern w:val="0"/>
          <w:lang w:eastAsia="es-PE"/>
          <w14:ligatures w14:val="none"/>
        </w:rPr>
        <w:tab/>
      </w:r>
      <w:r w:rsidRPr="002A612D">
        <w:rPr>
          <w:rFonts w:ascii="Arial" w:eastAsia="Arial" w:hAnsi="Arial" w:cs="Arial"/>
          <w:b/>
          <w:color w:val="000000"/>
          <w:kern w:val="0"/>
          <w:lang w:eastAsia="es-PE"/>
          <w14:ligatures w14:val="none"/>
        </w:rPr>
        <w:tab/>
      </w:r>
    </w:p>
    <w:p w14:paraId="7082889B" w14:textId="77777777" w:rsidR="002A612D" w:rsidRDefault="002A612D" w:rsidP="002A612D">
      <w:pPr>
        <w:widowControl w:val="0"/>
        <w:tabs>
          <w:tab w:val="left" w:pos="2265"/>
          <w:tab w:val="left" w:pos="3120"/>
        </w:tabs>
        <w:spacing w:after="0" w:line="240" w:lineRule="auto"/>
        <w:ind w:left="3118" w:hanging="15"/>
        <w:jc w:val="both"/>
        <w:rPr>
          <w:rFonts w:ascii="Arial" w:eastAsia="Arial" w:hAnsi="Arial" w:cs="Arial"/>
          <w:b/>
          <w:color w:val="000000"/>
          <w:kern w:val="0"/>
          <w:lang w:eastAsia="es-PE"/>
          <w14:ligatures w14:val="none"/>
        </w:rPr>
      </w:pPr>
      <w:r w:rsidRPr="002A612D">
        <w:rPr>
          <w:rFonts w:ascii="Arial" w:eastAsia="Arial" w:hAnsi="Arial" w:cs="Arial"/>
          <w:b/>
          <w:color w:val="000000"/>
          <w:kern w:val="0"/>
          <w:lang w:eastAsia="es-PE"/>
          <w14:ligatures w14:val="none"/>
        </w:rPr>
        <w:t>IMPROCEDENCIA</w:t>
      </w:r>
    </w:p>
    <w:p w14:paraId="5ABF8DC1" w14:textId="77777777" w:rsidR="00356519" w:rsidRPr="002A612D" w:rsidRDefault="00356519" w:rsidP="002A612D">
      <w:pPr>
        <w:widowControl w:val="0"/>
        <w:tabs>
          <w:tab w:val="left" w:pos="2265"/>
          <w:tab w:val="left" w:pos="3120"/>
        </w:tabs>
        <w:spacing w:after="0" w:line="240" w:lineRule="auto"/>
        <w:ind w:left="3118" w:hanging="15"/>
        <w:jc w:val="both"/>
        <w:rPr>
          <w:rFonts w:ascii="Arial" w:eastAsia="Calibri" w:hAnsi="Arial" w:cs="Arial"/>
          <w:color w:val="000000"/>
          <w:kern w:val="0"/>
          <w:lang w:eastAsia="es-PE"/>
          <w14:ligatures w14:val="none"/>
        </w:rPr>
      </w:pPr>
      <w:r>
        <w:rPr>
          <w:rFonts w:ascii="Arial" w:eastAsia="Arial" w:hAnsi="Arial" w:cs="Arial"/>
          <w:b/>
          <w:color w:val="000000"/>
          <w:kern w:val="0"/>
          <w:lang w:eastAsia="es-PE"/>
          <w14:ligatures w14:val="none"/>
        </w:rPr>
        <w:t>CONFIDENCIALIDAD</w:t>
      </w:r>
    </w:p>
    <w:p w14:paraId="01AE113D" w14:textId="77777777" w:rsidR="002A612D" w:rsidRPr="002A612D" w:rsidRDefault="002A612D" w:rsidP="002A612D">
      <w:pPr>
        <w:widowControl w:val="0"/>
        <w:tabs>
          <w:tab w:val="left" w:pos="2265"/>
          <w:tab w:val="left" w:pos="3105"/>
        </w:tabs>
        <w:spacing w:after="0" w:line="240" w:lineRule="auto"/>
        <w:ind w:hanging="15"/>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ACTIVIDAD</w:t>
      </w:r>
      <w:r w:rsidRPr="002A612D">
        <w:rPr>
          <w:rFonts w:ascii="Arial" w:eastAsia="Arial" w:hAnsi="Arial" w:cs="Arial"/>
          <w:b/>
          <w:color w:val="000000"/>
          <w:kern w:val="0"/>
          <w:lang w:eastAsia="es-PE"/>
          <w14:ligatures w14:val="none"/>
        </w:rPr>
        <w:tab/>
        <w:t>:</w:t>
      </w:r>
      <w:r w:rsidRPr="002A612D">
        <w:rPr>
          <w:rFonts w:ascii="Arial" w:eastAsia="Arial" w:hAnsi="Arial" w:cs="Arial"/>
          <w:b/>
          <w:color w:val="000000"/>
          <w:kern w:val="0"/>
          <w:lang w:eastAsia="es-PE"/>
          <w14:ligatures w14:val="none"/>
        </w:rPr>
        <w:tab/>
        <w:t>SEGUROS Y PENSIONES</w:t>
      </w:r>
    </w:p>
    <w:p w14:paraId="0DD808C3" w14:textId="77777777" w:rsidR="002A612D" w:rsidRPr="002A612D" w:rsidRDefault="002A612D" w:rsidP="002A612D">
      <w:pPr>
        <w:tabs>
          <w:tab w:val="left" w:pos="2265"/>
          <w:tab w:val="left" w:pos="3120"/>
          <w:tab w:val="left" w:pos="2977"/>
        </w:tabs>
        <w:spacing w:after="0" w:line="240" w:lineRule="auto"/>
        <w:ind w:hanging="15"/>
        <w:jc w:val="both"/>
        <w:rPr>
          <w:rFonts w:ascii="Arial" w:eastAsia="Calibri" w:hAnsi="Arial" w:cs="Arial"/>
          <w:color w:val="000000"/>
          <w:kern w:val="0"/>
          <w:lang w:eastAsia="es-PE"/>
          <w14:ligatures w14:val="none"/>
        </w:rPr>
      </w:pPr>
    </w:p>
    <w:p w14:paraId="33D4CBC7" w14:textId="38E6C9F0" w:rsidR="002A612D" w:rsidRPr="002A612D" w:rsidRDefault="002A612D" w:rsidP="002A612D">
      <w:pPr>
        <w:spacing w:after="0" w:line="240" w:lineRule="auto"/>
        <w:jc w:val="both"/>
        <w:rPr>
          <w:rFonts w:ascii="Arial" w:eastAsia="Calibri" w:hAnsi="Arial" w:cs="Arial"/>
          <w:color w:val="000000"/>
          <w:kern w:val="0"/>
          <w:lang w:eastAsia="es-PE"/>
          <w14:ligatures w14:val="none"/>
        </w:rPr>
      </w:pPr>
      <w:bookmarkStart w:id="1" w:name="h.30j0zll" w:colFirst="0" w:colLast="0"/>
      <w:bookmarkEnd w:id="1"/>
      <w:r w:rsidRPr="002A612D">
        <w:rPr>
          <w:rFonts w:ascii="Arial" w:eastAsia="Arial" w:hAnsi="Arial" w:cs="Arial"/>
          <w:color w:val="000000"/>
          <w:kern w:val="0"/>
          <w:lang w:eastAsia="es-PE"/>
          <w14:ligatures w14:val="none"/>
        </w:rPr>
        <w:t xml:space="preserve">Lima, ** de </w:t>
      </w:r>
      <w:r w:rsidR="004B47FB" w:rsidRPr="00D83D94">
        <w:rPr>
          <w:rFonts w:ascii="Arial" w:eastAsia="Arial" w:hAnsi="Arial" w:cs="Arial"/>
          <w:color w:val="000000"/>
          <w:kern w:val="0"/>
          <w:highlight w:val="green"/>
          <w:lang w:eastAsia="es-PE"/>
          <w14:ligatures w14:val="none"/>
        </w:rPr>
        <w:t>agosto</w:t>
      </w:r>
      <w:r w:rsidRPr="002A612D">
        <w:rPr>
          <w:rFonts w:ascii="Arial" w:eastAsia="Arial" w:hAnsi="Arial" w:cs="Arial"/>
          <w:color w:val="000000"/>
          <w:kern w:val="0"/>
          <w:lang w:eastAsia="es-PE"/>
          <w14:ligatures w14:val="none"/>
        </w:rPr>
        <w:t xml:space="preserve"> de </w:t>
      </w:r>
      <w:r w:rsidR="00B84C24" w:rsidRPr="00B84C24">
        <w:rPr>
          <w:rFonts w:ascii="Arial" w:eastAsia="Arial" w:hAnsi="Arial" w:cs="Arial"/>
          <w:color w:val="000000"/>
          <w:kern w:val="0"/>
          <w:highlight w:val="magenta"/>
          <w:lang w:eastAsia="es-PE"/>
          <w14:ligatures w14:val="none"/>
        </w:rPr>
        <w:t>2026</w:t>
      </w:r>
    </w:p>
    <w:p w14:paraId="059A5ED9" w14:textId="77777777" w:rsidR="002A612D" w:rsidRPr="002A612D" w:rsidRDefault="002A612D" w:rsidP="002A612D">
      <w:pPr>
        <w:tabs>
          <w:tab w:val="left" w:pos="851"/>
        </w:tabs>
        <w:spacing w:after="0" w:line="240" w:lineRule="auto"/>
        <w:jc w:val="both"/>
        <w:rPr>
          <w:rFonts w:ascii="Arial" w:eastAsia="Calibri" w:hAnsi="Arial" w:cs="Arial"/>
          <w:color w:val="000000"/>
          <w:kern w:val="0"/>
          <w:lang w:eastAsia="es-PE"/>
          <w14:ligatures w14:val="none"/>
        </w:rPr>
      </w:pPr>
    </w:p>
    <w:p w14:paraId="0E355E3C" w14:textId="77777777" w:rsidR="002A612D" w:rsidRPr="002A612D" w:rsidRDefault="002A612D" w:rsidP="002A612D">
      <w:pPr>
        <w:tabs>
          <w:tab w:val="left" w:pos="851"/>
        </w:tabs>
        <w:spacing w:after="0" w:line="240" w:lineRule="auto"/>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ANTECEDENTES</w:t>
      </w:r>
    </w:p>
    <w:p w14:paraId="306CEE80" w14:textId="77777777" w:rsidR="002A612D" w:rsidRPr="002A612D" w:rsidRDefault="002A612D" w:rsidP="002A612D">
      <w:pPr>
        <w:spacing w:after="0" w:line="240" w:lineRule="auto"/>
        <w:jc w:val="both"/>
        <w:rPr>
          <w:rFonts w:ascii="Arial" w:eastAsia="Calibri" w:hAnsi="Arial" w:cs="Arial"/>
          <w:color w:val="000000"/>
          <w:kern w:val="0"/>
          <w:lang w:eastAsia="es-PE"/>
          <w14:ligatures w14:val="none"/>
        </w:rPr>
      </w:pPr>
    </w:p>
    <w:p w14:paraId="5E068202" w14:textId="1DA59AC4" w:rsidR="002A612D" w:rsidRPr="002A612D" w:rsidRDefault="002A612D" w:rsidP="002A612D">
      <w:pPr>
        <w:numPr>
          <w:ilvl w:val="0"/>
          <w:numId w:val="1"/>
        </w:numPr>
        <w:spacing w:after="200" w:line="240" w:lineRule="auto"/>
        <w:ind w:left="567" w:right="7" w:hanging="567"/>
        <w:contextualSpacing/>
        <w:jc w:val="both"/>
        <w:rPr>
          <w:rFonts w:ascii="Arial" w:eastAsia="Arial" w:hAnsi="Arial" w:cs="Arial"/>
          <w:color w:val="000000"/>
          <w:kern w:val="0"/>
          <w:lang w:eastAsia="es-PE"/>
          <w14:ligatures w14:val="none"/>
        </w:rPr>
      </w:pPr>
      <w:bookmarkStart w:id="2" w:name="_Hlk92882898"/>
      <w:r w:rsidRPr="002A612D">
        <w:rPr>
          <w:rFonts w:ascii="Arial" w:eastAsia="Arial" w:hAnsi="Arial" w:cs="Arial"/>
          <w:color w:val="000000"/>
          <w:kern w:val="0"/>
          <w:lang w:eastAsia="es-PE"/>
          <w14:ligatures w14:val="none"/>
        </w:rPr>
        <w:t xml:space="preserve">Mediante escrito del </w:t>
      </w:r>
      <w:r w:rsidR="007B01C3" w:rsidRPr="007B01C3">
        <w:rPr>
          <w:rFonts w:ascii="Arial" w:eastAsia="Arial" w:hAnsi="Arial" w:cs="Arial"/>
          <w:color w:val="000000"/>
          <w:kern w:val="0"/>
          <w:lang w:eastAsia="es-PE"/>
          <w14:ligatures w14:val="none"/>
        </w:rPr>
        <w:t xml:space="preserve">escrito del </w:t>
      </w:r>
      <w:r w:rsidR="007B01C3" w:rsidRPr="00271C1B">
        <w:rPr>
          <w:rFonts w:ascii="Arial" w:eastAsia="Arial" w:hAnsi="Arial" w:cs="Arial"/>
          <w:color w:val="000000"/>
          <w:kern w:val="0"/>
          <w:highlight w:val="green"/>
          <w:lang w:eastAsia="es-PE"/>
          <w14:ligatures w14:val="none"/>
        </w:rPr>
        <w:t xml:space="preserve">19 de marzo de </w:t>
      </w:r>
      <w:r w:rsidR="007B01C3" w:rsidRPr="007876EB">
        <w:rPr>
          <w:rFonts w:ascii="Arial" w:eastAsia="Arial" w:hAnsi="Arial" w:cs="Arial"/>
          <w:color w:val="000000"/>
          <w:kern w:val="0"/>
          <w:highlight w:val="green"/>
          <w:lang w:eastAsia="es-PE"/>
          <w14:ligatures w14:val="none"/>
        </w:rPr>
        <w:t>2025</w:t>
      </w:r>
      <w:r w:rsidR="00271C1B" w:rsidRPr="007876EB">
        <w:rPr>
          <w:rFonts w:ascii="Arial" w:eastAsia="Times New Roman" w:hAnsi="Arial" w:cs="Arial"/>
          <w:color w:val="000000"/>
          <w:kern w:val="0"/>
          <w:highlight w:val="green"/>
          <w:vertAlign w:val="superscript"/>
          <w:lang w:val="es-ES" w:eastAsia="es-ES"/>
          <w14:ligatures w14:val="none"/>
        </w:rPr>
        <w:footnoteReference w:id="1"/>
      </w:r>
      <w:r w:rsidR="007B01C3" w:rsidRPr="007876EB">
        <w:rPr>
          <w:rFonts w:ascii="Arial" w:eastAsia="Arial" w:hAnsi="Arial" w:cs="Arial"/>
          <w:color w:val="000000"/>
          <w:kern w:val="0"/>
          <w:highlight w:val="green"/>
          <w:lang w:eastAsia="es-PE"/>
          <w14:ligatures w14:val="none"/>
        </w:rPr>
        <w:t>, subsanado</w:t>
      </w:r>
      <w:r w:rsidR="007B01C3" w:rsidRPr="00271C1B">
        <w:rPr>
          <w:rFonts w:ascii="Arial" w:eastAsia="Arial" w:hAnsi="Arial" w:cs="Arial"/>
          <w:color w:val="000000"/>
          <w:kern w:val="0"/>
          <w:highlight w:val="green"/>
          <w:lang w:eastAsia="es-PE"/>
          <w14:ligatures w14:val="none"/>
        </w:rPr>
        <w:t xml:space="preserve"> con el escrito del 15 de abril de 2025</w:t>
      </w:r>
      <w:r w:rsidR="007B01C3" w:rsidRPr="007B01C3">
        <w:rPr>
          <w:rFonts w:ascii="Arial" w:eastAsia="Arial" w:hAnsi="Arial" w:cs="Arial"/>
          <w:color w:val="000000"/>
          <w:kern w:val="0"/>
          <w:lang w:eastAsia="es-PE"/>
          <w14:ligatures w14:val="none"/>
        </w:rPr>
        <w:t xml:space="preserve">, presentado por </w:t>
      </w:r>
      <w:r w:rsidR="007B01C3" w:rsidRPr="00C42245">
        <w:rPr>
          <w:rFonts w:ascii="Arial" w:eastAsia="Arial" w:hAnsi="Arial" w:cs="Arial"/>
          <w:color w:val="000000"/>
          <w:kern w:val="0"/>
          <w:highlight w:val="green"/>
          <w:lang w:eastAsia="es-PE"/>
          <w14:ligatures w14:val="none"/>
        </w:rPr>
        <w:t>el señor Javier Justo Bohórquez Vasquez</w:t>
      </w:r>
      <w:r w:rsidR="007B01C3" w:rsidRPr="007B01C3">
        <w:rPr>
          <w:rFonts w:ascii="Arial" w:eastAsia="Arial" w:hAnsi="Arial" w:cs="Arial"/>
          <w:color w:val="000000"/>
          <w:kern w:val="0"/>
          <w:lang w:eastAsia="es-PE"/>
          <w14:ligatures w14:val="none"/>
        </w:rPr>
        <w:t xml:space="preserve"> en </w:t>
      </w:r>
      <w:r w:rsidR="007B01C3" w:rsidRPr="00C42245">
        <w:rPr>
          <w:rFonts w:ascii="Arial" w:eastAsia="Arial" w:hAnsi="Arial" w:cs="Arial"/>
          <w:color w:val="000000"/>
          <w:kern w:val="0"/>
          <w:highlight w:val="green"/>
          <w:lang w:eastAsia="es-PE"/>
          <w14:ligatures w14:val="none"/>
        </w:rPr>
        <w:t>representación J.B. Comercio</w:t>
      </w:r>
      <w:r w:rsidR="007B01C3" w:rsidRPr="007B01C3">
        <w:rPr>
          <w:rFonts w:ascii="Arial" w:eastAsia="Arial" w:hAnsi="Arial" w:cs="Arial"/>
          <w:color w:val="000000"/>
          <w:kern w:val="0"/>
          <w:lang w:eastAsia="es-PE"/>
          <w14:ligatures w14:val="none"/>
        </w:rPr>
        <w:t xml:space="preserve">, denunció a </w:t>
      </w:r>
      <w:r w:rsidR="007B01C3" w:rsidRPr="00C42245">
        <w:rPr>
          <w:rFonts w:ascii="Arial" w:eastAsia="Arial" w:hAnsi="Arial" w:cs="Arial"/>
          <w:color w:val="000000"/>
          <w:kern w:val="0"/>
          <w:highlight w:val="green"/>
          <w:lang w:eastAsia="es-PE"/>
          <w14:ligatures w14:val="none"/>
        </w:rPr>
        <w:t>Qualitas</w:t>
      </w:r>
      <w:r w:rsidR="007B01C3" w:rsidRPr="007B01C3">
        <w:rPr>
          <w:rFonts w:ascii="Arial" w:eastAsia="Arial" w:hAnsi="Arial" w:cs="Arial"/>
          <w:color w:val="000000"/>
          <w:kern w:val="0"/>
          <w:lang w:eastAsia="es-PE"/>
          <w14:ligatures w14:val="none"/>
        </w:rPr>
        <w:t xml:space="preserve"> </w:t>
      </w:r>
      <w:r w:rsidRPr="002A612D">
        <w:rPr>
          <w:rFonts w:ascii="Arial" w:eastAsia="Arial" w:hAnsi="Arial" w:cs="Arial"/>
          <w:color w:val="000000"/>
          <w:kern w:val="0"/>
          <w:lang w:eastAsia="es-PE"/>
          <w14:ligatures w14:val="none"/>
        </w:rPr>
        <w:t>por presuntas infracciones a la Ley N° 29571, Código de Protección y Defensa del Consumidor (en adelante, Código), señalando que:</w:t>
      </w:r>
      <w:bookmarkEnd w:id="2"/>
    </w:p>
    <w:p w14:paraId="3AB67AF1" w14:textId="77777777" w:rsidR="002A612D" w:rsidRPr="002A612D" w:rsidRDefault="002A612D" w:rsidP="002A612D">
      <w:pPr>
        <w:spacing w:after="0" w:line="240" w:lineRule="auto"/>
        <w:ind w:left="567" w:right="7"/>
        <w:jc w:val="both"/>
        <w:rPr>
          <w:rFonts w:ascii="Arial" w:eastAsia="Arial" w:hAnsi="Arial" w:cs="Arial"/>
          <w:color w:val="000000"/>
          <w:kern w:val="0"/>
          <w:lang w:eastAsia="es-PE"/>
          <w14:ligatures w14:val="none"/>
        </w:rPr>
      </w:pPr>
    </w:p>
    <w:p w14:paraId="59FDD307" w14:textId="77777777" w:rsidR="007B01C3" w:rsidRPr="00C42245" w:rsidRDefault="007B01C3" w:rsidP="007B01C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highlight w:val="green"/>
          <w:lang w:eastAsia="es-PE"/>
          <w14:ligatures w14:val="none"/>
        </w:rPr>
      </w:pPr>
      <w:r w:rsidRPr="00C42245">
        <w:rPr>
          <w:rFonts w:ascii="Arial" w:eastAsia="Arial Narrow" w:hAnsi="Arial" w:cs="Arial"/>
          <w:color w:val="000000"/>
          <w:kern w:val="0"/>
          <w:highlight w:val="green"/>
          <w:lang w:eastAsia="es-PE"/>
          <w14:ligatures w14:val="none"/>
        </w:rPr>
        <w:t>El 11 de setiembre del 2024, adquirió la póliza de seguro vehicular N° 0080016745, vinculado al vehículo de marca HYUNDAI, con placa de rodaje N° AVN199 (en adelante, el Vehículo), con Qualitas.</w:t>
      </w:r>
    </w:p>
    <w:p w14:paraId="10414CEB" w14:textId="77777777" w:rsidR="007B01C3" w:rsidRPr="00C42245" w:rsidRDefault="007B01C3" w:rsidP="007B01C3">
      <w:pPr>
        <w:pStyle w:val="Prrafodelista"/>
        <w:pBdr>
          <w:top w:val="nil"/>
          <w:left w:val="nil"/>
          <w:bottom w:val="nil"/>
          <w:right w:val="nil"/>
          <w:between w:val="nil"/>
        </w:pBdr>
        <w:spacing w:after="0" w:line="240" w:lineRule="auto"/>
        <w:ind w:left="1134"/>
        <w:jc w:val="both"/>
        <w:rPr>
          <w:rFonts w:ascii="Arial" w:eastAsia="Arial Narrow" w:hAnsi="Arial" w:cs="Arial"/>
          <w:color w:val="000000"/>
          <w:kern w:val="0"/>
          <w:highlight w:val="green"/>
          <w:lang w:eastAsia="es-PE"/>
          <w14:ligatures w14:val="none"/>
        </w:rPr>
      </w:pPr>
    </w:p>
    <w:p w14:paraId="45C8D7F6" w14:textId="4A3E8450" w:rsidR="007B01C3" w:rsidRPr="00C42245" w:rsidRDefault="007B01C3" w:rsidP="007B01C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highlight w:val="green"/>
          <w:lang w:eastAsia="es-PE"/>
          <w14:ligatures w14:val="none"/>
        </w:rPr>
      </w:pPr>
      <w:r w:rsidRPr="00C42245">
        <w:rPr>
          <w:rFonts w:ascii="Arial" w:eastAsia="Arial Narrow" w:hAnsi="Arial" w:cs="Arial"/>
          <w:color w:val="000000"/>
          <w:kern w:val="0"/>
          <w:highlight w:val="green"/>
          <w:lang w:eastAsia="es-PE"/>
          <w14:ligatures w14:val="none"/>
        </w:rPr>
        <w:t>El 26 de octubre del 2024, sufrió un accidente automovilístico, en la Vía Expresa (Luis Fernando Bedoya Reyes), altura de la Estación Canadá (en adelante Siniestro) y por el cuál presentó la denuncia con Numero de Orden: 30818971, ante la Comisaría PNP de La Victoria.</w:t>
      </w:r>
    </w:p>
    <w:p w14:paraId="13F85545" w14:textId="77777777" w:rsidR="007B01C3" w:rsidRPr="00C42245" w:rsidRDefault="007B01C3" w:rsidP="007B01C3">
      <w:pPr>
        <w:pBdr>
          <w:top w:val="nil"/>
          <w:left w:val="nil"/>
          <w:bottom w:val="nil"/>
          <w:right w:val="nil"/>
          <w:between w:val="nil"/>
        </w:pBdr>
        <w:spacing w:after="0" w:line="240" w:lineRule="auto"/>
        <w:jc w:val="both"/>
        <w:rPr>
          <w:rFonts w:ascii="Arial" w:eastAsia="Arial Narrow" w:hAnsi="Arial" w:cs="Arial"/>
          <w:color w:val="000000"/>
          <w:kern w:val="0"/>
          <w:highlight w:val="green"/>
          <w:lang w:eastAsia="es-PE"/>
          <w14:ligatures w14:val="none"/>
        </w:rPr>
      </w:pPr>
    </w:p>
    <w:p w14:paraId="6B978640" w14:textId="45E6E4C3" w:rsidR="007B01C3" w:rsidRPr="00C42245" w:rsidRDefault="007B01C3" w:rsidP="007B01C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highlight w:val="green"/>
          <w:lang w:eastAsia="es-PE"/>
          <w14:ligatures w14:val="none"/>
        </w:rPr>
      </w:pPr>
      <w:r w:rsidRPr="00C42245">
        <w:rPr>
          <w:rFonts w:ascii="Arial" w:eastAsia="Arial Narrow" w:hAnsi="Arial" w:cs="Arial"/>
          <w:color w:val="000000"/>
          <w:kern w:val="0"/>
          <w:highlight w:val="green"/>
          <w:lang w:eastAsia="es-PE"/>
          <w14:ligatures w14:val="none"/>
        </w:rPr>
        <w:t>El 28 de octubre de 2024, la División de Prevención e Investigación de Accidentes de Tránsito Unidad de Peritajes, emitió el peritaje técnico de constatación de daños e inspección de sistemas N° 12762. El mismo día, la Concesionaria Hyundai Sport Wagen, emitió la Orden de Trabajo N° 72551 señalando los daños que presentó el vehículo producto del Siniestro.</w:t>
      </w:r>
    </w:p>
    <w:p w14:paraId="2C4B37CC" w14:textId="77777777" w:rsidR="007B01C3" w:rsidRPr="00C42245" w:rsidRDefault="007B01C3" w:rsidP="007B01C3">
      <w:pPr>
        <w:pBdr>
          <w:top w:val="nil"/>
          <w:left w:val="nil"/>
          <w:bottom w:val="nil"/>
          <w:right w:val="nil"/>
          <w:between w:val="nil"/>
        </w:pBdr>
        <w:spacing w:after="0" w:line="240" w:lineRule="auto"/>
        <w:jc w:val="both"/>
        <w:rPr>
          <w:rFonts w:ascii="Arial" w:eastAsia="Arial Narrow" w:hAnsi="Arial" w:cs="Arial"/>
          <w:color w:val="000000"/>
          <w:kern w:val="0"/>
          <w:highlight w:val="green"/>
          <w:lang w:eastAsia="es-PE"/>
          <w14:ligatures w14:val="none"/>
        </w:rPr>
      </w:pPr>
    </w:p>
    <w:p w14:paraId="534E5B3A" w14:textId="56AEC370" w:rsidR="009A5D23" w:rsidRPr="00C42245" w:rsidRDefault="007B01C3" w:rsidP="007B01C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highlight w:val="green"/>
          <w:lang w:eastAsia="es-PE"/>
          <w14:ligatures w14:val="none"/>
        </w:rPr>
      </w:pPr>
      <w:r w:rsidRPr="00C42245">
        <w:rPr>
          <w:rFonts w:ascii="Arial" w:eastAsia="Arial Narrow" w:hAnsi="Arial" w:cs="Arial"/>
          <w:color w:val="000000"/>
          <w:kern w:val="0"/>
          <w:highlight w:val="green"/>
          <w:lang w:eastAsia="es-PE"/>
          <w14:ligatures w14:val="none"/>
        </w:rPr>
        <w:t>Posteriormente, Qualitas manifiesta en un documento interno que se le envió sin número y sin fecha, en el que no aceptan la revisión del sunroof y cielo raso del Vehículo, señalando que no es un daño producto del Siniestro. Al respecto, el denunciante señala que en ningún momento de la relación contractual Qualitas le ha comunicado que existen partes del vehículo que no comprenda la activación de la cobertura contratada.</w:t>
      </w:r>
    </w:p>
    <w:p w14:paraId="000E9A37" w14:textId="77777777" w:rsidR="009A5D23" w:rsidRPr="00A05235" w:rsidRDefault="009A5D23" w:rsidP="009A5D23">
      <w:pPr>
        <w:pBdr>
          <w:top w:val="nil"/>
          <w:left w:val="nil"/>
          <w:bottom w:val="nil"/>
          <w:right w:val="nil"/>
          <w:between w:val="nil"/>
        </w:pBdr>
        <w:spacing w:after="0" w:line="276" w:lineRule="auto"/>
        <w:jc w:val="both"/>
        <w:rPr>
          <w:rFonts w:ascii="Arial" w:eastAsia="Arial Narrow" w:hAnsi="Arial" w:cs="Arial"/>
          <w:color w:val="000000"/>
          <w:kern w:val="0"/>
          <w:lang w:eastAsia="es-PE"/>
          <w14:ligatures w14:val="none"/>
        </w:rPr>
      </w:pPr>
    </w:p>
    <w:p w14:paraId="4B3ED0CC" w14:textId="7E572C29" w:rsidR="002A612D" w:rsidRPr="00A05235" w:rsidRDefault="00A05235" w:rsidP="002A612D">
      <w:pPr>
        <w:numPr>
          <w:ilvl w:val="0"/>
          <w:numId w:val="1"/>
        </w:numPr>
        <w:spacing w:after="0" w:line="240" w:lineRule="auto"/>
        <w:ind w:left="567" w:hanging="567"/>
        <w:contextualSpacing/>
        <w:jc w:val="both"/>
        <w:textAlignment w:val="baseline"/>
        <w:rPr>
          <w:rFonts w:ascii="Arial" w:eastAsia="Arial" w:hAnsi="Arial" w:cs="Arial"/>
          <w:kern w:val="0"/>
          <w:lang w:eastAsia="es-PE"/>
          <w14:ligatures w14:val="none"/>
        </w:rPr>
      </w:pPr>
      <w:r w:rsidRPr="00C42245">
        <w:rPr>
          <w:rFonts w:ascii="Arial" w:eastAsia="Arial" w:hAnsi="Arial" w:cs="Arial"/>
          <w:color w:val="000000"/>
          <w:kern w:val="0"/>
          <w:highlight w:val="green"/>
          <w:shd w:val="clear" w:color="auto" w:fill="FFFFFF"/>
          <w:lang w:val="es-ES" w:eastAsia="es-PE"/>
          <w14:ligatures w14:val="none"/>
        </w:rPr>
        <w:lastRenderedPageBreak/>
        <w:t>J.B. Comercio</w:t>
      </w:r>
      <w:r w:rsidRPr="00A05235">
        <w:rPr>
          <w:rFonts w:ascii="Arial" w:eastAsia="Arial" w:hAnsi="Arial" w:cs="Arial"/>
          <w:color w:val="000000"/>
          <w:kern w:val="0"/>
          <w:shd w:val="clear" w:color="auto" w:fill="FFFFFF"/>
          <w:lang w:val="es-ES" w:eastAsia="es-PE"/>
          <w14:ligatures w14:val="none"/>
        </w:rPr>
        <w:t xml:space="preserve"> solicitó, en calidad de medida correctiva, que </w:t>
      </w:r>
      <w:r w:rsidRPr="00C42245">
        <w:rPr>
          <w:rFonts w:ascii="Arial" w:eastAsia="Arial" w:hAnsi="Arial" w:cs="Arial"/>
          <w:color w:val="000000"/>
          <w:kern w:val="0"/>
          <w:highlight w:val="green"/>
          <w:shd w:val="clear" w:color="auto" w:fill="FFFFFF"/>
          <w:lang w:val="es-ES" w:eastAsia="es-PE"/>
          <w14:ligatures w14:val="none"/>
        </w:rPr>
        <w:t>Qualitas</w:t>
      </w:r>
      <w:r w:rsidRPr="00A05235">
        <w:rPr>
          <w:rFonts w:ascii="Arial" w:eastAsia="Arial" w:hAnsi="Arial" w:cs="Arial"/>
          <w:color w:val="000000"/>
          <w:kern w:val="0"/>
          <w:shd w:val="clear" w:color="auto" w:fill="FFFFFF"/>
          <w:lang w:val="es-ES" w:eastAsia="es-PE"/>
          <w14:ligatures w14:val="none"/>
        </w:rPr>
        <w:t xml:space="preserve"> </w:t>
      </w:r>
      <w:r w:rsidRPr="00C42245">
        <w:rPr>
          <w:rFonts w:ascii="Arial" w:eastAsia="Arial" w:hAnsi="Arial" w:cs="Arial"/>
          <w:color w:val="000000"/>
          <w:kern w:val="0"/>
          <w:highlight w:val="green"/>
          <w:shd w:val="clear" w:color="auto" w:fill="FFFFFF"/>
          <w:lang w:val="es-ES" w:eastAsia="es-PE"/>
          <w14:ligatures w14:val="none"/>
        </w:rPr>
        <w:t>cumpla con la reparación o cambio del accesorio sunroof del Vehículo</w:t>
      </w:r>
      <w:r w:rsidR="002A612D" w:rsidRPr="00A05235">
        <w:rPr>
          <w:rFonts w:ascii="Arial" w:eastAsia="Arial" w:hAnsi="Arial" w:cs="Arial"/>
          <w:kern w:val="0"/>
          <w:lang w:eastAsia="es-PE"/>
          <w14:ligatures w14:val="none"/>
        </w:rPr>
        <w:t xml:space="preserve">. </w:t>
      </w:r>
      <w:r w:rsidR="002A612D" w:rsidRPr="00C42245">
        <w:rPr>
          <w:rFonts w:ascii="Arial" w:eastAsia="Arial" w:hAnsi="Arial" w:cs="Arial"/>
          <w:kern w:val="0"/>
          <w:highlight w:val="green"/>
          <w:lang w:eastAsia="es-PE"/>
          <w14:ligatures w14:val="none"/>
        </w:rPr>
        <w:t xml:space="preserve">Asimismo, </w:t>
      </w:r>
      <w:r w:rsidR="009A5D23" w:rsidRPr="00C42245">
        <w:rPr>
          <w:rFonts w:ascii="Arial" w:eastAsia="Arial" w:hAnsi="Arial" w:cs="Arial"/>
          <w:kern w:val="0"/>
          <w:highlight w:val="green"/>
          <w:lang w:eastAsia="es-PE"/>
          <w14:ligatures w14:val="none"/>
        </w:rPr>
        <w:t xml:space="preserve">el denunciante no </w:t>
      </w:r>
      <w:r w:rsidR="002A612D" w:rsidRPr="00C42245">
        <w:rPr>
          <w:rFonts w:ascii="Arial" w:eastAsia="Arial" w:hAnsi="Arial" w:cs="Arial"/>
          <w:kern w:val="0"/>
          <w:highlight w:val="green"/>
          <w:lang w:eastAsia="es-PE"/>
          <w14:ligatures w14:val="none"/>
        </w:rPr>
        <w:t>requirió el reembolso de las costas y costos del procedimiento.</w:t>
      </w:r>
      <w:r w:rsidR="002A612D" w:rsidRPr="00A05235">
        <w:rPr>
          <w:rFonts w:ascii="Arial" w:eastAsia="Arial" w:hAnsi="Arial" w:cs="Arial"/>
          <w:kern w:val="0"/>
          <w:lang w:eastAsia="es-PE"/>
          <w14:ligatures w14:val="none"/>
        </w:rPr>
        <w:t xml:space="preserve">   </w:t>
      </w:r>
    </w:p>
    <w:p w14:paraId="43DD1161" w14:textId="77777777" w:rsidR="002A612D" w:rsidRPr="002A612D" w:rsidRDefault="002A612D" w:rsidP="002A612D">
      <w:pPr>
        <w:spacing w:after="0" w:line="240" w:lineRule="auto"/>
        <w:ind w:left="567"/>
        <w:contextualSpacing/>
        <w:jc w:val="both"/>
        <w:textAlignment w:val="baseline"/>
        <w:rPr>
          <w:rFonts w:ascii="Arial" w:eastAsia="Arial Narrow" w:hAnsi="Arial" w:cs="Arial"/>
          <w:color w:val="000000"/>
          <w:kern w:val="0"/>
          <w:lang w:val="es-ES" w:eastAsia="es-PE"/>
          <w14:ligatures w14:val="none"/>
        </w:rPr>
      </w:pPr>
    </w:p>
    <w:p w14:paraId="12F0939A" w14:textId="38274683" w:rsidR="002A612D" w:rsidRPr="002A612D" w:rsidRDefault="002A612D" w:rsidP="002A612D">
      <w:pPr>
        <w:numPr>
          <w:ilvl w:val="0"/>
          <w:numId w:val="1"/>
        </w:numPr>
        <w:spacing w:after="0" w:line="240" w:lineRule="auto"/>
        <w:ind w:left="567" w:hanging="567"/>
        <w:contextualSpacing/>
        <w:jc w:val="both"/>
        <w:textAlignment w:val="baseline"/>
        <w:rPr>
          <w:rFonts w:ascii="Arial" w:eastAsia="Arial Narrow" w:hAnsi="Arial" w:cs="Arial"/>
          <w:color w:val="000000"/>
          <w:kern w:val="0"/>
          <w:lang w:val="es-ES" w:eastAsia="es-PE"/>
          <w14:ligatures w14:val="none"/>
        </w:rPr>
      </w:pPr>
      <w:r w:rsidRPr="002A612D">
        <w:rPr>
          <w:rFonts w:ascii="Arial" w:eastAsia="Arial" w:hAnsi="Arial" w:cs="Arial"/>
          <w:color w:val="000000"/>
          <w:kern w:val="0"/>
          <w:shd w:val="clear" w:color="auto" w:fill="FFFFFF"/>
          <w:lang w:val="es-ES" w:eastAsia="es-PE"/>
          <w14:ligatures w14:val="none"/>
        </w:rPr>
        <w:t xml:space="preserve">Mediante </w:t>
      </w:r>
      <w:r w:rsidRPr="00A05235">
        <w:rPr>
          <w:rFonts w:ascii="Arial" w:eastAsia="Arial" w:hAnsi="Arial" w:cs="Arial"/>
          <w:color w:val="000000"/>
          <w:kern w:val="0"/>
          <w:shd w:val="clear" w:color="auto" w:fill="FFFFFF"/>
          <w:lang w:eastAsia="es-PE"/>
          <w14:ligatures w14:val="none"/>
        </w:rPr>
        <w:t xml:space="preserve">Resolución </w:t>
      </w:r>
      <w:r w:rsidRPr="00C70073">
        <w:rPr>
          <w:rFonts w:ascii="Arial" w:eastAsia="Arial" w:hAnsi="Arial" w:cs="Arial"/>
          <w:color w:val="000000"/>
          <w:kern w:val="0"/>
          <w:highlight w:val="green"/>
          <w:shd w:val="clear" w:color="auto" w:fill="FFFFFF"/>
          <w:lang w:eastAsia="es-PE"/>
          <w14:ligatures w14:val="none"/>
        </w:rPr>
        <w:t>N° 1</w:t>
      </w:r>
      <w:r w:rsidRPr="00A05235">
        <w:rPr>
          <w:rFonts w:ascii="Arial" w:eastAsia="Arial" w:hAnsi="Arial" w:cs="Arial"/>
          <w:color w:val="000000"/>
          <w:kern w:val="0"/>
          <w:shd w:val="clear" w:color="auto" w:fill="FFFFFF"/>
          <w:lang w:eastAsia="es-PE"/>
          <w14:ligatures w14:val="none"/>
        </w:rPr>
        <w:t xml:space="preserve"> del </w:t>
      </w:r>
      <w:r w:rsidR="00A05235" w:rsidRPr="00C70073">
        <w:rPr>
          <w:rFonts w:ascii="Arial" w:eastAsia="Arial" w:hAnsi="Arial" w:cs="Arial"/>
          <w:color w:val="000000"/>
          <w:kern w:val="0"/>
          <w:highlight w:val="green"/>
          <w:shd w:val="clear" w:color="auto" w:fill="FFFFFF"/>
          <w:lang w:eastAsia="es-PE"/>
          <w14:ligatures w14:val="none"/>
        </w:rPr>
        <w:t>11 de abril de 2025</w:t>
      </w:r>
      <w:r w:rsidRPr="00A05235">
        <w:rPr>
          <w:rFonts w:ascii="Arial" w:eastAsia="Arial" w:hAnsi="Arial" w:cs="Arial"/>
          <w:color w:val="000000"/>
          <w:kern w:val="0"/>
          <w:shd w:val="clear" w:color="auto" w:fill="FFFFFF"/>
          <w:lang w:eastAsia="es-PE"/>
          <w14:ligatures w14:val="none"/>
        </w:rPr>
        <w:t xml:space="preserve">, la Secretaría Técnica de la Comisión de Protección al Consumidor N° 1 (en adelante, Secretaría Técnica), requirió a la empresa denunciante, </w:t>
      </w:r>
      <w:commentRangeStart w:id="3"/>
      <w:r w:rsidRPr="00A05235">
        <w:rPr>
          <w:rFonts w:ascii="Arial" w:eastAsia="Arial" w:hAnsi="Arial" w:cs="Arial"/>
          <w:color w:val="000000"/>
          <w:kern w:val="0"/>
          <w:shd w:val="clear" w:color="auto" w:fill="FFFFFF"/>
          <w:lang w:eastAsia="es-PE"/>
          <w14:ligatures w14:val="none"/>
        </w:rPr>
        <w:t>entre</w:t>
      </w:r>
      <w:r w:rsidRPr="002A612D">
        <w:rPr>
          <w:rFonts w:ascii="Arial" w:eastAsia="Arial" w:hAnsi="Arial" w:cs="Arial"/>
          <w:color w:val="000000"/>
          <w:kern w:val="0"/>
          <w:shd w:val="clear" w:color="auto" w:fill="FFFFFF"/>
          <w:lang w:eastAsia="es-PE"/>
          <w14:ligatures w14:val="none"/>
        </w:rPr>
        <w:t xml:space="preserve"> otros</w:t>
      </w:r>
      <w:commentRangeEnd w:id="3"/>
      <w:r w:rsidR="009B0B29" w:rsidRPr="002A612D">
        <w:rPr>
          <w:rStyle w:val="Refdecomentario"/>
          <w:rFonts w:ascii="Arial" w:eastAsia="Arial" w:hAnsi="Arial" w:cs="Arial"/>
          <w:color w:val="000000"/>
          <w:kern w:val="0"/>
          <w:sz w:val="22"/>
          <w:szCs w:val="22"/>
          <w:shd w:val="clear" w:color="auto" w:fill="FFFFFF"/>
          <w:lang w:eastAsia="es-PE"/>
          <w14:ligatures w14:val="none"/>
        </w:rPr>
        <w:commentReference w:id="3"/>
      </w:r>
      <w:r w:rsidRPr="002A612D">
        <w:rPr>
          <w:rFonts w:ascii="Arial" w:eastAsia="Arial" w:hAnsi="Arial" w:cs="Arial"/>
          <w:color w:val="000000"/>
          <w:kern w:val="0"/>
          <w:shd w:val="clear" w:color="auto" w:fill="FFFFFF"/>
          <w:lang w:eastAsia="es-PE"/>
          <w14:ligatures w14:val="none"/>
        </w:rPr>
        <w:t>, que cumpla con presentar</w:t>
      </w:r>
      <w:r w:rsidRPr="00D1170E">
        <w:rPr>
          <w:rFonts w:ascii="Arial" w:eastAsia="Arial" w:hAnsi="Arial" w:cs="Arial"/>
          <w:color w:val="000000"/>
          <w:kern w:val="0"/>
          <w:highlight w:val="green"/>
          <w:shd w:val="clear" w:color="auto" w:fill="FFFFFF"/>
          <w:lang w:eastAsia="es-PE"/>
          <w14:ligatures w14:val="none"/>
        </w:rPr>
        <w:t xml:space="preserve">: (i) las </w:t>
      </w:r>
      <w:r w:rsidR="00AA6F9A" w:rsidRPr="00D1170E">
        <w:rPr>
          <w:rFonts w:ascii="Arial" w:eastAsia="Arial" w:hAnsi="Arial" w:cs="Arial"/>
          <w:color w:val="000000"/>
          <w:kern w:val="0"/>
          <w:highlight w:val="green"/>
          <w:shd w:val="clear" w:color="auto" w:fill="FFFFFF"/>
          <w:lang w:eastAsia="es-PE"/>
          <w14:ligatures w14:val="none"/>
        </w:rPr>
        <w:t xml:space="preserve">declaraciones juradas mensuales (PDT-IGV Renta mensual) del Impuesto General a las Ventas (IGV) e Impuesto a la Renta (IR) en el cual consten los ingresos netos mensuales del ejercicio correspondiente al </w:t>
      </w:r>
      <w:r w:rsidR="00AA6F9A" w:rsidRPr="00271629">
        <w:rPr>
          <w:rFonts w:ascii="Arial" w:eastAsia="Arial" w:hAnsi="Arial" w:cs="Arial"/>
          <w:color w:val="000000"/>
          <w:kern w:val="0"/>
          <w:highlight w:val="magenta"/>
          <w:shd w:val="clear" w:color="auto" w:fill="FFFFFF"/>
          <w:lang w:eastAsia="es-PE"/>
          <w14:ligatures w14:val="none"/>
        </w:rPr>
        <w:t xml:space="preserve">2024 </w:t>
      </w:r>
      <w:r w:rsidR="00AA6F9A" w:rsidRPr="00D1170E">
        <w:rPr>
          <w:rFonts w:ascii="Arial" w:eastAsia="Arial" w:hAnsi="Arial" w:cs="Arial"/>
          <w:color w:val="000000"/>
          <w:kern w:val="0"/>
          <w:highlight w:val="green"/>
          <w:shd w:val="clear" w:color="auto" w:fill="FFFFFF"/>
          <w:lang w:eastAsia="es-PE"/>
          <w14:ligatures w14:val="none"/>
        </w:rPr>
        <w:t xml:space="preserve">(año anterior a la interposición de la denuncia), toda vez que el titular de la Póliza N° </w:t>
      </w:r>
      <w:r w:rsidR="00AA6F9A" w:rsidRPr="00D1170E">
        <w:rPr>
          <w:rFonts w:ascii="Arial" w:eastAsia="Arial" w:hAnsi="Arial" w:cs="Arial"/>
          <w:color w:val="000000"/>
          <w:kern w:val="0"/>
          <w:highlight w:val="red"/>
          <w:shd w:val="clear" w:color="auto" w:fill="FFFFFF"/>
          <w:lang w:eastAsia="es-PE"/>
          <w14:ligatures w14:val="none"/>
        </w:rPr>
        <w:t>0080016745</w:t>
      </w:r>
      <w:r w:rsidR="00AA6F9A" w:rsidRPr="00AA6F9A">
        <w:rPr>
          <w:rFonts w:ascii="Arial" w:eastAsia="Arial" w:hAnsi="Arial" w:cs="Arial"/>
          <w:color w:val="000000"/>
          <w:kern w:val="0"/>
          <w:shd w:val="clear" w:color="auto" w:fill="FFFFFF"/>
          <w:lang w:eastAsia="es-PE"/>
          <w14:ligatures w14:val="none"/>
        </w:rPr>
        <w:t xml:space="preserve"> del </w:t>
      </w:r>
      <w:r w:rsidR="00AA6F9A" w:rsidRPr="00D1170E">
        <w:rPr>
          <w:rFonts w:ascii="Arial" w:eastAsia="Arial" w:hAnsi="Arial" w:cs="Arial"/>
          <w:color w:val="000000"/>
          <w:kern w:val="0"/>
          <w:highlight w:val="red"/>
          <w:shd w:val="clear" w:color="auto" w:fill="FFFFFF"/>
          <w:lang w:eastAsia="es-PE"/>
          <w14:ligatures w14:val="none"/>
        </w:rPr>
        <w:t>Seguro Vehicular</w:t>
      </w:r>
      <w:r w:rsidR="00AA6F9A" w:rsidRPr="00AA6F9A">
        <w:rPr>
          <w:rFonts w:ascii="Arial" w:eastAsia="Arial" w:hAnsi="Arial" w:cs="Arial"/>
          <w:color w:val="000000"/>
          <w:kern w:val="0"/>
          <w:shd w:val="clear" w:color="auto" w:fill="FFFFFF"/>
          <w:lang w:eastAsia="es-PE"/>
          <w14:ligatures w14:val="none"/>
        </w:rPr>
        <w:t xml:space="preserve"> es una persona jurídica</w:t>
      </w:r>
      <w:r w:rsidRPr="00AA6F9A">
        <w:rPr>
          <w:rFonts w:ascii="Arial" w:eastAsia="Arial" w:hAnsi="Arial" w:cs="Arial"/>
          <w:color w:val="000000"/>
          <w:kern w:val="0"/>
          <w:shd w:val="clear" w:color="auto" w:fill="FFFFFF"/>
          <w:lang w:eastAsia="es-PE"/>
          <w14:ligatures w14:val="none"/>
        </w:rPr>
        <w:t>.</w:t>
      </w:r>
      <w:r w:rsidRPr="002A612D">
        <w:rPr>
          <w:rFonts w:ascii="Arial" w:eastAsia="Arial" w:hAnsi="Arial" w:cs="Arial"/>
          <w:color w:val="000000"/>
          <w:kern w:val="0"/>
          <w:shd w:val="clear" w:color="auto" w:fill="FFFFFF"/>
          <w:lang w:eastAsia="es-PE"/>
          <w14:ligatures w14:val="none"/>
        </w:rPr>
        <w:t> </w:t>
      </w:r>
    </w:p>
    <w:p w14:paraId="325B3ADC" w14:textId="77777777" w:rsidR="002A612D" w:rsidRPr="002A612D" w:rsidRDefault="002A612D" w:rsidP="002A612D">
      <w:pPr>
        <w:spacing w:after="0" w:line="240" w:lineRule="auto"/>
        <w:ind w:left="567"/>
        <w:contextualSpacing/>
        <w:jc w:val="both"/>
        <w:textAlignment w:val="baseline"/>
        <w:rPr>
          <w:rFonts w:ascii="Arial" w:eastAsia="Arial Narrow" w:hAnsi="Arial" w:cs="Arial"/>
          <w:color w:val="000000"/>
          <w:kern w:val="0"/>
          <w:lang w:val="es-ES" w:eastAsia="es-PE"/>
          <w14:ligatures w14:val="none"/>
        </w:rPr>
      </w:pPr>
    </w:p>
    <w:p w14:paraId="70EDE16F" w14:textId="79CE264C" w:rsidR="002A612D" w:rsidRPr="002A612D" w:rsidRDefault="002A612D" w:rsidP="002A612D">
      <w:pPr>
        <w:numPr>
          <w:ilvl w:val="0"/>
          <w:numId w:val="1"/>
        </w:numPr>
        <w:spacing w:after="0" w:line="240" w:lineRule="auto"/>
        <w:ind w:left="567" w:hanging="567"/>
        <w:contextualSpacing/>
        <w:jc w:val="both"/>
        <w:textAlignment w:val="baseline"/>
        <w:rPr>
          <w:rFonts w:ascii="Arial" w:eastAsia="Arial Narrow" w:hAnsi="Arial" w:cs="Arial"/>
          <w:color w:val="000000"/>
          <w:kern w:val="0"/>
          <w:lang w:val="es-ES" w:eastAsia="es-PE"/>
          <w14:ligatures w14:val="none"/>
        </w:rPr>
      </w:pPr>
      <w:r w:rsidRPr="002A612D">
        <w:rPr>
          <w:rFonts w:ascii="Arial" w:eastAsia="Arial" w:hAnsi="Arial" w:cs="Arial"/>
          <w:color w:val="000000"/>
          <w:kern w:val="0"/>
          <w:lang w:eastAsia="es-PE"/>
          <w14:ligatures w14:val="none"/>
        </w:rPr>
        <w:t xml:space="preserve">Por </w:t>
      </w:r>
      <w:r w:rsidRPr="001E6D4C">
        <w:rPr>
          <w:rFonts w:ascii="Arial" w:eastAsia="Arial" w:hAnsi="Arial" w:cs="Arial"/>
          <w:color w:val="000000"/>
          <w:kern w:val="0"/>
          <w:lang w:eastAsia="es-PE"/>
          <w14:ligatures w14:val="none"/>
        </w:rPr>
        <w:t xml:space="preserve">escrito del </w:t>
      </w:r>
      <w:r w:rsidR="008727CA" w:rsidRPr="001E6D4C">
        <w:rPr>
          <w:rFonts w:ascii="Arial" w:hAnsi="Arial" w:cs="Arial"/>
          <w:highlight w:val="green"/>
        </w:rPr>
        <w:t>15 de abril de 2025</w:t>
      </w:r>
      <w:r w:rsidRPr="001E6D4C">
        <w:rPr>
          <w:rFonts w:ascii="Arial" w:eastAsia="Arial" w:hAnsi="Arial" w:cs="Arial"/>
          <w:kern w:val="0"/>
          <w:shd w:val="clear" w:color="auto" w:fill="FFFFFF"/>
          <w:lang w:eastAsia="es-PE"/>
          <w14:ligatures w14:val="none"/>
        </w:rPr>
        <w:t xml:space="preserve">, </w:t>
      </w:r>
      <w:r w:rsidR="00025D1B" w:rsidRPr="001E6D4C">
        <w:rPr>
          <w:rFonts w:ascii="Arial" w:eastAsia="Arial" w:hAnsi="Arial" w:cs="Arial"/>
          <w:color w:val="000000"/>
          <w:kern w:val="0"/>
          <w:highlight w:val="green"/>
          <w:lang w:eastAsia="es-PE"/>
          <w14:ligatures w14:val="none"/>
        </w:rPr>
        <w:t xml:space="preserve">el </w:t>
      </w:r>
      <w:r w:rsidR="008727CA" w:rsidRPr="001E6D4C">
        <w:rPr>
          <w:rFonts w:ascii="Arial" w:eastAsia="Arial" w:hAnsi="Arial" w:cs="Arial"/>
          <w:color w:val="000000"/>
          <w:kern w:val="0"/>
          <w:highlight w:val="green"/>
          <w:lang w:eastAsia="es-PE"/>
          <w14:ligatures w14:val="none"/>
        </w:rPr>
        <w:t>J.B. Comercio</w:t>
      </w:r>
      <w:r w:rsidR="008727CA" w:rsidRPr="001E6D4C">
        <w:rPr>
          <w:rFonts w:ascii="Arial" w:eastAsia="Arial" w:hAnsi="Arial" w:cs="Arial"/>
          <w:color w:val="000000"/>
          <w:kern w:val="0"/>
          <w:lang w:eastAsia="es-PE"/>
          <w14:ligatures w14:val="none"/>
        </w:rPr>
        <w:t xml:space="preserve"> </w:t>
      </w:r>
      <w:r w:rsidRPr="001E6D4C">
        <w:rPr>
          <w:rFonts w:ascii="Arial" w:eastAsia="Arial" w:hAnsi="Arial" w:cs="Arial"/>
          <w:kern w:val="0"/>
          <w:lang w:eastAsia="es-PE"/>
          <w14:ligatures w14:val="none"/>
        </w:rPr>
        <w:t xml:space="preserve">presentó </w:t>
      </w:r>
      <w:r w:rsidRPr="001E6D4C">
        <w:rPr>
          <w:rFonts w:ascii="Arial" w:eastAsia="Arial" w:hAnsi="Arial" w:cs="Arial"/>
          <w:bCs/>
          <w:color w:val="000000"/>
          <w:kern w:val="0"/>
          <w:lang w:eastAsia="es-PE"/>
          <w14:ligatures w14:val="none"/>
        </w:rPr>
        <w:t>las declaraciones mensuales (PDT-IGV Renta mensual) del Impuesto General a las Ventas (IGV) e Impuesto a la Renta (IR) com</w:t>
      </w:r>
      <w:r w:rsidRPr="002A612D">
        <w:rPr>
          <w:rFonts w:ascii="Arial" w:eastAsia="Arial" w:hAnsi="Arial" w:cs="Arial"/>
          <w:bCs/>
          <w:color w:val="000000"/>
          <w:kern w:val="0"/>
          <w:lang w:eastAsia="es-PE"/>
          <w14:ligatures w14:val="none"/>
        </w:rPr>
        <w:t xml:space="preserve">pletas, del ejercicio correspondiente al año </w:t>
      </w:r>
      <w:r w:rsidR="002436B6" w:rsidRPr="001E6D4C">
        <w:rPr>
          <w:rFonts w:ascii="Arial" w:eastAsia="Arial" w:hAnsi="Arial" w:cs="Arial"/>
          <w:bCs/>
          <w:color w:val="000000"/>
          <w:kern w:val="0"/>
          <w:highlight w:val="green"/>
          <w:lang w:eastAsia="es-PE"/>
          <w14:ligatures w14:val="none"/>
        </w:rPr>
        <w:t>2024</w:t>
      </w:r>
      <w:r w:rsidRPr="002A612D">
        <w:rPr>
          <w:rFonts w:ascii="Arial" w:eastAsia="Arial" w:hAnsi="Arial" w:cs="Arial"/>
          <w:bCs/>
          <w:color w:val="000000"/>
          <w:kern w:val="0"/>
          <w:lang w:eastAsia="es-PE"/>
          <w14:ligatures w14:val="none"/>
        </w:rPr>
        <w:t xml:space="preserve">. </w:t>
      </w:r>
    </w:p>
    <w:p w14:paraId="70EE6585" w14:textId="77777777" w:rsidR="002A612D" w:rsidRPr="002A612D" w:rsidRDefault="002A612D" w:rsidP="002A612D">
      <w:pPr>
        <w:spacing w:after="0" w:line="240" w:lineRule="auto"/>
        <w:ind w:left="567"/>
        <w:contextualSpacing/>
        <w:jc w:val="both"/>
        <w:rPr>
          <w:rFonts w:ascii="Arial" w:eastAsia="Arial" w:hAnsi="Arial" w:cs="Arial"/>
          <w:color w:val="000000"/>
          <w:kern w:val="0"/>
          <w:u w:val="single"/>
          <w:lang w:eastAsia="es-PE"/>
          <w14:ligatures w14:val="none"/>
        </w:rPr>
      </w:pPr>
    </w:p>
    <w:p w14:paraId="04B98573" w14:textId="09321AA4" w:rsidR="002A612D" w:rsidRPr="00302247" w:rsidRDefault="002A612D" w:rsidP="002A612D">
      <w:pPr>
        <w:numPr>
          <w:ilvl w:val="0"/>
          <w:numId w:val="1"/>
        </w:numPr>
        <w:spacing w:after="0" w:line="240" w:lineRule="auto"/>
        <w:ind w:left="567" w:hanging="567"/>
        <w:contextualSpacing/>
        <w:jc w:val="both"/>
        <w:rPr>
          <w:rFonts w:ascii="Arial" w:eastAsia="Arial" w:hAnsi="Arial" w:cs="Arial"/>
          <w:color w:val="000000"/>
          <w:kern w:val="0"/>
          <w:u w:val="single"/>
          <w:lang w:eastAsia="es-PE"/>
          <w14:ligatures w14:val="none"/>
        </w:rPr>
      </w:pPr>
      <w:r w:rsidRPr="002A612D">
        <w:rPr>
          <w:rFonts w:ascii="Arial" w:eastAsia="Arial" w:hAnsi="Arial" w:cs="Arial"/>
          <w:color w:val="000000"/>
          <w:kern w:val="0"/>
          <w:lang w:eastAsia="es-PE"/>
          <w14:ligatures w14:val="none"/>
        </w:rPr>
        <w:t xml:space="preserve">Por Resolución </w:t>
      </w:r>
      <w:r w:rsidRPr="00FD5CD9">
        <w:rPr>
          <w:rFonts w:ascii="Arial" w:eastAsia="Arial" w:hAnsi="Arial" w:cs="Arial"/>
          <w:color w:val="000000"/>
          <w:kern w:val="0"/>
          <w:highlight w:val="magenta"/>
          <w:lang w:eastAsia="es-PE"/>
          <w14:ligatures w14:val="none"/>
        </w:rPr>
        <w:t>N</w:t>
      </w:r>
      <w:commentRangeStart w:id="4"/>
      <w:r w:rsidRPr="00FD5CD9">
        <w:rPr>
          <w:rFonts w:ascii="Arial" w:eastAsia="Arial" w:hAnsi="Arial" w:cs="Arial"/>
          <w:color w:val="000000"/>
          <w:kern w:val="0"/>
          <w:highlight w:val="magenta"/>
          <w:lang w:eastAsia="es-PE"/>
          <w14:ligatures w14:val="none"/>
        </w:rPr>
        <w:t xml:space="preserve">° </w:t>
      </w:r>
      <w:r w:rsidR="008727CA" w:rsidRPr="00FD5CD9">
        <w:rPr>
          <w:rFonts w:ascii="Arial" w:eastAsia="Arial" w:hAnsi="Arial" w:cs="Arial"/>
          <w:color w:val="000000"/>
          <w:kern w:val="0"/>
          <w:highlight w:val="magenta"/>
          <w:lang w:eastAsia="es-PE"/>
          <w14:ligatures w14:val="none"/>
        </w:rPr>
        <w:t>*****</w:t>
      </w:r>
      <w:r w:rsidRPr="00FD5CD9">
        <w:rPr>
          <w:rFonts w:ascii="Arial" w:eastAsia="Arial" w:hAnsi="Arial" w:cs="Arial"/>
          <w:color w:val="000000"/>
          <w:kern w:val="0"/>
          <w:highlight w:val="magenta"/>
          <w:lang w:eastAsia="es-PE"/>
          <w14:ligatures w14:val="none"/>
        </w:rPr>
        <w:t xml:space="preserve">-2024/ST-CC1 del </w:t>
      </w:r>
      <w:r w:rsidR="008727CA" w:rsidRPr="00FD5CD9">
        <w:rPr>
          <w:rFonts w:ascii="Arial" w:eastAsia="Arial" w:hAnsi="Arial" w:cs="Arial"/>
          <w:color w:val="000000"/>
          <w:kern w:val="0"/>
          <w:highlight w:val="magenta"/>
          <w:lang w:eastAsia="es-PE"/>
          <w14:ligatures w14:val="none"/>
        </w:rPr>
        <w:t>***</w:t>
      </w:r>
      <w:r w:rsidRPr="00FD5CD9">
        <w:rPr>
          <w:rFonts w:ascii="Arial" w:eastAsia="Arial" w:hAnsi="Arial" w:cs="Arial"/>
          <w:color w:val="000000"/>
          <w:kern w:val="0"/>
          <w:highlight w:val="magenta"/>
          <w:lang w:eastAsia="es-PE"/>
          <w14:ligatures w14:val="none"/>
        </w:rPr>
        <w:t xml:space="preserve"> </w:t>
      </w:r>
      <w:commentRangeEnd w:id="4"/>
      <w:r w:rsidR="00FD5CD9" w:rsidRPr="00FD5CD9">
        <w:rPr>
          <w:rStyle w:val="Refdecomentario"/>
          <w:rFonts w:ascii="Arial" w:eastAsia="Arial" w:hAnsi="Arial" w:cs="Arial"/>
          <w:color w:val="000000"/>
          <w:kern w:val="0"/>
          <w:sz w:val="22"/>
          <w:szCs w:val="22"/>
          <w:highlight w:val="magenta"/>
          <w:lang w:eastAsia="es-PE"/>
          <w14:ligatures w14:val="none"/>
        </w:rPr>
        <w:commentReference w:id="4"/>
      </w:r>
      <w:r w:rsidRPr="00FD5CD9">
        <w:rPr>
          <w:rFonts w:ascii="Arial" w:eastAsia="Arial" w:hAnsi="Arial" w:cs="Arial"/>
          <w:color w:val="000000"/>
          <w:kern w:val="0"/>
          <w:highlight w:val="magenta"/>
          <w:lang w:eastAsia="es-PE"/>
          <w14:ligatures w14:val="none"/>
        </w:rPr>
        <w:t>de</w:t>
      </w:r>
      <w:r w:rsidRPr="00302247">
        <w:rPr>
          <w:rFonts w:ascii="Arial" w:eastAsia="Arial" w:hAnsi="Arial" w:cs="Arial"/>
          <w:color w:val="000000"/>
          <w:kern w:val="0"/>
          <w:lang w:eastAsia="es-PE"/>
          <w14:ligatures w14:val="none"/>
        </w:rPr>
        <w:t xml:space="preserve"> </w:t>
      </w:r>
      <w:r w:rsidR="008727CA" w:rsidRPr="00473204">
        <w:rPr>
          <w:rFonts w:ascii="Arial" w:eastAsia="Arial" w:hAnsi="Arial" w:cs="Arial"/>
          <w:color w:val="000000"/>
          <w:kern w:val="0"/>
          <w:highlight w:val="green"/>
          <w:lang w:eastAsia="es-PE"/>
          <w14:ligatures w14:val="none"/>
        </w:rPr>
        <w:t>abril</w:t>
      </w:r>
      <w:r w:rsidRPr="00473204">
        <w:rPr>
          <w:rFonts w:ascii="Arial" w:eastAsia="Arial" w:hAnsi="Arial" w:cs="Arial"/>
          <w:color w:val="000000"/>
          <w:kern w:val="0"/>
          <w:highlight w:val="green"/>
          <w:lang w:eastAsia="es-PE"/>
          <w14:ligatures w14:val="none"/>
        </w:rPr>
        <w:t xml:space="preserve"> de </w:t>
      </w:r>
      <w:r w:rsidR="008727CA" w:rsidRPr="00473204">
        <w:rPr>
          <w:rFonts w:ascii="Arial" w:eastAsia="Arial" w:hAnsi="Arial" w:cs="Arial"/>
          <w:color w:val="000000"/>
          <w:kern w:val="0"/>
          <w:highlight w:val="green"/>
          <w:lang w:eastAsia="es-PE"/>
          <w14:ligatures w14:val="none"/>
        </w:rPr>
        <w:t>2025</w:t>
      </w:r>
      <w:r w:rsidRPr="002A612D">
        <w:rPr>
          <w:rFonts w:ascii="Arial" w:eastAsia="Arial" w:hAnsi="Arial" w:cs="Arial"/>
          <w:color w:val="000000"/>
          <w:kern w:val="0"/>
          <w:lang w:eastAsia="es-PE"/>
          <w14:ligatures w14:val="none"/>
        </w:rPr>
        <w:t xml:space="preserve">, la Secretaria Técnica declaró confidencial </w:t>
      </w:r>
      <w:r w:rsidRPr="00302247">
        <w:rPr>
          <w:rFonts w:ascii="Arial" w:eastAsia="Arial" w:hAnsi="Arial" w:cs="Arial"/>
          <w:color w:val="000000"/>
          <w:kern w:val="0"/>
          <w:lang w:eastAsia="es-PE"/>
          <w14:ligatures w14:val="none"/>
        </w:rPr>
        <w:t xml:space="preserve">los Estados Financieros de las Declaraciones de Pago Mensual del IGV e IR, correspondientes al ejercicio gravable del año </w:t>
      </w:r>
      <w:r w:rsidR="008727CA" w:rsidRPr="00473204">
        <w:rPr>
          <w:rFonts w:ascii="Arial" w:eastAsia="Arial" w:hAnsi="Arial" w:cs="Arial"/>
          <w:color w:val="000000"/>
          <w:kern w:val="0"/>
          <w:highlight w:val="green"/>
          <w:lang w:eastAsia="es-PE"/>
          <w14:ligatures w14:val="none"/>
        </w:rPr>
        <w:t>2024</w:t>
      </w:r>
      <w:r w:rsidRPr="001E6D4C">
        <w:rPr>
          <w:rFonts w:ascii="Arial" w:eastAsia="Arial" w:hAnsi="Arial" w:cs="Arial"/>
          <w:color w:val="000000"/>
          <w:kern w:val="0"/>
          <w:highlight w:val="green"/>
          <w:lang w:eastAsia="es-PE"/>
          <w14:ligatures w14:val="none"/>
        </w:rPr>
        <w:t xml:space="preserve">, que </w:t>
      </w:r>
      <w:r w:rsidR="008727CA" w:rsidRPr="001E6D4C">
        <w:rPr>
          <w:rFonts w:ascii="Arial" w:eastAsia="Arial" w:hAnsi="Arial" w:cs="Arial"/>
          <w:color w:val="000000"/>
          <w:kern w:val="0"/>
          <w:highlight w:val="green"/>
          <w:lang w:eastAsia="es-PE"/>
          <w14:ligatures w14:val="none"/>
        </w:rPr>
        <w:t>obra en la pieza Nº 4 del expediente</w:t>
      </w:r>
      <w:r w:rsidRPr="00302247">
        <w:rPr>
          <w:rFonts w:ascii="Arial" w:eastAsia="Arial" w:hAnsi="Arial" w:cs="Arial"/>
          <w:color w:val="000000"/>
          <w:kern w:val="0"/>
          <w:lang w:eastAsia="es-PE"/>
          <w14:ligatures w14:val="none"/>
        </w:rPr>
        <w:t>.</w:t>
      </w:r>
    </w:p>
    <w:p w14:paraId="5C413011" w14:textId="77777777" w:rsidR="002A612D" w:rsidRPr="002A612D" w:rsidRDefault="002A612D" w:rsidP="002A612D">
      <w:pPr>
        <w:spacing w:after="0" w:line="240" w:lineRule="auto"/>
        <w:ind w:left="567"/>
        <w:contextualSpacing/>
        <w:jc w:val="both"/>
        <w:rPr>
          <w:rFonts w:ascii="Arial" w:eastAsia="Arial" w:hAnsi="Arial" w:cs="Arial"/>
          <w:color w:val="000000"/>
          <w:kern w:val="0"/>
          <w:u w:val="single"/>
          <w:lang w:eastAsia="es-PE"/>
          <w14:ligatures w14:val="none"/>
        </w:rPr>
      </w:pPr>
    </w:p>
    <w:p w14:paraId="4BDDEB38" w14:textId="77777777" w:rsidR="002A612D" w:rsidRPr="002A612D" w:rsidRDefault="002A612D" w:rsidP="002A612D">
      <w:pPr>
        <w:widowControl w:val="0"/>
        <w:spacing w:after="0" w:line="240" w:lineRule="auto"/>
        <w:jc w:val="both"/>
        <w:rPr>
          <w:rFonts w:ascii="Arial" w:eastAsia="Arial" w:hAnsi="Arial" w:cs="Arial"/>
          <w:b/>
          <w:color w:val="000000"/>
          <w:kern w:val="0"/>
          <w:lang w:eastAsia="es-PE"/>
          <w14:ligatures w14:val="none"/>
        </w:rPr>
      </w:pPr>
      <w:r w:rsidRPr="002A612D">
        <w:rPr>
          <w:rFonts w:ascii="Arial" w:eastAsia="Arial" w:hAnsi="Arial" w:cs="Arial"/>
          <w:b/>
          <w:color w:val="000000"/>
          <w:kern w:val="0"/>
          <w:lang w:eastAsia="es-PE"/>
          <w14:ligatures w14:val="none"/>
        </w:rPr>
        <w:t>ANÁLISIS</w:t>
      </w:r>
    </w:p>
    <w:p w14:paraId="1B95A487" w14:textId="77777777" w:rsidR="002A612D" w:rsidRPr="002A612D" w:rsidRDefault="002A612D" w:rsidP="002A612D">
      <w:pPr>
        <w:widowControl w:val="0"/>
        <w:spacing w:after="0" w:line="240" w:lineRule="auto"/>
        <w:jc w:val="both"/>
        <w:rPr>
          <w:rFonts w:ascii="Arial" w:eastAsia="Arial" w:hAnsi="Arial" w:cs="Arial"/>
          <w:b/>
          <w:color w:val="000000"/>
          <w:kern w:val="0"/>
          <w:lang w:eastAsia="es-PE"/>
          <w14:ligatures w14:val="none"/>
        </w:rPr>
      </w:pPr>
    </w:p>
    <w:p w14:paraId="56D59912"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Marco Jurídico aplicable a la Noción de Consumidor Final</w:t>
      </w:r>
    </w:p>
    <w:p w14:paraId="5B5E330F"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47D9B964" w14:textId="77777777" w:rsidR="002A612D" w:rsidRPr="002A612D" w:rsidRDefault="002A612D" w:rsidP="002A612D">
      <w:pPr>
        <w:widowControl w:val="0"/>
        <w:tabs>
          <w:tab w:val="left" w:pos="567"/>
        </w:tabs>
        <w:spacing w:after="0" w:line="240" w:lineRule="auto"/>
        <w:jc w:val="both"/>
        <w:rPr>
          <w:rFonts w:ascii="Arial" w:eastAsia="Calibri" w:hAnsi="Arial" w:cs="Arial"/>
          <w:b/>
          <w:color w:val="000000"/>
          <w:kern w:val="0"/>
          <w:lang w:eastAsia="es-PE"/>
          <w14:ligatures w14:val="none"/>
        </w:rPr>
      </w:pPr>
      <w:r w:rsidRPr="002A612D">
        <w:rPr>
          <w:rFonts w:ascii="Arial" w:eastAsia="Arial" w:hAnsi="Arial" w:cs="Arial"/>
          <w:b/>
          <w:color w:val="000000"/>
          <w:kern w:val="0"/>
          <w:lang w:eastAsia="es-PE"/>
          <w14:ligatures w14:val="none"/>
        </w:rPr>
        <w:t xml:space="preserve">(i) </w:t>
      </w:r>
      <w:r w:rsidRPr="002A612D">
        <w:rPr>
          <w:rFonts w:ascii="Arial" w:eastAsia="Arial" w:hAnsi="Arial" w:cs="Arial"/>
          <w:b/>
          <w:color w:val="000000"/>
          <w:kern w:val="0"/>
          <w:lang w:eastAsia="es-PE"/>
          <w14:ligatures w14:val="none"/>
        </w:rPr>
        <w:tab/>
        <w:t>Sobre la noción de consumidor</w:t>
      </w:r>
    </w:p>
    <w:p w14:paraId="06A9FD3C"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42649A59"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El numeral 1 del artículo IV del Título Preliminar del Código define a aquellos sujetos que pueden ser considerados como consumidores o usuarios y, por consiguiente, dispone quienes pueden acceder al nivel de protección especial que brinda la normativa de protección al consumidor</w:t>
      </w:r>
      <w:r w:rsidRPr="002A612D">
        <w:rPr>
          <w:rFonts w:ascii="Arial" w:eastAsia="Arial" w:hAnsi="Arial" w:cs="Arial"/>
          <w:color w:val="000000"/>
          <w:kern w:val="0"/>
          <w:vertAlign w:val="superscript"/>
          <w:lang w:eastAsia="es-PE"/>
          <w14:ligatures w14:val="none"/>
        </w:rPr>
        <w:footnoteReference w:id="2"/>
      </w:r>
      <w:r w:rsidRPr="002A612D">
        <w:rPr>
          <w:rFonts w:ascii="Arial" w:eastAsia="Arial" w:hAnsi="Arial" w:cs="Arial"/>
          <w:color w:val="000000"/>
          <w:kern w:val="0"/>
          <w:lang w:eastAsia="es-PE"/>
          <w14:ligatures w14:val="none"/>
        </w:rPr>
        <w:t>.</w:t>
      </w:r>
    </w:p>
    <w:p w14:paraId="288220F9"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337C5BA"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La norma señalada establece que son consumidores las personas naturales o jurídicas que adquieren, usan o disfrutan un producto o servicio en beneficio propio o de su entorno familiar o social, actuando así en un ámbito ajeno a la actividad empresarial. Asimismo, se incluye en la misma categoría a los microempresarios que evidencien una </w:t>
      </w:r>
      <w:r w:rsidRPr="002A612D">
        <w:rPr>
          <w:rFonts w:ascii="Arial" w:eastAsia="Arial" w:hAnsi="Arial" w:cs="Arial"/>
          <w:color w:val="000000"/>
          <w:kern w:val="0"/>
          <w:lang w:eastAsia="es-PE"/>
          <w14:ligatures w14:val="none"/>
        </w:rPr>
        <w:lastRenderedPageBreak/>
        <w:t>situación de asimetría informativa con el proveedor respecto de aquellos bienes que no formen parte del giro propio de su negocio.</w:t>
      </w:r>
    </w:p>
    <w:p w14:paraId="2DA93F2C"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0E94337"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De acuerdo con el esquema que el legislador peruano ha previsto a partir del Código, la Comisión considera que, a efectos de evaluar la calidad de consumidor de la parte denunciante, deberá seguirse el siguiente diagrama:</w:t>
      </w:r>
    </w:p>
    <w:p w14:paraId="19B34067" w14:textId="77777777" w:rsidR="00DF7C3E" w:rsidRPr="00DF7C3E" w:rsidRDefault="00DF7C3E" w:rsidP="00DF7C3E">
      <w:pPr>
        <w:pStyle w:val="Prrafodelista"/>
        <w:spacing w:after="200" w:line="240" w:lineRule="auto"/>
        <w:ind w:left="1146"/>
        <w:jc w:val="both"/>
        <w:rPr>
          <w:rFonts w:ascii="Calibri" w:eastAsia="Calibri" w:hAnsi="Calibri" w:cs="Calibri"/>
          <w:color w:val="000000"/>
          <w:kern w:val="0"/>
          <w:lang w:eastAsia="es-PE"/>
          <w14:ligatures w14:val="none"/>
        </w:rPr>
      </w:pPr>
    </w:p>
    <w:p w14:paraId="0CBA68E4" w14:textId="77777777" w:rsidR="00DF7C3E" w:rsidRPr="00E216A9" w:rsidRDefault="00DF7C3E" w:rsidP="00DF7C3E">
      <w:pPr>
        <w:pStyle w:val="Prrafodelista"/>
        <w:spacing w:after="200" w:line="276" w:lineRule="auto"/>
        <w:ind w:left="1146"/>
        <w:jc w:val="center"/>
        <w:rPr>
          <w:rFonts w:ascii="Calibri" w:eastAsia="Calibri" w:hAnsi="Calibri" w:cs="Calibri"/>
          <w:b/>
          <w:bCs/>
          <w:color w:val="000000"/>
          <w:kern w:val="0"/>
          <w:lang w:val="pt-PT" w:eastAsia="es-PE"/>
          <w14:ligatures w14:val="none"/>
        </w:rPr>
      </w:pPr>
      <w:r w:rsidRPr="007746FB">
        <w:rPr>
          <w:noProof/>
          <w:lang w:eastAsia="es-PE"/>
        </w:rPr>
        <w:drawing>
          <wp:anchor distT="0" distB="0" distL="114300" distR="114300" simplePos="0" relativeHeight="251659264" behindDoc="0" locked="0" layoutInCell="1" allowOverlap="1" wp14:anchorId="69ED6EFE" wp14:editId="54C7FAA3">
            <wp:simplePos x="0" y="0"/>
            <wp:positionH relativeFrom="column">
              <wp:posOffset>785495</wp:posOffset>
            </wp:positionH>
            <wp:positionV relativeFrom="paragraph">
              <wp:posOffset>309245</wp:posOffset>
            </wp:positionV>
            <wp:extent cx="4397375" cy="3381375"/>
            <wp:effectExtent l="38100" t="38100" r="41275" b="47625"/>
            <wp:wrapSquare wrapText="bothSides"/>
            <wp:docPr id="1" name="image01.png" descr="Interfaz de usuario gráfica, Diagram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01.png" descr="Interfaz de usuario gráfica, Diagrama, Aplicación&#10;&#10;Descripción generada automáticamente"/>
                    <pic:cNvPicPr preferRelativeResize="0"/>
                  </pic:nvPicPr>
                  <pic:blipFill>
                    <a:blip r:embed="rId12">
                      <a:extLst>
                        <a:ext uri="{28A0092B-C50C-407E-A947-70E740481C1C}">
                          <a14:useLocalDpi xmlns:a14="http://schemas.microsoft.com/office/drawing/2010/main" val="0"/>
                        </a:ext>
                      </a:extLst>
                    </a:blip>
                    <a:srcRect l="32408" t="21678" r="27271" b="9063"/>
                    <a:stretch>
                      <a:fillRect/>
                    </a:stretch>
                  </pic:blipFill>
                  <pic:spPr>
                    <a:xfrm>
                      <a:off x="0" y="0"/>
                      <a:ext cx="4397375" cy="3381375"/>
                    </a:xfrm>
                    <a:prstGeom prst="rect">
                      <a:avLst/>
                    </a:prstGeom>
                    <a:ln w="28575">
                      <a:solidFill>
                        <a:schemeClr val="tx1"/>
                      </a:solidFill>
                    </a:ln>
                    <a:effectLst>
                      <a:softEdge rad="0"/>
                    </a:effectLst>
                  </pic:spPr>
                </pic:pic>
              </a:graphicData>
            </a:graphic>
            <wp14:sizeRelH relativeFrom="page">
              <wp14:pctWidth>0</wp14:pctWidth>
            </wp14:sizeRelH>
            <wp14:sizeRelV relativeFrom="page">
              <wp14:pctHeight>0</wp14:pctHeight>
            </wp14:sizeRelV>
          </wp:anchor>
        </w:drawing>
      </w:r>
      <w:r w:rsidRPr="00E216A9">
        <w:rPr>
          <w:rFonts w:ascii="Calibri" w:eastAsia="Calibri" w:hAnsi="Calibri" w:cs="Calibri"/>
          <w:b/>
          <w:bCs/>
          <w:color w:val="000000"/>
          <w:kern w:val="0"/>
          <w:lang w:val="pt-PT" w:eastAsia="es-PE"/>
          <w14:ligatures w14:val="none"/>
        </w:rPr>
        <w:t>Diagrama N° 1: Filtros para para microempresas</w:t>
      </w:r>
    </w:p>
    <w:p w14:paraId="1FC472B8" w14:textId="526F7A4A" w:rsidR="002A612D" w:rsidRPr="00E216A9" w:rsidRDefault="002A612D" w:rsidP="002A612D">
      <w:pPr>
        <w:spacing w:after="200" w:line="240" w:lineRule="auto"/>
        <w:jc w:val="both"/>
        <w:rPr>
          <w:rFonts w:ascii="Calibri" w:eastAsia="Calibri" w:hAnsi="Calibri" w:cs="Calibri"/>
          <w:color w:val="000000"/>
          <w:kern w:val="0"/>
          <w:lang w:val="pt-PT" w:eastAsia="es-PE"/>
          <w14:ligatures w14:val="none"/>
        </w:rPr>
      </w:pPr>
    </w:p>
    <w:p w14:paraId="4E71B93C" w14:textId="77777777" w:rsidR="002A612D" w:rsidRPr="00E216A9" w:rsidRDefault="002A612D" w:rsidP="002A612D">
      <w:pPr>
        <w:spacing w:after="200" w:line="240" w:lineRule="auto"/>
        <w:jc w:val="both"/>
        <w:rPr>
          <w:rFonts w:ascii="Calibri" w:eastAsia="Calibri" w:hAnsi="Calibri" w:cs="Calibri"/>
          <w:color w:val="000000"/>
          <w:kern w:val="0"/>
          <w:lang w:val="pt-PT" w:eastAsia="es-PE"/>
          <w14:ligatures w14:val="none"/>
        </w:rPr>
      </w:pPr>
    </w:p>
    <w:p w14:paraId="7BDC1C11" w14:textId="77777777" w:rsidR="002A612D" w:rsidRPr="00E216A9" w:rsidRDefault="002A612D" w:rsidP="002A612D">
      <w:pPr>
        <w:spacing w:after="200" w:line="240" w:lineRule="auto"/>
        <w:jc w:val="both"/>
        <w:rPr>
          <w:rFonts w:ascii="Calibri" w:eastAsia="Calibri" w:hAnsi="Calibri" w:cs="Calibri"/>
          <w:color w:val="000000"/>
          <w:kern w:val="0"/>
          <w:lang w:val="pt-PT" w:eastAsia="es-PE"/>
          <w14:ligatures w14:val="none"/>
        </w:rPr>
      </w:pPr>
    </w:p>
    <w:p w14:paraId="462DC03F"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64350554"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611A5C8D"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4B5D82C9"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5D6F32A2"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0DF653FC"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3E00A9F0" w14:textId="77777777" w:rsidR="002A612D" w:rsidRPr="00E216A9" w:rsidRDefault="002A612D" w:rsidP="002A612D">
      <w:pPr>
        <w:spacing w:after="200" w:line="276" w:lineRule="auto"/>
        <w:rPr>
          <w:rFonts w:ascii="Calibri" w:eastAsia="Calibri" w:hAnsi="Calibri" w:cs="Calibri"/>
          <w:color w:val="000000"/>
          <w:kern w:val="0"/>
          <w:lang w:val="pt-PT" w:eastAsia="es-PE"/>
          <w14:ligatures w14:val="none"/>
        </w:rPr>
      </w:pPr>
    </w:p>
    <w:p w14:paraId="7B30D232" w14:textId="77777777" w:rsidR="002A612D" w:rsidRPr="00E216A9" w:rsidRDefault="002A612D" w:rsidP="002A612D">
      <w:pPr>
        <w:spacing w:after="200" w:line="276" w:lineRule="auto"/>
        <w:rPr>
          <w:rFonts w:ascii="Calibri" w:eastAsia="Calibri" w:hAnsi="Calibri" w:cs="Calibri"/>
          <w:color w:val="000000"/>
          <w:kern w:val="0"/>
          <w:lang w:val="pt-PT" w:eastAsia="es-PE"/>
          <w14:ligatures w14:val="none"/>
        </w:rPr>
      </w:pPr>
    </w:p>
    <w:p w14:paraId="1AFCD1F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atención a ello, existe un filtro general que la presente instancia debe evaluar para determinar si la parte accionante posee la calidad de consumidor. Este filtro consiste en analizar si la adquisición, uso o disfrute que la parte denunciante realiza sobre el producto o servicio materia de controversia está vinculado a un fin personal, familiar o de su entorno social inmediato, en cuyo caso la persona natural o jurídica califica como consumidor final. </w:t>
      </w:r>
      <w:r w:rsidRPr="002A612D">
        <w:rPr>
          <w:rFonts w:ascii="Arial" w:eastAsia="Arial" w:hAnsi="Arial" w:cs="Arial"/>
          <w:color w:val="000000"/>
          <w:kern w:val="0"/>
          <w:u w:val="single"/>
          <w:lang w:eastAsia="es-PE"/>
          <w14:ligatures w14:val="none"/>
        </w:rPr>
        <w:t>Cabe precisar que en este filtro es irrelevante si la persona natural o jurídica posee calidad de microempresa, pequeña, mediana o gran empresa</w:t>
      </w:r>
      <w:r w:rsidRPr="002A612D">
        <w:rPr>
          <w:rFonts w:ascii="Arial" w:eastAsia="Arial" w:hAnsi="Arial" w:cs="Arial"/>
          <w:color w:val="000000"/>
          <w:kern w:val="0"/>
          <w:lang w:eastAsia="es-PE"/>
          <w14:ligatures w14:val="none"/>
        </w:rPr>
        <w:t>.</w:t>
      </w:r>
    </w:p>
    <w:p w14:paraId="700F7F57"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1D95168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principio, la normativa señala que ante la denuncia de una persona natural o jurídica que adquiere, usa o disfruta un producto o servicio para fines distintos a los personales, familiares o de entorno social inmediato, la Comisión no podría considerar a dicha accionante como consumidora; sin embargo, </w:t>
      </w:r>
      <w:r w:rsidRPr="002A612D">
        <w:rPr>
          <w:rFonts w:ascii="Arial" w:eastAsia="Arial" w:hAnsi="Arial" w:cs="Arial"/>
          <w:color w:val="000000"/>
          <w:kern w:val="0"/>
          <w:u w:val="single"/>
          <w:lang w:eastAsia="es-PE"/>
          <w14:ligatures w14:val="none"/>
        </w:rPr>
        <w:t>el propio Código establece un supuesto de excepción para las microempresas que se encuentren en una situación de asimetría informativa respecto de los productos que no son imprescindibles para su proceso productivo</w:t>
      </w:r>
      <w:r w:rsidRPr="002A612D">
        <w:rPr>
          <w:rFonts w:ascii="Arial" w:eastAsia="Arial" w:hAnsi="Arial" w:cs="Arial"/>
          <w:color w:val="000000"/>
          <w:kern w:val="0"/>
          <w:lang w:eastAsia="es-PE"/>
          <w14:ligatures w14:val="none"/>
        </w:rPr>
        <w:t>.</w:t>
      </w:r>
    </w:p>
    <w:p w14:paraId="7B8F196D" w14:textId="77777777" w:rsidR="002A612D" w:rsidRPr="002A612D" w:rsidRDefault="002A612D" w:rsidP="002A612D">
      <w:pPr>
        <w:spacing w:after="0" w:line="240" w:lineRule="auto"/>
        <w:ind w:left="720"/>
        <w:contextualSpacing/>
        <w:rPr>
          <w:rFonts w:ascii="Arial" w:eastAsia="Arial" w:hAnsi="Arial" w:cs="Arial"/>
          <w:color w:val="000000"/>
          <w:kern w:val="0"/>
          <w:lang w:eastAsia="es-PE"/>
          <w14:ligatures w14:val="none"/>
        </w:rPr>
      </w:pPr>
    </w:p>
    <w:p w14:paraId="3BCF749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el caso de las microempresas (filtro especial), el análisis de procedencia se sujetará a los siguientes parámetros:</w:t>
      </w:r>
    </w:p>
    <w:p w14:paraId="20B99B5B" w14:textId="77777777" w:rsidR="002A612D" w:rsidRPr="002A612D" w:rsidRDefault="002A612D" w:rsidP="002A612D">
      <w:pPr>
        <w:widowControl w:val="0"/>
        <w:spacing w:after="0" w:line="240" w:lineRule="auto"/>
        <w:ind w:left="1125"/>
        <w:contextualSpacing/>
        <w:jc w:val="both"/>
        <w:rPr>
          <w:rFonts w:ascii="Arial" w:eastAsia="Arial" w:hAnsi="Arial" w:cs="Arial"/>
          <w:color w:val="000000"/>
          <w:kern w:val="0"/>
          <w:lang w:eastAsia="es-PE"/>
          <w14:ligatures w14:val="none"/>
        </w:rPr>
      </w:pPr>
    </w:p>
    <w:p w14:paraId="0B89B041" w14:textId="77777777" w:rsidR="002A612D" w:rsidRPr="002A612D" w:rsidRDefault="002A612D" w:rsidP="002A612D">
      <w:pPr>
        <w:widowControl w:val="0"/>
        <w:numPr>
          <w:ilvl w:val="1"/>
          <w:numId w:val="3"/>
        </w:numPr>
        <w:spacing w:after="0" w:line="240" w:lineRule="auto"/>
        <w:ind w:left="1125" w:hanging="570"/>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lastRenderedPageBreak/>
        <w:t>Para determinar si se está ante una microempresa, la Comisión determinará si la parte denunciante encaja en la noción de microempresario prevista en el Texto Único Ordenado de la Ley de Impulso al Desarrollo Productivo y al Crecimiento Empresarial, aprobado por Decreto Supremo 013-2013-PRODUCE (en adelante, Ley Mype)</w:t>
      </w:r>
      <w:r w:rsidRPr="002A612D">
        <w:rPr>
          <w:rFonts w:ascii="Arial" w:eastAsia="Arial" w:hAnsi="Arial" w:cs="Arial"/>
          <w:color w:val="000000"/>
          <w:kern w:val="0"/>
          <w:vertAlign w:val="superscript"/>
          <w:lang w:eastAsia="es-PE"/>
          <w14:ligatures w14:val="none"/>
        </w:rPr>
        <w:footnoteReference w:id="3"/>
      </w:r>
      <w:r w:rsidRPr="002A612D">
        <w:rPr>
          <w:rFonts w:ascii="Arial" w:eastAsia="Arial" w:hAnsi="Arial" w:cs="Arial"/>
          <w:color w:val="000000"/>
          <w:kern w:val="0"/>
          <w:lang w:eastAsia="es-PE"/>
          <w14:ligatures w14:val="none"/>
        </w:rPr>
        <w:t>, esto es, si no posee ventas anuales que superen las 150 UIT. Caso contrario, de superarse este monto, la denuncia será declarada improcedente.</w:t>
      </w:r>
    </w:p>
    <w:p w14:paraId="3C3B57F3" w14:textId="77777777" w:rsidR="002A612D" w:rsidRPr="002A612D" w:rsidRDefault="002A612D" w:rsidP="002A612D">
      <w:pPr>
        <w:widowControl w:val="0"/>
        <w:spacing w:after="0" w:line="240" w:lineRule="auto"/>
        <w:ind w:left="1134" w:hanging="567"/>
        <w:jc w:val="both"/>
        <w:rPr>
          <w:rFonts w:ascii="Arial" w:eastAsia="Calibri" w:hAnsi="Arial" w:cs="Arial"/>
          <w:color w:val="000000"/>
          <w:kern w:val="0"/>
          <w:lang w:eastAsia="es-PE"/>
          <w14:ligatures w14:val="none"/>
        </w:rPr>
      </w:pPr>
    </w:p>
    <w:p w14:paraId="4BA9D0CE" w14:textId="77777777" w:rsidR="002A612D" w:rsidRPr="002A612D" w:rsidRDefault="002A612D" w:rsidP="002A612D">
      <w:pPr>
        <w:widowControl w:val="0"/>
        <w:numPr>
          <w:ilvl w:val="1"/>
          <w:numId w:val="3"/>
        </w:numPr>
        <w:spacing w:after="0" w:line="240" w:lineRule="auto"/>
        <w:ind w:left="1134"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el supuesto que se haya acreditado el carácter de microempresario, deberá analizarse si el producto o servicio denunciado está relacionado con el giro del negocio</w:t>
      </w:r>
      <w:r w:rsidRPr="002A612D">
        <w:rPr>
          <w:rFonts w:ascii="Arial" w:eastAsia="Arial" w:hAnsi="Arial" w:cs="Arial"/>
          <w:color w:val="000000"/>
          <w:kern w:val="0"/>
          <w:vertAlign w:val="superscript"/>
          <w:lang w:eastAsia="es-PE"/>
          <w14:ligatures w14:val="none"/>
        </w:rPr>
        <w:footnoteReference w:id="4"/>
      </w:r>
      <w:r w:rsidRPr="002A612D">
        <w:rPr>
          <w:rFonts w:ascii="Arial" w:eastAsia="Arial" w:hAnsi="Arial" w:cs="Arial"/>
          <w:color w:val="000000"/>
          <w:kern w:val="0"/>
          <w:lang w:eastAsia="es-PE"/>
          <w14:ligatures w14:val="none"/>
        </w:rPr>
        <w:t>, como un elemento imprescindible para el proceso productivo que realiza la unidad productiva. En este punto, si se comprueba que el bien materia de cuestionamiento forma parte esencial del proceso productivo, la denuncia deberá ser declarada improcedente.</w:t>
      </w:r>
    </w:p>
    <w:p w14:paraId="4CBC4C45" w14:textId="77777777" w:rsidR="002A612D" w:rsidRPr="002A612D" w:rsidRDefault="002A612D" w:rsidP="002A612D">
      <w:pPr>
        <w:widowControl w:val="0"/>
        <w:spacing w:after="0" w:line="240" w:lineRule="auto"/>
        <w:ind w:left="1134" w:hanging="567"/>
        <w:jc w:val="both"/>
        <w:rPr>
          <w:rFonts w:ascii="Arial" w:eastAsia="Calibri" w:hAnsi="Arial" w:cs="Arial"/>
          <w:color w:val="000000"/>
          <w:kern w:val="0"/>
          <w:lang w:eastAsia="es-PE"/>
          <w14:ligatures w14:val="none"/>
        </w:rPr>
      </w:pPr>
    </w:p>
    <w:p w14:paraId="6EC6E04F" w14:textId="77777777" w:rsidR="002A612D" w:rsidRPr="002A612D" w:rsidRDefault="002A612D" w:rsidP="002A612D">
      <w:pPr>
        <w:widowControl w:val="0"/>
        <w:numPr>
          <w:ilvl w:val="1"/>
          <w:numId w:val="3"/>
        </w:numPr>
        <w:spacing w:after="0" w:line="240" w:lineRule="auto"/>
        <w:ind w:left="1134"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Finalmente, para el caso de las microempresas cuyo producto o servicio no está relacionado con el giro propio del negocio como un elemento imprescindible del proceso productivo, deberá analizarse si respecto de dicho bien la persona natural o jurídica se encuentra en situación de asimetría informativa</w:t>
      </w:r>
      <w:r w:rsidRPr="002A612D">
        <w:rPr>
          <w:rFonts w:ascii="Arial" w:eastAsia="Arial" w:hAnsi="Arial" w:cs="Arial"/>
          <w:color w:val="000000"/>
          <w:kern w:val="0"/>
          <w:vertAlign w:val="superscript"/>
          <w:lang w:eastAsia="es-PE"/>
          <w14:ligatures w14:val="none"/>
        </w:rPr>
        <w:footnoteReference w:id="5"/>
      </w:r>
      <w:r w:rsidRPr="002A612D">
        <w:rPr>
          <w:rFonts w:ascii="Arial" w:eastAsia="Arial" w:hAnsi="Arial" w:cs="Arial"/>
          <w:color w:val="000000"/>
          <w:kern w:val="0"/>
          <w:lang w:eastAsia="es-PE"/>
          <w14:ligatures w14:val="none"/>
        </w:rPr>
        <w:t>.</w:t>
      </w:r>
    </w:p>
    <w:p w14:paraId="5E983075" w14:textId="77777777" w:rsidR="002A612D" w:rsidRPr="002A612D" w:rsidRDefault="002A612D" w:rsidP="002A612D">
      <w:pPr>
        <w:widowControl w:val="0"/>
        <w:spacing w:after="0" w:line="240" w:lineRule="auto"/>
        <w:contextualSpacing/>
        <w:jc w:val="both"/>
        <w:rPr>
          <w:rFonts w:ascii="Arial" w:eastAsia="Arial" w:hAnsi="Arial" w:cs="Arial"/>
          <w:color w:val="000000"/>
          <w:kern w:val="0"/>
          <w:lang w:eastAsia="es-PE"/>
          <w14:ligatures w14:val="none"/>
        </w:rPr>
      </w:pPr>
    </w:p>
    <w:p w14:paraId="0F87D8CA"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De verificarse la existencia de la asimetría informativa en el caso concreto, la parte denunciante encajará en la noción de consumidor. Por el contrario, si se acredita que el microempresario no se encuentra en una situación de asimetría informativa respecto del producto o servicio controvertido, la denuncia deberá ser declarada improcedente.</w:t>
      </w:r>
    </w:p>
    <w:p w14:paraId="69948084"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1133E92" w14:textId="77777777" w:rsidR="002A612D" w:rsidRPr="002A612D" w:rsidRDefault="002A612D" w:rsidP="002A612D">
      <w:pPr>
        <w:widowControl w:val="0"/>
        <w:tabs>
          <w:tab w:val="left" w:pos="1134"/>
        </w:tabs>
        <w:spacing w:after="0" w:line="240" w:lineRule="auto"/>
        <w:ind w:left="567" w:hanging="570"/>
        <w:jc w:val="both"/>
        <w:rPr>
          <w:rFonts w:ascii="Arial" w:eastAsia="Calibri" w:hAnsi="Arial" w:cs="Arial"/>
          <w:b/>
          <w:color w:val="000000"/>
          <w:kern w:val="0"/>
          <w:lang w:eastAsia="es-PE"/>
          <w14:ligatures w14:val="none"/>
        </w:rPr>
      </w:pPr>
      <w:r w:rsidRPr="002A612D">
        <w:rPr>
          <w:rFonts w:ascii="Arial" w:eastAsia="Arial" w:hAnsi="Arial" w:cs="Arial"/>
          <w:b/>
          <w:color w:val="000000"/>
          <w:kern w:val="0"/>
          <w:lang w:eastAsia="es-PE"/>
          <w14:ligatures w14:val="none"/>
        </w:rPr>
        <w:t xml:space="preserve">(ii) </w:t>
      </w:r>
      <w:r w:rsidRPr="002A612D">
        <w:rPr>
          <w:rFonts w:ascii="Arial" w:eastAsia="Arial" w:hAnsi="Arial" w:cs="Arial"/>
          <w:b/>
          <w:color w:val="000000"/>
          <w:kern w:val="0"/>
          <w:lang w:eastAsia="es-PE"/>
          <w14:ligatures w14:val="none"/>
        </w:rPr>
        <w:tab/>
        <w:t>Sobre la noción de microempresario</w:t>
      </w:r>
    </w:p>
    <w:p w14:paraId="5A5408C1" w14:textId="77777777" w:rsidR="002A612D" w:rsidRPr="002A612D" w:rsidRDefault="002A612D" w:rsidP="002A612D">
      <w:pPr>
        <w:widowControl w:val="0"/>
        <w:spacing w:after="0" w:line="240" w:lineRule="auto"/>
        <w:ind w:left="562" w:hanging="570"/>
        <w:jc w:val="both"/>
        <w:rPr>
          <w:rFonts w:ascii="Arial" w:eastAsia="Calibri" w:hAnsi="Arial" w:cs="Arial"/>
          <w:color w:val="000000"/>
          <w:kern w:val="0"/>
          <w:lang w:eastAsia="es-PE"/>
          <w14:ligatures w14:val="none"/>
        </w:rPr>
      </w:pPr>
    </w:p>
    <w:p w14:paraId="64E0CA46" w14:textId="77777777" w:rsidR="002A612D" w:rsidRPr="002A612D" w:rsidRDefault="002A612D" w:rsidP="002A612D">
      <w:pPr>
        <w:widowControl w:val="0"/>
        <w:numPr>
          <w:ilvl w:val="0"/>
          <w:numId w:val="4"/>
        </w:numPr>
        <w:spacing w:after="0" w:line="240" w:lineRule="auto"/>
        <w:ind w:left="567" w:hanging="567"/>
        <w:contextualSpacing/>
        <w:jc w:val="both"/>
        <w:rPr>
          <w:rFonts w:ascii="Arial" w:eastAsia="Calibri" w:hAnsi="Arial" w:cs="Arial"/>
          <w:i/>
          <w:color w:val="000000"/>
          <w:kern w:val="0"/>
          <w:u w:val="single"/>
          <w:lang w:eastAsia="es-PE"/>
          <w14:ligatures w14:val="none"/>
        </w:rPr>
      </w:pPr>
      <w:r w:rsidRPr="002A612D">
        <w:rPr>
          <w:rFonts w:ascii="Arial" w:eastAsia="Arial" w:hAnsi="Arial" w:cs="Arial"/>
          <w:i/>
          <w:color w:val="000000"/>
          <w:kern w:val="0"/>
          <w:u w:val="single"/>
          <w:lang w:eastAsia="es-PE"/>
          <w14:ligatures w14:val="none"/>
        </w:rPr>
        <w:t>De la condición de microempresario en la legislación nacional</w:t>
      </w:r>
    </w:p>
    <w:p w14:paraId="1EBCD5E5"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4D666C5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El Código, en forma excepcional, permite el acceso a la tutela administrativa de los microempresarios que </w:t>
      </w:r>
      <w:r w:rsidRPr="002A612D">
        <w:rPr>
          <w:rFonts w:ascii="Arial" w:eastAsia="Arial" w:hAnsi="Arial" w:cs="Arial"/>
          <w:i/>
          <w:iCs/>
          <w:color w:val="000000"/>
          <w:kern w:val="0"/>
          <w:lang w:eastAsia="es-PE"/>
          <w14:ligatures w14:val="none"/>
        </w:rPr>
        <w:t>“evidencien una situación de asimetría informativa con el proveedor respecto de aquellos productos o servicios que no formen parte del giro propio del negocio”</w:t>
      </w:r>
      <w:r w:rsidRPr="002A612D">
        <w:rPr>
          <w:rFonts w:ascii="Arial" w:eastAsia="Arial" w:hAnsi="Arial" w:cs="Arial"/>
          <w:color w:val="000000"/>
          <w:kern w:val="0"/>
          <w:lang w:eastAsia="es-PE"/>
          <w14:ligatures w14:val="none"/>
        </w:rPr>
        <w:t xml:space="preserve">; sin embargo, no establece el modo de acreditación de la condición </w:t>
      </w:r>
      <w:r w:rsidRPr="002A612D">
        <w:rPr>
          <w:rFonts w:ascii="Arial" w:eastAsia="Arial" w:hAnsi="Arial" w:cs="Arial"/>
          <w:color w:val="000000"/>
          <w:kern w:val="0"/>
          <w:lang w:eastAsia="es-PE"/>
          <w14:ligatures w14:val="none"/>
        </w:rPr>
        <w:lastRenderedPageBreak/>
        <w:t>de microempresario ante la autoridad administrativa, por lo que resulta importante establecer la modalidad de determinar dicha condición.</w:t>
      </w:r>
    </w:p>
    <w:p w14:paraId="6D56F748" w14:textId="77777777" w:rsidR="00025D1B" w:rsidRDefault="00025D1B" w:rsidP="00025D1B">
      <w:pPr>
        <w:spacing w:after="0" w:line="240" w:lineRule="auto"/>
        <w:ind w:left="567"/>
        <w:contextualSpacing/>
        <w:jc w:val="both"/>
        <w:rPr>
          <w:rFonts w:ascii="Arial" w:eastAsia="Arial" w:hAnsi="Arial" w:cs="Arial"/>
          <w:color w:val="000000"/>
          <w:kern w:val="0"/>
          <w:lang w:eastAsia="es-PE"/>
          <w14:ligatures w14:val="none"/>
        </w:rPr>
      </w:pPr>
    </w:p>
    <w:p w14:paraId="3C596F68"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La inclusión de los microempresarios tiene como sustento principal su particular posición en el mercado, en la medida que el legislador consideró que no cuentan </w:t>
      </w:r>
      <w:r w:rsidRPr="002A612D">
        <w:rPr>
          <w:rFonts w:ascii="Arial" w:eastAsia="Arial" w:hAnsi="Arial" w:cs="Arial"/>
          <w:i/>
          <w:color w:val="000000"/>
          <w:kern w:val="0"/>
          <w:lang w:eastAsia="es-PE"/>
          <w14:ligatures w14:val="none"/>
        </w:rPr>
        <w:t>con recursos suficientes</w:t>
      </w:r>
      <w:r w:rsidRPr="002A612D">
        <w:rPr>
          <w:rFonts w:ascii="Arial" w:eastAsia="Arial" w:hAnsi="Arial" w:cs="Arial"/>
          <w:color w:val="000000"/>
          <w:kern w:val="0"/>
          <w:lang w:eastAsia="es-PE"/>
          <w14:ligatures w14:val="none"/>
        </w:rPr>
        <w:t xml:space="preserve"> para equiparar la asimetría informativa frente al proveedor, por lo que requieren la tutela que brinda el Código.</w:t>
      </w:r>
    </w:p>
    <w:p w14:paraId="4E13B223"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64A5BBE2"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La Sala Especializada de Protección al Consumidor (en adelante, Sala), refiriéndose a la situación de asimetría informativa de los microempresarios, en la Resolución 3311-2018/SPC-INDECOPI del 28 de noviembre de 2018, señaló que:</w:t>
      </w:r>
    </w:p>
    <w:p w14:paraId="4525BEC5"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4145419" w14:textId="77777777" w:rsidR="002A612D" w:rsidRPr="002A612D" w:rsidRDefault="002A612D" w:rsidP="002A612D">
      <w:pPr>
        <w:widowControl w:val="0"/>
        <w:spacing w:after="0" w:line="240" w:lineRule="auto"/>
        <w:ind w:left="1140"/>
        <w:jc w:val="both"/>
        <w:rPr>
          <w:rFonts w:ascii="Arial" w:eastAsia="Calibri" w:hAnsi="Arial" w:cs="Arial"/>
          <w:color w:val="000000"/>
          <w:kern w:val="0"/>
          <w:sz w:val="20"/>
          <w:szCs w:val="20"/>
          <w:lang w:eastAsia="es-PE"/>
          <w14:ligatures w14:val="none"/>
        </w:rPr>
      </w:pPr>
      <w:r w:rsidRPr="002A612D">
        <w:rPr>
          <w:rFonts w:ascii="Arial" w:eastAsia="Arial" w:hAnsi="Arial" w:cs="Arial"/>
          <w:i/>
          <w:color w:val="000000"/>
          <w:kern w:val="0"/>
          <w:sz w:val="20"/>
          <w:szCs w:val="20"/>
          <w:lang w:eastAsia="es-PE"/>
          <w14:ligatures w14:val="none"/>
        </w:rPr>
        <w:t>“</w:t>
      </w:r>
      <w:r w:rsidRPr="002A612D">
        <w:rPr>
          <w:rFonts w:ascii="Arial" w:eastAsia="Arial" w:hAnsi="Arial" w:cs="Arial"/>
          <w:i/>
          <w:color w:val="000000"/>
          <w:kern w:val="0"/>
          <w:sz w:val="20"/>
          <w:szCs w:val="20"/>
          <w:u w:val="single"/>
          <w:lang w:eastAsia="es-PE"/>
          <w14:ligatures w14:val="none"/>
        </w:rPr>
        <w:t>La ley obliga a evaluar la asimetría informativa en relación con el rubro de productos o servicios materia de denuncia, esto es, considerándolos de manera genérica y abstracta. En tal sentido, no se analiza la asimetría informativa respecto de la presunta infracción que denuncia el microempresario en el caso concreto.</w:t>
      </w:r>
      <w:r w:rsidRPr="002A612D">
        <w:rPr>
          <w:rFonts w:ascii="Arial" w:eastAsia="Arial" w:hAnsi="Arial" w:cs="Arial"/>
          <w:i/>
          <w:color w:val="000000"/>
          <w:kern w:val="0"/>
          <w:sz w:val="20"/>
          <w:szCs w:val="20"/>
          <w:lang w:eastAsia="es-PE"/>
          <w14:ligatures w14:val="none"/>
        </w:rPr>
        <w:t xml:space="preserve"> Cabe indicar que esta Sala ha señalado que respecto de los productos y servicios que no forman parte del giro propio del negocio del microempresario denunciante, se presume que este se encuentra en asimetría informativa frente al correspondiente proveedor; sin perjuicio de que dicho proveedor pueda acreditar lo contrario.”</w:t>
      </w:r>
    </w:p>
    <w:p w14:paraId="2AEB1654" w14:textId="77777777" w:rsidR="002A612D" w:rsidRPr="002A612D" w:rsidRDefault="002A612D" w:rsidP="002A612D">
      <w:pPr>
        <w:widowControl w:val="0"/>
        <w:spacing w:after="0" w:line="240" w:lineRule="auto"/>
        <w:ind w:left="1140"/>
        <w:jc w:val="both"/>
        <w:rPr>
          <w:rFonts w:ascii="Arial" w:eastAsia="Calibri" w:hAnsi="Arial" w:cs="Arial"/>
          <w:color w:val="000000"/>
          <w:kern w:val="0"/>
          <w:sz w:val="20"/>
          <w:szCs w:val="20"/>
          <w:lang w:eastAsia="es-PE"/>
          <w14:ligatures w14:val="none"/>
        </w:rPr>
      </w:pPr>
      <w:r w:rsidRPr="002A612D">
        <w:rPr>
          <w:rFonts w:ascii="Arial" w:eastAsia="Arial" w:hAnsi="Arial" w:cs="Arial"/>
          <w:color w:val="000000"/>
          <w:kern w:val="0"/>
          <w:sz w:val="20"/>
          <w:szCs w:val="20"/>
          <w:lang w:eastAsia="es-PE"/>
          <w14:ligatures w14:val="none"/>
        </w:rPr>
        <w:t xml:space="preserve">(Subrayado agregado) </w:t>
      </w:r>
    </w:p>
    <w:p w14:paraId="17C466CA"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64A817CA"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ese sentido, la Comisión de Protección al Consumidor N° 1 (en adelante, Comisión) estima que no solo compete al denunciante acreditar la situación de asimetría informativa, sino que es necesario evidenciar que en determinados períodos no cuenta con </w:t>
      </w:r>
      <w:r w:rsidRPr="002A612D">
        <w:rPr>
          <w:rFonts w:ascii="Arial" w:eastAsia="Arial" w:hAnsi="Arial" w:cs="Arial"/>
          <w:i/>
          <w:color w:val="000000"/>
          <w:kern w:val="0"/>
          <w:lang w:eastAsia="es-PE"/>
          <w14:ligatures w14:val="none"/>
        </w:rPr>
        <w:t xml:space="preserve">la capacidad económica </w:t>
      </w:r>
      <w:r w:rsidRPr="002A612D">
        <w:rPr>
          <w:rFonts w:ascii="Arial" w:eastAsia="Arial" w:hAnsi="Arial" w:cs="Arial"/>
          <w:color w:val="000000"/>
          <w:kern w:val="0"/>
          <w:lang w:eastAsia="es-PE"/>
          <w14:ligatures w14:val="none"/>
        </w:rPr>
        <w:t>para prevenir, mitigar o corregir las conductas y prácticas que podrían afectar sus legítimos intereses, a efectos de extender de forma excepcional la aplicación del sistema de protección al consumidor.</w:t>
      </w:r>
    </w:p>
    <w:p w14:paraId="1FA59A5E"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F1FD6E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efecto, según los artículos 4 y 5 de la Ley Mype</w:t>
      </w:r>
      <w:r w:rsidRPr="002A612D">
        <w:rPr>
          <w:rFonts w:ascii="Arial" w:eastAsia="Arial" w:hAnsi="Arial" w:cs="Arial"/>
          <w:color w:val="000000"/>
          <w:kern w:val="0"/>
          <w:vertAlign w:val="superscript"/>
          <w:lang w:eastAsia="es-PE"/>
          <w14:ligatures w14:val="none"/>
        </w:rPr>
        <w:footnoteReference w:id="6"/>
      </w:r>
      <w:r w:rsidRPr="002A612D">
        <w:rPr>
          <w:rFonts w:ascii="Arial" w:eastAsia="Arial" w:hAnsi="Arial" w:cs="Arial"/>
          <w:color w:val="000000"/>
          <w:kern w:val="0"/>
          <w:lang w:eastAsia="es-PE"/>
          <w14:ligatures w14:val="none"/>
        </w:rPr>
        <w:t xml:space="preserve">, el microempresario es definido como </w:t>
      </w:r>
      <w:r w:rsidRPr="002A612D">
        <w:rPr>
          <w:rFonts w:ascii="Arial" w:eastAsia="Arial" w:hAnsi="Arial" w:cs="Arial"/>
          <w:i/>
          <w:iCs/>
          <w:color w:val="000000"/>
          <w:kern w:val="0"/>
          <w:lang w:eastAsia="es-PE"/>
          <w14:ligatures w14:val="none"/>
        </w:rPr>
        <w:t>“la unidad económica constituida por una persona natural o jurídica, bajo cualquier forma de organización o gestión empresarial, que tiene como objeto desarrollar actividades de extracción, transformación, producción, comercialización de bienes o prestación de servicios”</w:t>
      </w:r>
      <w:r w:rsidRPr="002A612D">
        <w:rPr>
          <w:rFonts w:ascii="Arial" w:eastAsia="Arial" w:hAnsi="Arial" w:cs="Arial"/>
          <w:color w:val="000000"/>
          <w:kern w:val="0"/>
          <w:lang w:eastAsia="es-PE"/>
          <w14:ligatures w14:val="none"/>
        </w:rPr>
        <w:t>, y cuyo nivel de ventas netas anuales no supera 150 UIT.</w:t>
      </w:r>
    </w:p>
    <w:p w14:paraId="73840BB8"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BC28DB4"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Así, la persona natural o jurídica que pretende acceder a la tutela del Código por su calidad de microempresario deberá acreditar que cumple con el referido requisito, esto es, no sobrepasar el parámetro de ventas anuales dispuesto por la Ley Mype. Sin embargo, debido a que la situación o condición de microempresa puede verse </w:t>
      </w:r>
      <w:r w:rsidRPr="002A612D">
        <w:rPr>
          <w:rFonts w:ascii="Arial" w:eastAsia="Arial" w:hAnsi="Arial" w:cs="Arial"/>
          <w:color w:val="000000"/>
          <w:kern w:val="0"/>
          <w:lang w:eastAsia="es-PE"/>
          <w14:ligatures w14:val="none"/>
        </w:rPr>
        <w:lastRenderedPageBreak/>
        <w:t>modificada en cada ejercicio anual, resulta importante establecer el período relevante sobre el cual se determinará dicha condición.</w:t>
      </w:r>
    </w:p>
    <w:p w14:paraId="61C2EF9B"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E6EF683"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Al respecto, la </w:t>
      </w:r>
      <w:r w:rsidRPr="002A612D">
        <w:rPr>
          <w:rFonts w:ascii="Arial" w:eastAsia="Arial" w:hAnsi="Arial" w:cs="Arial"/>
          <w:kern w:val="0"/>
          <w:lang w:eastAsia="es-PE"/>
          <w14:ligatures w14:val="none"/>
        </w:rPr>
        <w:t xml:space="preserve">Directiva N° 001-2021/DIR-COD-INDECOPI, </w:t>
      </w:r>
      <w:r w:rsidRPr="002A612D">
        <w:rPr>
          <w:rFonts w:ascii="Arial" w:eastAsia="Arial" w:hAnsi="Arial" w:cs="Arial"/>
          <w:bCs/>
          <w:kern w:val="0"/>
          <w:lang w:eastAsia="es-PE"/>
          <w14:ligatures w14:val="none"/>
        </w:rPr>
        <w:t>Directiva Única que Regula los Procedimientos de Protección al Consumidor Previstos en el Código de Protección y Defensa del Consumidor (en adelante, Directiva Única de Protección al Consumidor)</w:t>
      </w:r>
      <w:r w:rsidRPr="002A612D">
        <w:rPr>
          <w:rFonts w:ascii="Arial" w:eastAsia="Arial" w:hAnsi="Arial" w:cs="Arial"/>
          <w:kern w:val="0"/>
          <w:lang w:eastAsia="es-PE"/>
          <w14:ligatures w14:val="none"/>
        </w:rPr>
        <w:t>, establece que el denunciante debe acreditar que ostenta la condición de microempresario a la fecha de la presentación de la denuncia</w:t>
      </w:r>
      <w:r w:rsidRPr="002A612D">
        <w:rPr>
          <w:rFonts w:ascii="Arial" w:eastAsia="Arial" w:hAnsi="Arial" w:cs="Arial"/>
          <w:color w:val="000000"/>
          <w:kern w:val="0"/>
          <w:vertAlign w:val="superscript"/>
          <w:lang w:eastAsia="es-PE"/>
          <w14:ligatures w14:val="none"/>
        </w:rPr>
        <w:footnoteReference w:id="7"/>
      </w:r>
      <w:r w:rsidRPr="002A612D">
        <w:rPr>
          <w:rFonts w:ascii="Arial" w:eastAsia="Arial" w:hAnsi="Arial" w:cs="Arial"/>
          <w:kern w:val="0"/>
          <w:lang w:eastAsia="es-PE"/>
          <w14:ligatures w14:val="none"/>
        </w:rPr>
        <w:t>.</w:t>
      </w:r>
    </w:p>
    <w:p w14:paraId="51F3B3F7"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D4BE34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ese sentido, el denunciante tendrá que evidenciar la condición de microempresario cuando presenta la denuncia administrativa, lo cual realizará mediante la presentación de las declaraciones juradas mensuales de IGV y del IR del ejercicio tributario anterior, en la medida que el ejercicio gravable (periodo fiscal) comienza el 1 de enero y finaliza el 31 de diciembre de cada año, ello según lo establecido en el artículo 57 del Texto Único Ordenado de la Ley de Impuesto a la Renta, aprobado por Decreto Supremo 179-2004-EF</w:t>
      </w:r>
      <w:r w:rsidRPr="002A612D">
        <w:rPr>
          <w:rFonts w:ascii="Arial" w:eastAsia="Arial" w:hAnsi="Arial" w:cs="Arial"/>
          <w:color w:val="000000"/>
          <w:kern w:val="0"/>
          <w:vertAlign w:val="superscript"/>
          <w:lang w:eastAsia="es-PE"/>
          <w14:ligatures w14:val="none"/>
        </w:rPr>
        <w:footnoteReference w:id="8"/>
      </w:r>
      <w:r w:rsidRPr="002A612D">
        <w:rPr>
          <w:rFonts w:ascii="Arial" w:eastAsia="Arial" w:hAnsi="Arial" w:cs="Arial"/>
          <w:color w:val="000000"/>
          <w:kern w:val="0"/>
          <w:lang w:eastAsia="es-PE"/>
          <w14:ligatures w14:val="none"/>
        </w:rPr>
        <w:t>.</w:t>
      </w:r>
    </w:p>
    <w:p w14:paraId="335BA8E9" w14:textId="77777777" w:rsidR="002A612D" w:rsidRPr="002A612D" w:rsidRDefault="002A612D" w:rsidP="002A612D">
      <w:pPr>
        <w:spacing w:after="0" w:line="240" w:lineRule="auto"/>
        <w:ind w:left="720"/>
        <w:contextualSpacing/>
        <w:jc w:val="both"/>
        <w:rPr>
          <w:rFonts w:ascii="Arial" w:eastAsia="Arial" w:hAnsi="Arial" w:cs="Arial"/>
          <w:color w:val="000000"/>
          <w:kern w:val="0"/>
          <w:lang w:eastAsia="es-PE"/>
          <w14:ligatures w14:val="none"/>
        </w:rPr>
      </w:pPr>
    </w:p>
    <w:p w14:paraId="5E6BC55D" w14:textId="77777777" w:rsidR="002A612D" w:rsidRPr="002A612D"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Con relación a ello, el literal b) del artículo 11 de la </w:t>
      </w:r>
      <w:r w:rsidRPr="002A612D">
        <w:rPr>
          <w:rFonts w:ascii="Arial" w:eastAsia="Arial" w:hAnsi="Arial" w:cs="Arial"/>
          <w:bCs/>
          <w:kern w:val="0"/>
          <w:lang w:eastAsia="es-PE"/>
          <w14:ligatures w14:val="none"/>
        </w:rPr>
        <w:t>Directiva Única de Protección al Consumidor</w:t>
      </w:r>
      <w:r w:rsidRPr="002A612D">
        <w:rPr>
          <w:rFonts w:ascii="Arial" w:eastAsia="Arial" w:hAnsi="Arial" w:cs="Arial"/>
          <w:kern w:val="0"/>
          <w:lang w:eastAsia="es-PE"/>
          <w14:ligatures w14:val="none"/>
        </w:rPr>
        <w:t xml:space="preserve"> establece que el denunciante que ostente la condición de microempresario debe presentar, entre otros, </w:t>
      </w:r>
      <w:r w:rsidRPr="002A612D">
        <w:rPr>
          <w:rFonts w:ascii="Arial" w:eastAsia="Arial" w:hAnsi="Arial" w:cs="Arial"/>
          <w:kern w:val="0"/>
          <w:u w:val="single"/>
          <w:lang w:eastAsia="es-PE"/>
          <w14:ligatures w14:val="none"/>
        </w:rPr>
        <w:t>la c</w:t>
      </w:r>
      <w:r w:rsidRPr="002A612D">
        <w:rPr>
          <w:rFonts w:ascii="Arial" w:eastAsia="Arial" w:hAnsi="Arial" w:cs="Arial"/>
          <w:color w:val="000000"/>
          <w:kern w:val="0"/>
          <w:u w:val="single"/>
          <w:lang w:eastAsia="es-PE"/>
          <w14:ligatures w14:val="none"/>
        </w:rPr>
        <w:t>opia simple de la documentación que acredite su condición de microempresa</w:t>
      </w:r>
      <w:r w:rsidRPr="002A612D">
        <w:rPr>
          <w:rFonts w:ascii="Arial" w:eastAsia="Arial" w:hAnsi="Arial" w:cs="Arial"/>
          <w:color w:val="000000"/>
          <w:kern w:val="0"/>
          <w:lang w:eastAsia="es-PE"/>
          <w14:ligatures w14:val="none"/>
        </w:rPr>
        <w:t>, de acuerdo con los requisitos exigidos por la legislación sobre la materia</w:t>
      </w:r>
      <w:r w:rsidRPr="002A612D">
        <w:rPr>
          <w:rFonts w:ascii="Arial" w:eastAsia="Arial" w:hAnsi="Arial" w:cs="Arial"/>
          <w:color w:val="000000"/>
          <w:kern w:val="0"/>
          <w:vertAlign w:val="superscript"/>
          <w:lang w:eastAsia="es-PE"/>
          <w14:ligatures w14:val="none"/>
        </w:rPr>
        <w:footnoteReference w:id="9"/>
      </w:r>
      <w:r w:rsidRPr="002A612D">
        <w:rPr>
          <w:rFonts w:ascii="Arial" w:eastAsia="Arial" w:hAnsi="Arial" w:cs="Arial"/>
          <w:kern w:val="0"/>
          <w:lang w:eastAsia="es-PE"/>
          <w14:ligatures w14:val="none"/>
        </w:rPr>
        <w:t>.</w:t>
      </w:r>
    </w:p>
    <w:p w14:paraId="677F6F01"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1ED25A9F"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A efectos de explicar lo expuesto, el análisis de la calidad de microempresario se deberá entender, de acuerdo con el siguiente diagrama:</w:t>
      </w:r>
    </w:p>
    <w:p w14:paraId="3B9248B5" w14:textId="77777777" w:rsidR="0076700A" w:rsidRPr="0076700A" w:rsidRDefault="0076700A" w:rsidP="0076700A">
      <w:pPr>
        <w:rPr>
          <w:rFonts w:ascii="Calibri" w:eastAsia="Calibri" w:hAnsi="Calibri" w:cs="Calibri"/>
          <w:b/>
          <w:bCs/>
          <w:color w:val="000000"/>
          <w:kern w:val="0"/>
          <w:lang w:eastAsia="es-PE"/>
          <w14:ligatures w14:val="none"/>
        </w:rPr>
      </w:pPr>
    </w:p>
    <w:p w14:paraId="63E3DE6D" w14:textId="77777777" w:rsidR="0076700A" w:rsidRDefault="0076700A" w:rsidP="0076700A">
      <w:pPr>
        <w:pStyle w:val="Prrafodelista"/>
        <w:ind w:left="1146"/>
        <w:rPr>
          <w:rFonts w:ascii="Calibri" w:eastAsia="Calibri" w:hAnsi="Calibri" w:cs="Calibri"/>
          <w:b/>
          <w:bCs/>
          <w:color w:val="000000"/>
          <w:kern w:val="0"/>
          <w:lang w:eastAsia="es-PE"/>
          <w14:ligatures w14:val="none"/>
        </w:rPr>
      </w:pPr>
    </w:p>
    <w:p w14:paraId="14F3F630" w14:textId="77777777" w:rsidR="0076700A" w:rsidRDefault="0076700A" w:rsidP="0076700A">
      <w:pPr>
        <w:pStyle w:val="Prrafodelista"/>
        <w:ind w:left="1146"/>
        <w:rPr>
          <w:rFonts w:ascii="Calibri" w:eastAsia="Calibri" w:hAnsi="Calibri" w:cs="Calibri"/>
          <w:b/>
          <w:bCs/>
          <w:color w:val="000000"/>
          <w:kern w:val="0"/>
          <w:lang w:eastAsia="es-PE"/>
          <w14:ligatures w14:val="none"/>
        </w:rPr>
      </w:pPr>
    </w:p>
    <w:p w14:paraId="6E76726A" w14:textId="77777777" w:rsidR="0076700A" w:rsidRPr="0076700A" w:rsidRDefault="0076700A" w:rsidP="0076700A">
      <w:pPr>
        <w:pStyle w:val="Prrafodelista"/>
        <w:spacing w:after="0" w:line="240" w:lineRule="auto"/>
        <w:ind w:left="1146"/>
        <w:jc w:val="center"/>
        <w:rPr>
          <w:rFonts w:ascii="Calibri" w:eastAsia="Calibri" w:hAnsi="Calibri" w:cs="Calibri"/>
          <w:b/>
          <w:bCs/>
          <w:color w:val="000000"/>
          <w:kern w:val="0"/>
          <w:lang w:eastAsia="es-PE"/>
          <w14:ligatures w14:val="none"/>
        </w:rPr>
      </w:pPr>
      <w:r w:rsidRPr="0076700A">
        <w:rPr>
          <w:rFonts w:ascii="Calibri" w:eastAsia="Calibri" w:hAnsi="Calibri" w:cs="Calibri"/>
          <w:b/>
          <w:bCs/>
          <w:color w:val="000000"/>
          <w:kern w:val="0"/>
          <w:lang w:eastAsia="es-PE"/>
          <w14:ligatures w14:val="none"/>
        </w:rPr>
        <w:lastRenderedPageBreak/>
        <w:t>Diagrama N° 2: Análisis de acreditación de microempresario</w:t>
      </w:r>
    </w:p>
    <w:p w14:paraId="51104EBC" w14:textId="77777777" w:rsidR="0076700A" w:rsidRPr="0076700A" w:rsidRDefault="0076700A" w:rsidP="0076700A">
      <w:pPr>
        <w:pStyle w:val="Prrafodelista"/>
        <w:spacing w:after="0" w:line="240" w:lineRule="auto"/>
        <w:ind w:left="1146"/>
        <w:rPr>
          <w:rFonts w:ascii="Arial" w:eastAsia="Arial" w:hAnsi="Arial" w:cs="Arial"/>
          <w:color w:val="000000"/>
          <w:kern w:val="0"/>
          <w:lang w:eastAsia="es-PE"/>
          <w14:ligatures w14:val="none"/>
        </w:rPr>
      </w:pPr>
    </w:p>
    <w:p w14:paraId="79A95072" w14:textId="77777777" w:rsidR="0076700A" w:rsidRPr="0076700A" w:rsidRDefault="0076700A" w:rsidP="0076700A">
      <w:pPr>
        <w:pStyle w:val="Prrafodelista"/>
        <w:spacing w:after="0" w:line="240" w:lineRule="auto"/>
        <w:ind w:left="1146"/>
        <w:rPr>
          <w:rFonts w:ascii="Arial" w:eastAsia="Arial" w:hAnsi="Arial" w:cs="Arial"/>
          <w:color w:val="000000"/>
          <w:kern w:val="0"/>
          <w:lang w:eastAsia="es-PE"/>
          <w14:ligatures w14:val="none"/>
        </w:rPr>
      </w:pPr>
      <w:r w:rsidRPr="002A612D">
        <w:rPr>
          <w:noProof/>
          <w:lang w:eastAsia="es-PE"/>
        </w:rPr>
        <w:drawing>
          <wp:inline distT="0" distB="0" distL="0" distR="0" wp14:anchorId="1F083490" wp14:editId="18D54079">
            <wp:extent cx="4714875" cy="1800300"/>
            <wp:effectExtent l="38100" t="38100" r="28575" b="47625"/>
            <wp:docPr id="2" name="Imagen 2"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Texto&#10;&#10;Descripción generada automáticamente"/>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714875" cy="1800300"/>
                    </a:xfrm>
                    <a:prstGeom prst="rect">
                      <a:avLst/>
                    </a:prstGeom>
                    <a:ln w="28575">
                      <a:solidFill>
                        <a:schemeClr val="tx1"/>
                      </a:solidFill>
                    </a:ln>
                  </pic:spPr>
                </pic:pic>
              </a:graphicData>
            </a:graphic>
          </wp:inline>
        </w:drawing>
      </w:r>
    </w:p>
    <w:p w14:paraId="0D6C37E2" w14:textId="77777777" w:rsidR="002A612D" w:rsidRPr="002A612D" w:rsidRDefault="002A612D" w:rsidP="0076700A">
      <w:pPr>
        <w:spacing w:after="0" w:line="240" w:lineRule="auto"/>
        <w:contextualSpacing/>
        <w:jc w:val="both"/>
        <w:rPr>
          <w:rFonts w:ascii="Arial" w:eastAsia="Arial" w:hAnsi="Arial" w:cs="Arial"/>
          <w:color w:val="000000"/>
          <w:kern w:val="0"/>
          <w:lang w:eastAsia="es-PE"/>
          <w14:ligatures w14:val="none"/>
        </w:rPr>
      </w:pPr>
    </w:p>
    <w:p w14:paraId="0BA87FB1"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5A3771A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Es oportuno precisar, que antes de la entrada en vigencia de la mencionada directiva, esta Comisión consideraba que los denunciantes tenían que evidenciar la condición de microempresario en dos (2) momentos: (i) cuando entabló la relación de consumo; y, además, (ii) cuando presentó la denuncia administrativa para acceder a la tutela del Código. Así debía acreditar que no sobrepasaba el parámetro de ventas anuales dispuesto por la Ley Mype en dichos periodos.</w:t>
      </w:r>
    </w:p>
    <w:p w14:paraId="1C110BE3"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5501B79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Sin embargo, actualmente, en cumplimiento con lo dispuesto en la </w:t>
      </w:r>
      <w:r w:rsidRPr="002A612D">
        <w:rPr>
          <w:rFonts w:ascii="Arial" w:eastAsia="Arial" w:hAnsi="Arial" w:cs="Arial"/>
          <w:bCs/>
          <w:kern w:val="0"/>
          <w:lang w:eastAsia="es-PE"/>
          <w14:ligatures w14:val="none"/>
        </w:rPr>
        <w:t>Directiva Única de Protección al Consumidor, corresponde a este órgano evidenciar la condición de microempresario de la denunciante al momento en que presentó su denuncia. Cabe precisar que, conforme lo señalado en la mencionada directiva, su aplicación es inmediata para los procedimientos en trámite</w:t>
      </w:r>
      <w:r w:rsidRPr="002A612D">
        <w:rPr>
          <w:rFonts w:ascii="Arial" w:eastAsia="Arial" w:hAnsi="Arial" w:cs="Arial"/>
          <w:color w:val="000000"/>
          <w:kern w:val="0"/>
          <w:vertAlign w:val="superscript"/>
          <w:lang w:eastAsia="es-PE"/>
          <w14:ligatures w14:val="none"/>
        </w:rPr>
        <w:footnoteReference w:id="10"/>
      </w:r>
      <w:r w:rsidRPr="002A612D">
        <w:rPr>
          <w:rFonts w:ascii="Arial" w:eastAsia="Arial" w:hAnsi="Arial" w:cs="Arial"/>
          <w:bCs/>
          <w:kern w:val="0"/>
          <w:lang w:eastAsia="es-PE"/>
          <w14:ligatures w14:val="none"/>
        </w:rPr>
        <w:t>.</w:t>
      </w:r>
    </w:p>
    <w:p w14:paraId="3DEDEC0F"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6B85D61C"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consecuencia, la denunciante deberá acreditar que era microempresario al momento que interpuso la denuncia administrativa, para lo cual deberá presentar las declaraciones juradas mensuales del IGV y del IR del ejercicio tributario anual inmediato anterior al momento de la verificación.</w:t>
      </w:r>
    </w:p>
    <w:p w14:paraId="0873E823"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619D32D9" w14:textId="77777777" w:rsidR="002A612D" w:rsidRPr="002A612D" w:rsidRDefault="002A612D" w:rsidP="002A612D">
      <w:pPr>
        <w:widowControl w:val="0"/>
        <w:numPr>
          <w:ilvl w:val="0"/>
          <w:numId w:val="5"/>
        </w:numPr>
        <w:spacing w:after="0" w:line="240" w:lineRule="auto"/>
        <w:ind w:left="573" w:hanging="573"/>
        <w:contextualSpacing/>
        <w:jc w:val="both"/>
        <w:rPr>
          <w:rFonts w:ascii="Arial" w:eastAsia="Calibri" w:hAnsi="Arial" w:cs="Arial"/>
          <w:i/>
          <w:color w:val="000000"/>
          <w:kern w:val="0"/>
          <w:u w:val="single"/>
          <w:lang w:eastAsia="es-PE"/>
          <w14:ligatures w14:val="none"/>
        </w:rPr>
      </w:pPr>
      <w:r w:rsidRPr="002A612D">
        <w:rPr>
          <w:rFonts w:ascii="Arial" w:eastAsia="Arial" w:hAnsi="Arial" w:cs="Arial"/>
          <w:i/>
          <w:color w:val="000000"/>
          <w:kern w:val="0"/>
          <w:u w:val="single"/>
          <w:lang w:eastAsia="es-PE"/>
          <w14:ligatures w14:val="none"/>
        </w:rPr>
        <w:t>El requisito de ventas anuales</w:t>
      </w:r>
    </w:p>
    <w:p w14:paraId="66B48825"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36D7E110"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Para determinar si se está ante un microempresario se deberá analizar si la parte denunciante cumple con los requisitos previstos en la Ley Mype y su Reglamento</w:t>
      </w:r>
      <w:r w:rsidRPr="002A612D">
        <w:rPr>
          <w:rFonts w:ascii="Arial" w:eastAsia="Arial" w:hAnsi="Arial" w:cs="Arial"/>
          <w:color w:val="000000"/>
          <w:kern w:val="0"/>
          <w:vertAlign w:val="superscript"/>
          <w:lang w:eastAsia="es-PE"/>
          <w14:ligatures w14:val="none"/>
        </w:rPr>
        <w:footnoteReference w:id="11"/>
      </w:r>
      <w:r w:rsidRPr="002A612D">
        <w:rPr>
          <w:rFonts w:ascii="Arial" w:eastAsia="Arial" w:hAnsi="Arial" w:cs="Arial"/>
          <w:color w:val="000000"/>
          <w:kern w:val="0"/>
          <w:lang w:eastAsia="es-PE"/>
          <w14:ligatures w14:val="none"/>
        </w:rPr>
        <w:t>.</w:t>
      </w:r>
    </w:p>
    <w:p w14:paraId="12E1F2B0"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0128158B" w14:textId="77777777" w:rsidR="002A612D" w:rsidRDefault="002A612D" w:rsidP="00BC2DD1">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lastRenderedPageBreak/>
        <w:t>Al respecto, el artículo 5° de la Ley Mype establece que, una microempresa (sea persona natural o jurídica) debe cumplir con las características que establece la norma, referidas a que su nivel de ventas anuales no debe superar las 150 UIT</w:t>
      </w:r>
      <w:r w:rsidRPr="002A612D">
        <w:rPr>
          <w:rFonts w:ascii="Arial" w:eastAsia="Arial" w:hAnsi="Arial" w:cs="Arial"/>
          <w:color w:val="000000"/>
          <w:kern w:val="0"/>
          <w:vertAlign w:val="superscript"/>
          <w:lang w:eastAsia="es-PE"/>
          <w14:ligatures w14:val="none"/>
        </w:rPr>
        <w:footnoteReference w:id="12"/>
      </w:r>
      <w:r w:rsidRPr="002A612D">
        <w:rPr>
          <w:rFonts w:ascii="Arial" w:eastAsia="Arial" w:hAnsi="Arial" w:cs="Arial"/>
          <w:color w:val="000000"/>
          <w:kern w:val="0"/>
          <w:lang w:eastAsia="es-PE"/>
          <w14:ligatures w14:val="none"/>
        </w:rPr>
        <w:t>.</w:t>
      </w:r>
    </w:p>
    <w:p w14:paraId="79CF3389" w14:textId="77777777" w:rsidR="00BC2DD1" w:rsidRPr="002A612D" w:rsidRDefault="00BC2DD1" w:rsidP="00BC2DD1">
      <w:pPr>
        <w:spacing w:after="0" w:line="240" w:lineRule="auto"/>
        <w:contextualSpacing/>
        <w:jc w:val="both"/>
        <w:rPr>
          <w:rFonts w:ascii="Arial" w:eastAsia="Arial" w:hAnsi="Arial" w:cs="Arial"/>
          <w:color w:val="000000"/>
          <w:kern w:val="0"/>
          <w:lang w:eastAsia="es-PE"/>
          <w14:ligatures w14:val="none"/>
        </w:rPr>
      </w:pPr>
    </w:p>
    <w:p w14:paraId="1CF8F7E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Asimismo, el artículo 2° del Reglamento de la Ley Mype</w:t>
      </w:r>
      <w:r w:rsidRPr="002A612D">
        <w:rPr>
          <w:rFonts w:ascii="Arial" w:eastAsia="Arial" w:hAnsi="Arial" w:cs="Arial"/>
          <w:color w:val="000000"/>
          <w:kern w:val="0"/>
          <w:vertAlign w:val="superscript"/>
          <w:lang w:eastAsia="es-PE"/>
          <w14:ligatures w14:val="none"/>
        </w:rPr>
        <w:footnoteReference w:id="13"/>
      </w:r>
      <w:r w:rsidRPr="002A612D">
        <w:rPr>
          <w:rFonts w:ascii="Arial" w:eastAsia="Arial" w:hAnsi="Arial" w:cs="Arial"/>
          <w:color w:val="000000"/>
          <w:kern w:val="0"/>
          <w:lang w:eastAsia="es-PE"/>
          <w14:ligatures w14:val="none"/>
        </w:rPr>
        <w:t xml:space="preserve"> establece que, se deberá entender por niveles de ventas anuales, lo siguiente:</w:t>
      </w:r>
    </w:p>
    <w:p w14:paraId="164AEB94"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533C4902" w14:textId="77777777" w:rsidR="002A612D" w:rsidRPr="002A612D" w:rsidRDefault="002A612D" w:rsidP="002A612D">
      <w:pPr>
        <w:widowControl w:val="0"/>
        <w:numPr>
          <w:ilvl w:val="0"/>
          <w:numId w:val="8"/>
        </w:numPr>
        <w:spacing w:after="0" w:line="240" w:lineRule="auto"/>
        <w:ind w:left="990" w:hanging="435"/>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Los ingresos netos anuales gravados con el IR que resulten de la sumatoria de los montos de tales ingresos consignados en las declaraciones juradas mensuales de los pagos a cuenta del IR, tratándose de contribuyentes comprendidos en el Régimen General del IR.</w:t>
      </w:r>
    </w:p>
    <w:p w14:paraId="4AC9AD10" w14:textId="77777777" w:rsidR="002A612D" w:rsidRPr="002A612D" w:rsidRDefault="002A612D" w:rsidP="002A612D">
      <w:pPr>
        <w:widowControl w:val="0"/>
        <w:numPr>
          <w:ilvl w:val="0"/>
          <w:numId w:val="8"/>
        </w:numPr>
        <w:spacing w:after="0" w:line="240" w:lineRule="auto"/>
        <w:ind w:left="990" w:hanging="435"/>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Los ingresos netos anuales que resulten de la sumatoria de los montos de tales ingresos consignados en las declaraciones juradas mensuales del Régimen Especial del IR, tratándose de contribuyentes de este Régimen.</w:t>
      </w:r>
    </w:p>
    <w:p w14:paraId="360128C3" w14:textId="77777777" w:rsidR="002A612D" w:rsidRPr="002A612D" w:rsidRDefault="002A612D" w:rsidP="002A612D">
      <w:pPr>
        <w:widowControl w:val="0"/>
        <w:numPr>
          <w:ilvl w:val="0"/>
          <w:numId w:val="8"/>
        </w:numPr>
        <w:spacing w:after="0" w:line="240" w:lineRule="auto"/>
        <w:ind w:left="990" w:hanging="435"/>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Los ingresos brutos anuales que resulten de la sumatoria de los montos de tales ingresos consignados en las declaraciones juradas del Nuevo RUS, tratándose de contribuyentes de este Régimen.</w:t>
      </w:r>
    </w:p>
    <w:p w14:paraId="65859488"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0A0217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El artículo 85° de la Ley del Impuesto a la Renta</w:t>
      </w:r>
      <w:r w:rsidRPr="002A612D">
        <w:rPr>
          <w:rFonts w:ascii="Arial" w:eastAsia="Arial" w:hAnsi="Arial" w:cs="Arial"/>
          <w:color w:val="000000"/>
          <w:kern w:val="0"/>
          <w:vertAlign w:val="superscript"/>
          <w:lang w:eastAsia="es-PE"/>
          <w14:ligatures w14:val="none"/>
        </w:rPr>
        <w:footnoteReference w:id="14"/>
      </w:r>
      <w:r w:rsidRPr="002A612D">
        <w:rPr>
          <w:rFonts w:ascii="Arial" w:eastAsia="Arial" w:hAnsi="Arial" w:cs="Arial"/>
          <w:color w:val="000000"/>
          <w:kern w:val="0"/>
          <w:lang w:eastAsia="es-PE"/>
          <w14:ligatures w14:val="none"/>
        </w:rPr>
        <w:t xml:space="preserve"> establece que se consideran ingresos netos el total de ingresos gravables de la tercera categoría, devengados en cada mes, </w:t>
      </w:r>
      <w:r w:rsidRPr="002A612D">
        <w:rPr>
          <w:rFonts w:ascii="Arial" w:eastAsia="Arial" w:hAnsi="Arial" w:cs="Arial"/>
          <w:color w:val="000000"/>
          <w:kern w:val="0"/>
          <w:lang w:eastAsia="es-PE"/>
          <w14:ligatures w14:val="none"/>
        </w:rPr>
        <w:lastRenderedPageBreak/>
        <w:t xml:space="preserve">menos las devoluciones, bonificaciones, descuentos y demás conceptos de naturaleza similar que respondan a la costumbre de la plaza.  </w:t>
      </w:r>
    </w:p>
    <w:p w14:paraId="2A318A75"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4999805F"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Para mayor abundamiento, el Tribunal Fiscal del Ministerio de Economía y Finanzas, mediante Resolución 02760-5-2006, precisó que la determinación de los ingresos netos devengados en cada mes debe considerar aquellos ingresos definidos como tales en las normas internacionales de contabilidad, gravados por el impuesto a la renta de tercera categoría, tales como la venta de productos, la prestación de servicios, el uso por terceros de los activos de la empresas que generen intereses, regalías y dividendos, la disposición de activos como inmuebles, maquinarias y equipos, e inversiones</w:t>
      </w:r>
      <w:r w:rsidRPr="002A612D">
        <w:rPr>
          <w:rFonts w:ascii="Arial" w:eastAsia="Arial" w:hAnsi="Arial" w:cs="Arial"/>
          <w:color w:val="000000"/>
          <w:kern w:val="0"/>
          <w:vertAlign w:val="superscript"/>
          <w:lang w:eastAsia="es-PE"/>
          <w14:ligatures w14:val="none"/>
        </w:rPr>
        <w:footnoteReference w:id="15"/>
      </w:r>
      <w:r w:rsidRPr="002A612D">
        <w:rPr>
          <w:rFonts w:ascii="Arial" w:eastAsia="Arial" w:hAnsi="Arial" w:cs="Arial"/>
          <w:color w:val="000000"/>
          <w:kern w:val="0"/>
          <w:lang w:eastAsia="es-PE"/>
          <w14:ligatures w14:val="none"/>
        </w:rPr>
        <w:t>.</w:t>
      </w:r>
    </w:p>
    <w:p w14:paraId="20DE9C7F"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172681C4"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La definición contable de </w:t>
      </w:r>
      <w:r w:rsidRPr="002A612D">
        <w:rPr>
          <w:rFonts w:ascii="Arial" w:eastAsia="Arial" w:hAnsi="Arial" w:cs="Arial"/>
          <w:i/>
          <w:color w:val="000000"/>
          <w:kern w:val="0"/>
          <w:lang w:eastAsia="es-PE"/>
          <w14:ligatures w14:val="none"/>
        </w:rPr>
        <w:t>ingresos</w:t>
      </w:r>
      <w:r w:rsidRPr="002A612D">
        <w:rPr>
          <w:rFonts w:ascii="Arial" w:eastAsia="Arial" w:hAnsi="Arial" w:cs="Arial"/>
          <w:color w:val="000000"/>
          <w:kern w:val="0"/>
          <w:lang w:eastAsia="es-PE"/>
          <w14:ligatures w14:val="none"/>
        </w:rPr>
        <w:t xml:space="preserve"> a decir de la Norma Internacional de Contabilidad (NIC) 18 “Ingresos de Actividades Ordinarias” señala que “</w:t>
      </w:r>
      <w:r w:rsidRPr="002A612D">
        <w:rPr>
          <w:rFonts w:ascii="Arial" w:eastAsia="Arial" w:hAnsi="Arial" w:cs="Arial"/>
          <w:i/>
          <w:iCs/>
          <w:color w:val="000000"/>
          <w:kern w:val="0"/>
          <w:lang w:eastAsia="es-PE"/>
          <w14:ligatures w14:val="none"/>
        </w:rPr>
        <w:t>l</w:t>
      </w:r>
      <w:r w:rsidRPr="002A612D">
        <w:rPr>
          <w:rFonts w:ascii="Arial" w:eastAsia="Arial" w:hAnsi="Arial" w:cs="Arial"/>
          <w:i/>
          <w:iCs/>
          <w:color w:val="000000"/>
          <w:kern w:val="0"/>
          <w:szCs w:val="24"/>
          <w:lang w:eastAsia="es-PE"/>
          <w14:ligatures w14:val="none"/>
        </w:rPr>
        <w:t>os ingresos son definidos como incrementos en los beneficios económicos, producidos a lo largo del periodo contable, en forma de entradas o incrementos de valor de los activos, o bien como disminuciones de los pasivos, que dan como resultado aumentos del patrimonio y no están relacionados con las aportaciones de los propietarios de la entidad. El concepto de ingreso comprende tanto los ingresos de actividades ordinarias como las ganancias</w:t>
      </w:r>
      <w:r w:rsidRPr="002A612D">
        <w:rPr>
          <w:rFonts w:ascii="Arial" w:eastAsia="Arial" w:hAnsi="Arial" w:cs="Arial"/>
          <w:iCs/>
          <w:color w:val="000000"/>
          <w:kern w:val="0"/>
          <w:szCs w:val="24"/>
          <w:lang w:eastAsia="es-PE"/>
          <w14:ligatures w14:val="none"/>
        </w:rPr>
        <w:t>”.</w:t>
      </w:r>
    </w:p>
    <w:p w14:paraId="3B4CF693"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129C2BF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De conformidad con lo expuesto, para determinar la calidad de microempresario de la denunciante corresponde verificar que su nivel de ventas, compuesto por sus ingresos netos anuales, los cuales incluyen las ventas de bienes o prestación de servicios relacionados con su giro de negocio, así como otros ingresos gravados por el IR, no supere las ciento cincuenta (150) Unidades Impositivas Tributarias (UIT).</w:t>
      </w:r>
    </w:p>
    <w:p w14:paraId="0C50406F"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7DC4ACA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Es preciso señalar que, a los fundamentos desarrollados precedentemente, corresponde considerar como parámetro para la determinación de la calidad de microempresario de la denunciante, en los términos de la Ley Mype y su reglamento, la </w:t>
      </w:r>
      <w:r w:rsidRPr="002A612D">
        <w:rPr>
          <w:rFonts w:ascii="Arial" w:eastAsia="Arial" w:hAnsi="Arial" w:cs="Arial"/>
          <w:color w:val="000000"/>
          <w:kern w:val="0"/>
          <w:lang w:eastAsia="es-PE"/>
          <w14:ligatures w14:val="none"/>
        </w:rPr>
        <w:lastRenderedPageBreak/>
        <w:t>suma de todos los ingresos gravados con el IR más las ventas por bienes o prestación de servicios.</w:t>
      </w:r>
    </w:p>
    <w:p w14:paraId="7D2063B2"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E9DAC8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ese sentido, la Comisión procederá a verificar que la suma de los ingresos netos consignados en las declaraciones juradas mensuales del IGV y del IR (PDT IGV-Renta Mensual) en el ejercicio no superen las ciento cincuenta (150) UIT, conforme lo dispone el Reglamento de la Ley Mype.</w:t>
      </w:r>
    </w:p>
    <w:p w14:paraId="61F1BE64" w14:textId="77777777" w:rsidR="002A612D" w:rsidRPr="002A612D" w:rsidRDefault="002A612D" w:rsidP="002A612D">
      <w:pPr>
        <w:spacing w:after="0" w:line="276" w:lineRule="auto"/>
        <w:ind w:left="720"/>
        <w:contextualSpacing/>
        <w:rPr>
          <w:rFonts w:ascii="Arial" w:eastAsia="Arial" w:hAnsi="Arial" w:cs="Arial"/>
          <w:color w:val="000000"/>
          <w:kern w:val="0"/>
          <w:lang w:eastAsia="es-PE"/>
          <w14:ligatures w14:val="none"/>
        </w:rPr>
      </w:pPr>
    </w:p>
    <w:p w14:paraId="1221F75F" w14:textId="77777777" w:rsidR="002A612D" w:rsidRPr="002A612D" w:rsidRDefault="002A612D" w:rsidP="002A612D">
      <w:pPr>
        <w:widowControl w:val="0"/>
        <w:numPr>
          <w:ilvl w:val="1"/>
          <w:numId w:val="11"/>
        </w:numPr>
        <w:spacing w:after="0" w:line="240" w:lineRule="auto"/>
        <w:ind w:left="567" w:hanging="567"/>
        <w:contextualSpacing/>
        <w:jc w:val="both"/>
        <w:rPr>
          <w:rFonts w:ascii="Arial" w:eastAsia="Arial" w:hAnsi="Arial" w:cs="Arial"/>
          <w:b/>
          <w:bCs/>
          <w:color w:val="000000"/>
          <w:kern w:val="0"/>
          <w:lang w:eastAsia="es-PE"/>
          <w14:ligatures w14:val="none"/>
        </w:rPr>
      </w:pPr>
      <w:r w:rsidRPr="002A612D">
        <w:rPr>
          <w:rFonts w:ascii="Arial" w:eastAsia="Arial" w:hAnsi="Arial" w:cs="Arial"/>
          <w:b/>
          <w:bCs/>
          <w:color w:val="000000"/>
          <w:kern w:val="0"/>
          <w:lang w:eastAsia="es-PE"/>
          <w14:ligatures w14:val="none"/>
        </w:rPr>
        <w:t xml:space="preserve">Sobre la aplicación al caso concreto </w:t>
      </w:r>
    </w:p>
    <w:p w14:paraId="3C1BA059"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0AE34FF3" w14:textId="4043819F"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atención a lo expuesto, la Comisión analizará si </w:t>
      </w:r>
      <w:r w:rsidR="00BC2DD1" w:rsidRPr="000F4361">
        <w:rPr>
          <w:rFonts w:ascii="Arial" w:eastAsia="Arial" w:hAnsi="Arial" w:cs="Arial"/>
          <w:color w:val="000000"/>
          <w:kern w:val="0"/>
          <w:highlight w:val="green"/>
          <w:lang w:eastAsia="es-PE"/>
          <w14:ligatures w14:val="none"/>
        </w:rPr>
        <w:t xml:space="preserve">el </w:t>
      </w:r>
      <w:r w:rsidR="00302247" w:rsidRPr="000F4361">
        <w:rPr>
          <w:rFonts w:ascii="Arial" w:eastAsia="Arial" w:hAnsi="Arial" w:cs="Arial"/>
          <w:color w:val="000000"/>
          <w:kern w:val="0"/>
          <w:highlight w:val="green"/>
          <w:lang w:eastAsia="es-PE"/>
          <w14:ligatures w14:val="none"/>
        </w:rPr>
        <w:t>J.B. Comercio</w:t>
      </w:r>
      <w:r w:rsidR="00302247" w:rsidRPr="00302247">
        <w:rPr>
          <w:rFonts w:ascii="Arial" w:eastAsia="Arial" w:hAnsi="Arial" w:cs="Arial"/>
          <w:color w:val="000000"/>
          <w:kern w:val="0"/>
          <w:lang w:eastAsia="es-PE"/>
          <w14:ligatures w14:val="none"/>
        </w:rPr>
        <w:t xml:space="preserve"> </w:t>
      </w:r>
      <w:r w:rsidRPr="002A612D">
        <w:rPr>
          <w:rFonts w:ascii="Arial" w:eastAsia="Arial" w:hAnsi="Arial" w:cs="Arial"/>
          <w:color w:val="000000"/>
          <w:kern w:val="0"/>
          <w:lang w:eastAsia="es-PE"/>
          <w14:ligatures w14:val="none"/>
        </w:rPr>
        <w:t>encaja en la noción de consumidor establecida por el Código.</w:t>
      </w:r>
    </w:p>
    <w:p w14:paraId="4D7EDA0B" w14:textId="77777777" w:rsidR="002A612D" w:rsidRPr="002A612D" w:rsidRDefault="002A612D" w:rsidP="002A612D">
      <w:pPr>
        <w:widowControl w:val="0"/>
        <w:spacing w:after="0" w:line="240" w:lineRule="auto"/>
        <w:ind w:left="426" w:hanging="426"/>
        <w:jc w:val="both"/>
        <w:rPr>
          <w:rFonts w:ascii="Arial" w:eastAsia="Calibri" w:hAnsi="Arial" w:cs="Arial"/>
          <w:color w:val="000000"/>
          <w:kern w:val="0"/>
          <w:lang w:eastAsia="es-PE"/>
          <w14:ligatures w14:val="none"/>
        </w:rPr>
      </w:pPr>
    </w:p>
    <w:p w14:paraId="167FBDC0" w14:textId="77777777" w:rsidR="002A612D" w:rsidRPr="002A612D" w:rsidRDefault="002A612D" w:rsidP="002A612D">
      <w:pPr>
        <w:widowControl w:val="0"/>
        <w:numPr>
          <w:ilvl w:val="0"/>
          <w:numId w:val="12"/>
        </w:numPr>
        <w:spacing w:after="0" w:line="240" w:lineRule="auto"/>
        <w:ind w:left="567" w:hanging="567"/>
        <w:contextualSpacing/>
        <w:jc w:val="both"/>
        <w:rPr>
          <w:rFonts w:ascii="Arial" w:eastAsia="Arial" w:hAnsi="Arial" w:cs="Arial"/>
          <w:i/>
          <w:color w:val="000000"/>
          <w:kern w:val="0"/>
          <w:lang w:eastAsia="es-PE"/>
          <w14:ligatures w14:val="none"/>
        </w:rPr>
      </w:pPr>
      <w:r w:rsidRPr="002A612D">
        <w:rPr>
          <w:rFonts w:ascii="Arial" w:eastAsia="Arial" w:hAnsi="Arial" w:cs="Arial"/>
          <w:i/>
          <w:color w:val="000000"/>
          <w:kern w:val="0"/>
          <w:lang w:eastAsia="es-PE"/>
          <w14:ligatures w14:val="none"/>
        </w:rPr>
        <w:t>Filtro general</w:t>
      </w:r>
    </w:p>
    <w:p w14:paraId="3D9F3BDA"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0C7F084" w14:textId="306B090B" w:rsidR="002A612D" w:rsidRPr="00D40312"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sz w:val="16"/>
          <w:szCs w:val="16"/>
          <w:lang w:eastAsia="es-PE"/>
          <w14:ligatures w14:val="none"/>
        </w:rPr>
      </w:pPr>
      <w:r w:rsidRPr="002A612D">
        <w:rPr>
          <w:rFonts w:ascii="Arial" w:eastAsia="Arial" w:hAnsi="Arial" w:cs="Arial"/>
          <w:color w:val="000000"/>
          <w:kern w:val="0"/>
          <w:lang w:eastAsia="es-PE"/>
          <w14:ligatures w14:val="none"/>
        </w:rPr>
        <w:t xml:space="preserve">De la consulta a la información publicada en la página </w:t>
      </w:r>
      <w:r w:rsidRPr="002A612D">
        <w:rPr>
          <w:rFonts w:ascii="Arial" w:eastAsia="Arial" w:hAnsi="Arial" w:cs="Arial"/>
          <w:i/>
          <w:iCs/>
          <w:color w:val="000000"/>
          <w:kern w:val="0"/>
          <w:lang w:eastAsia="es-PE"/>
          <w14:ligatures w14:val="none"/>
        </w:rPr>
        <w:t>web</w:t>
      </w:r>
      <w:r w:rsidRPr="002A612D">
        <w:rPr>
          <w:rFonts w:ascii="Arial" w:eastAsia="Arial" w:hAnsi="Arial" w:cs="Arial"/>
          <w:color w:val="000000"/>
          <w:kern w:val="0"/>
          <w:lang w:eastAsia="es-PE"/>
          <w14:ligatures w14:val="none"/>
        </w:rPr>
        <w:t xml:space="preserve"> del Registro Único de Contribuyente (RUC) de la Superintendencia Nacional de Aduanas y de Administración Tributaria (en adelante, Sunat)</w:t>
      </w:r>
      <w:r w:rsidRPr="002A612D">
        <w:rPr>
          <w:rFonts w:ascii="Arial" w:eastAsia="Calibri" w:hAnsi="Arial" w:cs="Arial"/>
          <w:color w:val="000000"/>
          <w:kern w:val="0"/>
          <w:vertAlign w:val="superscript"/>
          <w:lang w:eastAsia="es-PE"/>
          <w14:ligatures w14:val="none"/>
        </w:rPr>
        <w:footnoteReference w:id="16"/>
      </w:r>
      <w:r w:rsidRPr="002A612D">
        <w:rPr>
          <w:rFonts w:ascii="Arial" w:eastAsia="Arial" w:hAnsi="Arial" w:cs="Arial"/>
          <w:color w:val="000000"/>
          <w:kern w:val="0"/>
          <w:lang w:eastAsia="es-PE"/>
          <w14:ligatures w14:val="none"/>
        </w:rPr>
        <w:t xml:space="preserve">, se ha </w:t>
      </w:r>
      <w:r w:rsidRPr="00D40312">
        <w:rPr>
          <w:rFonts w:ascii="Arial" w:eastAsia="Arial" w:hAnsi="Arial" w:cs="Arial"/>
          <w:color w:val="000000"/>
          <w:kern w:val="0"/>
          <w:lang w:eastAsia="es-PE"/>
          <w14:ligatures w14:val="none"/>
        </w:rPr>
        <w:t xml:space="preserve">verificado que </w:t>
      </w:r>
      <w:r w:rsidR="005377AC" w:rsidRPr="000F4361">
        <w:rPr>
          <w:rFonts w:ascii="Arial" w:eastAsia="Arial" w:hAnsi="Arial" w:cs="Arial"/>
          <w:color w:val="000000"/>
          <w:kern w:val="0"/>
          <w:highlight w:val="green"/>
          <w:lang w:eastAsia="es-PE"/>
          <w14:ligatures w14:val="none"/>
        </w:rPr>
        <w:t>J.B. Comercio</w:t>
      </w:r>
      <w:r w:rsidR="005377AC" w:rsidRPr="00D40312">
        <w:rPr>
          <w:rFonts w:ascii="Arial" w:eastAsia="Arial" w:hAnsi="Arial" w:cs="Arial"/>
          <w:color w:val="000000"/>
          <w:kern w:val="0"/>
          <w:lang w:eastAsia="es-PE"/>
          <w14:ligatures w14:val="none"/>
        </w:rPr>
        <w:t xml:space="preserve"> </w:t>
      </w:r>
      <w:r w:rsidRPr="006C1F73">
        <w:rPr>
          <w:rFonts w:ascii="Arial" w:eastAsia="Arial" w:hAnsi="Arial" w:cs="Arial"/>
          <w:color w:val="000000"/>
          <w:kern w:val="0"/>
          <w:highlight w:val="magenta"/>
          <w:lang w:eastAsia="es-PE"/>
          <w14:ligatures w14:val="none"/>
        </w:rPr>
        <w:t>es una sociedad anónima cerrada</w:t>
      </w:r>
      <w:r w:rsidRPr="00D40312">
        <w:rPr>
          <w:rFonts w:ascii="Arial" w:eastAsia="Arial" w:hAnsi="Arial" w:cs="Arial"/>
          <w:color w:val="000000"/>
          <w:kern w:val="0"/>
          <w:lang w:eastAsia="es-PE"/>
          <w14:ligatures w14:val="none"/>
        </w:rPr>
        <w:t xml:space="preserve"> </w:t>
      </w:r>
      <w:r w:rsidRPr="001A2425">
        <w:rPr>
          <w:rFonts w:ascii="Arial" w:eastAsia="Arial" w:hAnsi="Arial" w:cs="Arial"/>
          <w:color w:val="000000"/>
          <w:kern w:val="0"/>
          <w:highlight w:val="red"/>
          <w:lang w:eastAsia="es-PE"/>
          <w14:ligatures w14:val="none"/>
        </w:rPr>
        <w:t xml:space="preserve">dedicada, entre otros aspectos, a la </w:t>
      </w:r>
      <w:r w:rsidR="005377AC" w:rsidRPr="001A2425">
        <w:rPr>
          <w:rFonts w:ascii="Arial" w:eastAsia="Arial" w:hAnsi="Arial" w:cs="Arial"/>
          <w:color w:val="000000"/>
          <w:kern w:val="0"/>
          <w:highlight w:val="red"/>
          <w:lang w:eastAsia="es-PE"/>
          <w14:ligatures w14:val="none"/>
        </w:rPr>
        <w:t xml:space="preserve">venta al por mayor de otros enseres domésticos, limpieza general de edificios y </w:t>
      </w:r>
      <w:r w:rsidR="0021001B" w:rsidRPr="001A2425">
        <w:rPr>
          <w:rFonts w:ascii="Arial" w:eastAsia="Arial" w:hAnsi="Arial" w:cs="Arial"/>
          <w:color w:val="000000"/>
          <w:kern w:val="0"/>
          <w:highlight w:val="red"/>
          <w:lang w:eastAsia="es-PE"/>
          <w14:ligatures w14:val="none"/>
        </w:rPr>
        <w:t>v</w:t>
      </w:r>
      <w:r w:rsidR="005377AC" w:rsidRPr="001A2425">
        <w:rPr>
          <w:rFonts w:ascii="Arial" w:eastAsia="Arial" w:hAnsi="Arial" w:cs="Arial"/>
          <w:color w:val="000000"/>
          <w:kern w:val="0"/>
          <w:highlight w:val="red"/>
          <w:lang w:eastAsia="es-PE"/>
          <w14:ligatures w14:val="none"/>
        </w:rPr>
        <w:t>enta al por mayor de materiales de construcción, artículos de ferretería y equipo y materiales de fontanería y calefacción</w:t>
      </w:r>
      <w:r w:rsidRPr="00D40312">
        <w:rPr>
          <w:rFonts w:ascii="Arial" w:eastAsia="Arial" w:hAnsi="Arial" w:cs="Arial"/>
          <w:color w:val="000000"/>
          <w:kern w:val="0"/>
          <w:lang w:eastAsia="es-PE"/>
          <w14:ligatures w14:val="none"/>
        </w:rPr>
        <w:t xml:space="preserve">. </w:t>
      </w:r>
    </w:p>
    <w:p w14:paraId="3162B505" w14:textId="77777777" w:rsidR="002A612D" w:rsidRPr="00D40312" w:rsidRDefault="002A612D" w:rsidP="002A612D">
      <w:pPr>
        <w:widowControl w:val="0"/>
        <w:spacing w:after="0" w:line="240" w:lineRule="auto"/>
        <w:ind w:left="567"/>
        <w:contextualSpacing/>
        <w:jc w:val="both"/>
        <w:rPr>
          <w:rFonts w:ascii="Arial" w:eastAsia="Arial" w:hAnsi="Arial" w:cs="Arial"/>
          <w:color w:val="000000"/>
          <w:kern w:val="0"/>
          <w:sz w:val="16"/>
          <w:szCs w:val="16"/>
          <w:lang w:eastAsia="es-PE"/>
          <w14:ligatures w14:val="none"/>
        </w:rPr>
      </w:pPr>
    </w:p>
    <w:p w14:paraId="32C75C15" w14:textId="376A03D3" w:rsidR="002A612D" w:rsidRPr="00D40312"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 xml:space="preserve">En el presente caso, se ha corroborado que la </w:t>
      </w:r>
      <w:commentRangeStart w:id="5"/>
      <w:r w:rsidRPr="0094540B">
        <w:rPr>
          <w:rFonts w:ascii="Arial" w:eastAsia="Calibri" w:hAnsi="Arial" w:cs="Arial"/>
          <w:color w:val="000000"/>
          <w:kern w:val="0"/>
          <w:highlight w:val="magenta"/>
          <w14:ligatures w14:val="none"/>
        </w:rPr>
        <w:t xml:space="preserve">Póliza Vehicular </w:t>
      </w:r>
      <w:r w:rsidRPr="0094540B">
        <w:rPr>
          <w:rFonts w:ascii="Arial" w:eastAsia="Arial" w:hAnsi="Arial" w:cs="Arial"/>
          <w:color w:val="000000"/>
          <w:kern w:val="0"/>
          <w:highlight w:val="magenta"/>
          <w:lang w:eastAsia="es-PE"/>
          <w14:ligatures w14:val="none"/>
        </w:rPr>
        <w:t xml:space="preserve"> </w:t>
      </w:r>
      <w:r w:rsidR="0021001B" w:rsidRPr="0094540B">
        <w:rPr>
          <w:rFonts w:ascii="Arial" w:eastAsia="Arial Narrow" w:hAnsi="Arial" w:cs="Arial"/>
          <w:color w:val="000000"/>
          <w:kern w:val="0"/>
          <w:highlight w:val="magenta"/>
          <w:lang w:eastAsia="es-PE"/>
          <w14:ligatures w14:val="none"/>
        </w:rPr>
        <w:t>N° 0080016745</w:t>
      </w:r>
      <w:r w:rsidR="0094540B">
        <w:rPr>
          <w:rFonts w:ascii="Arial" w:eastAsia="Arial Narrow" w:hAnsi="Arial" w:cs="Arial"/>
          <w:color w:val="000000"/>
          <w:kern w:val="0"/>
          <w:lang w:eastAsia="es-PE"/>
          <w14:ligatures w14:val="none"/>
        </w:rPr>
        <w:t xml:space="preserve"> </w:t>
      </w:r>
      <w:commentRangeEnd w:id="5"/>
      <w:r w:rsidR="00C4316C" w:rsidRPr="00D40312">
        <w:rPr>
          <w:rStyle w:val="Refdecomentario"/>
          <w:rFonts w:ascii="Arial" w:eastAsia="Arial" w:hAnsi="Arial" w:cs="Arial"/>
          <w:color w:val="000000"/>
          <w:kern w:val="0"/>
          <w:sz w:val="22"/>
          <w:szCs w:val="22"/>
          <w:lang w:eastAsia="es-PE"/>
          <w14:ligatures w14:val="none"/>
        </w:rPr>
        <w:commentReference w:id="5"/>
      </w:r>
      <w:r w:rsidRPr="00D40312">
        <w:rPr>
          <w:rFonts w:ascii="Arial" w:eastAsia="Arial" w:hAnsi="Arial" w:cs="Arial"/>
          <w:color w:val="000000"/>
          <w:kern w:val="0"/>
          <w:lang w:eastAsia="es-PE"/>
          <w14:ligatures w14:val="none"/>
        </w:rPr>
        <w:t xml:space="preserve">fue contratado a titularidad </w:t>
      </w:r>
      <w:r w:rsidR="009A5D23" w:rsidRPr="000F4361">
        <w:rPr>
          <w:rFonts w:ascii="Arial" w:eastAsia="Arial" w:hAnsi="Arial" w:cs="Arial"/>
          <w:color w:val="000000"/>
          <w:kern w:val="0"/>
          <w:highlight w:val="green"/>
          <w:lang w:eastAsia="es-PE"/>
          <w14:ligatures w14:val="none"/>
        </w:rPr>
        <w:t xml:space="preserve">del </w:t>
      </w:r>
      <w:r w:rsidR="0021001B" w:rsidRPr="000F4361">
        <w:rPr>
          <w:rFonts w:ascii="Arial" w:eastAsia="Arial" w:hAnsi="Arial" w:cs="Arial"/>
          <w:color w:val="000000"/>
          <w:kern w:val="0"/>
          <w:highlight w:val="green"/>
          <w:lang w:eastAsia="es-PE"/>
          <w14:ligatures w14:val="none"/>
        </w:rPr>
        <w:t>J.B. Comercio</w:t>
      </w:r>
      <w:r w:rsidRPr="00D40312">
        <w:rPr>
          <w:rFonts w:ascii="Arial" w:eastAsia="Arial" w:hAnsi="Arial" w:cs="Arial"/>
          <w:color w:val="000000"/>
          <w:kern w:val="0"/>
          <w:lang w:eastAsia="es-PE"/>
          <w14:ligatures w14:val="none"/>
        </w:rPr>
        <w:t>, lo cual permite inferir que el referido producto financiero fue contratado para llevar a cabo actividades de índole empresarial. </w:t>
      </w:r>
    </w:p>
    <w:p w14:paraId="25244E3F" w14:textId="77777777" w:rsidR="002A612D" w:rsidRPr="00D40312"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7CDA9EB3" w14:textId="77777777" w:rsidR="002A612D" w:rsidRPr="00D40312"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 xml:space="preserve">En consecuencia, en este punto, este Colegiado considera que, para el presente caso, el denunciante contrató los servicios de </w:t>
      </w:r>
      <w:r w:rsidR="00BC2DD1" w:rsidRPr="00642CE0">
        <w:rPr>
          <w:rFonts w:ascii="Arial" w:eastAsia="Arial" w:hAnsi="Arial" w:cs="Arial"/>
          <w:color w:val="000000"/>
          <w:kern w:val="0"/>
          <w:highlight w:val="magenta"/>
          <w:lang w:eastAsia="es-PE"/>
          <w14:ligatures w14:val="none"/>
        </w:rPr>
        <w:t>Rímac</w:t>
      </w:r>
      <w:r w:rsidRPr="00D40312">
        <w:rPr>
          <w:rFonts w:ascii="Arial" w:eastAsia="Arial" w:hAnsi="Arial" w:cs="Arial"/>
          <w:color w:val="000000"/>
          <w:kern w:val="0"/>
          <w:lang w:eastAsia="es-PE"/>
          <w14:ligatures w14:val="none"/>
        </w:rPr>
        <w:t xml:space="preserve"> en un ámbito empresarial, es decir, con fines distintos a los personales, familiares o de su entorno social inmediato. </w:t>
      </w:r>
    </w:p>
    <w:p w14:paraId="6A0734BB" w14:textId="77777777" w:rsidR="002A612D" w:rsidRPr="00D40312"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317EE5F1" w14:textId="01DBD0E3"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Así, de acuerdo con el diagrama señalado en el numeral 7 de la presente Resolución, luego de determinar que la parte denunciante</w:t>
      </w:r>
      <w:r w:rsidRPr="002A612D">
        <w:rPr>
          <w:rFonts w:ascii="Arial" w:eastAsia="Arial" w:hAnsi="Arial" w:cs="Arial"/>
          <w:color w:val="000000"/>
          <w:kern w:val="0"/>
          <w:lang w:eastAsia="es-PE"/>
          <w14:ligatures w14:val="none"/>
        </w:rPr>
        <w:t xml:space="preserve"> no adquirió, usó o disfrutó el producto/servicio para un fin personal, familiar o de su entorno social inmediato, corresponde que este órgano colegiado analice, a través del filtro especial para microempresas, si </w:t>
      </w:r>
      <w:r w:rsidR="00BC2DD1" w:rsidRPr="000F4361">
        <w:rPr>
          <w:rFonts w:ascii="Arial" w:eastAsia="Arial" w:hAnsi="Arial" w:cs="Arial"/>
          <w:color w:val="000000"/>
          <w:kern w:val="0"/>
          <w:highlight w:val="green"/>
          <w:lang w:eastAsia="es-PE"/>
          <w14:ligatures w14:val="none"/>
        </w:rPr>
        <w:t xml:space="preserve">el </w:t>
      </w:r>
      <w:r w:rsidR="00D40312" w:rsidRPr="000F4361">
        <w:rPr>
          <w:rFonts w:ascii="Arial" w:eastAsia="Arial" w:hAnsi="Arial" w:cs="Arial"/>
          <w:color w:val="000000"/>
          <w:kern w:val="0"/>
          <w:highlight w:val="green"/>
          <w:lang w:eastAsia="es-PE"/>
          <w14:ligatures w14:val="none"/>
        </w:rPr>
        <w:t>J.B. Comercio</w:t>
      </w:r>
      <w:r w:rsidR="00D40312" w:rsidRPr="002A612D">
        <w:rPr>
          <w:rFonts w:ascii="Arial" w:eastAsia="Arial" w:hAnsi="Arial" w:cs="Arial"/>
          <w:bCs/>
          <w:color w:val="000000"/>
          <w:kern w:val="0"/>
          <w:lang w:eastAsia="es-PE"/>
          <w14:ligatures w14:val="none"/>
        </w:rPr>
        <w:t xml:space="preserve"> </w:t>
      </w:r>
      <w:r w:rsidRPr="002A612D">
        <w:rPr>
          <w:rFonts w:ascii="Arial" w:eastAsia="Arial" w:hAnsi="Arial" w:cs="Arial"/>
          <w:bCs/>
          <w:color w:val="000000"/>
          <w:kern w:val="0"/>
          <w:lang w:eastAsia="es-PE"/>
          <w14:ligatures w14:val="none"/>
        </w:rPr>
        <w:t>tiene calidad de</w:t>
      </w:r>
      <w:r w:rsidRPr="002A612D">
        <w:rPr>
          <w:rFonts w:ascii="Arial" w:eastAsia="Arial" w:hAnsi="Arial" w:cs="Arial"/>
          <w:color w:val="000000"/>
          <w:kern w:val="0"/>
          <w:lang w:eastAsia="es-PE"/>
          <w14:ligatures w14:val="none"/>
        </w:rPr>
        <w:t xml:space="preserve"> consumidor final.</w:t>
      </w:r>
    </w:p>
    <w:p w14:paraId="6C4819A0" w14:textId="77777777" w:rsidR="002A612D" w:rsidRPr="002A612D" w:rsidRDefault="002A612D" w:rsidP="002A612D">
      <w:pPr>
        <w:widowControl w:val="0"/>
        <w:spacing w:after="0" w:line="240" w:lineRule="auto"/>
        <w:jc w:val="both"/>
        <w:rPr>
          <w:rFonts w:ascii="Arial" w:eastAsia="Calibri" w:hAnsi="Arial" w:cs="Arial"/>
          <w:color w:val="000000"/>
          <w:kern w:val="0"/>
          <w:sz w:val="16"/>
          <w:szCs w:val="16"/>
          <w:lang w:eastAsia="es-PE"/>
          <w14:ligatures w14:val="none"/>
        </w:rPr>
      </w:pPr>
    </w:p>
    <w:p w14:paraId="250C0F7B" w14:textId="77777777" w:rsidR="002A612D" w:rsidRPr="002A612D" w:rsidRDefault="002A612D" w:rsidP="002A612D">
      <w:pPr>
        <w:widowControl w:val="0"/>
        <w:numPr>
          <w:ilvl w:val="0"/>
          <w:numId w:val="10"/>
        </w:numPr>
        <w:spacing w:after="0" w:line="240" w:lineRule="auto"/>
        <w:ind w:left="558" w:hanging="570"/>
        <w:contextualSpacing/>
        <w:jc w:val="both"/>
        <w:rPr>
          <w:rFonts w:ascii="Arial" w:eastAsia="Calibri" w:hAnsi="Arial" w:cs="Arial"/>
          <w:i/>
          <w:color w:val="000000"/>
          <w:kern w:val="0"/>
          <w:lang w:eastAsia="es-PE"/>
          <w14:ligatures w14:val="none"/>
        </w:rPr>
      </w:pPr>
      <w:r w:rsidRPr="002A612D">
        <w:rPr>
          <w:rFonts w:ascii="Arial" w:eastAsia="Arial" w:hAnsi="Arial" w:cs="Arial"/>
          <w:i/>
          <w:color w:val="000000"/>
          <w:kern w:val="0"/>
          <w:lang w:eastAsia="es-PE"/>
          <w14:ligatures w14:val="none"/>
        </w:rPr>
        <w:t>Filtro especial para microempresas</w:t>
      </w:r>
    </w:p>
    <w:p w14:paraId="5ABA9B01" w14:textId="77777777" w:rsidR="002A612D" w:rsidRPr="002A612D" w:rsidRDefault="002A612D" w:rsidP="002A612D">
      <w:pPr>
        <w:widowControl w:val="0"/>
        <w:spacing w:after="0" w:line="240" w:lineRule="auto"/>
        <w:ind w:left="426" w:hanging="426"/>
        <w:jc w:val="both"/>
        <w:rPr>
          <w:rFonts w:ascii="Arial" w:eastAsia="Calibri" w:hAnsi="Arial" w:cs="Arial"/>
          <w:color w:val="000000"/>
          <w:kern w:val="0"/>
          <w:lang w:eastAsia="es-PE"/>
          <w14:ligatures w14:val="none"/>
        </w:rPr>
      </w:pPr>
    </w:p>
    <w:p w14:paraId="43D94D7B" w14:textId="5ED5DB14" w:rsidR="002A612D" w:rsidRPr="00D40312"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De acuerdo con el resultado </w:t>
      </w:r>
      <w:r w:rsidRPr="00D40312">
        <w:rPr>
          <w:rFonts w:ascii="Arial" w:eastAsia="Arial" w:hAnsi="Arial" w:cs="Arial"/>
          <w:color w:val="000000"/>
          <w:kern w:val="0"/>
          <w:lang w:eastAsia="es-PE"/>
          <w14:ligatures w14:val="none"/>
        </w:rPr>
        <w:t xml:space="preserve">obtenido luego de aplicar el filtro general, la Comisión debería declarar la improcedencia de la denuncia; sin embargo, tal como se ha expuesto previamente, debe analizarse adicionalmente si </w:t>
      </w:r>
      <w:r w:rsidR="00BC2DD1" w:rsidRPr="000F4361">
        <w:rPr>
          <w:rFonts w:ascii="Arial" w:eastAsia="Arial" w:hAnsi="Arial" w:cs="Arial"/>
          <w:color w:val="000000"/>
          <w:kern w:val="0"/>
          <w:highlight w:val="green"/>
          <w:lang w:eastAsia="es-PE"/>
          <w14:ligatures w14:val="none"/>
        </w:rPr>
        <w:t xml:space="preserve">el </w:t>
      </w:r>
      <w:r w:rsidR="00D40312" w:rsidRPr="000F4361">
        <w:rPr>
          <w:rFonts w:ascii="Arial" w:eastAsia="Arial" w:hAnsi="Arial" w:cs="Arial"/>
          <w:color w:val="000000"/>
          <w:kern w:val="0"/>
          <w:highlight w:val="green"/>
          <w:lang w:eastAsia="es-PE"/>
          <w14:ligatures w14:val="none"/>
        </w:rPr>
        <w:t>J.B. Comercio</w:t>
      </w:r>
      <w:r w:rsidR="00D40312" w:rsidRPr="00D40312">
        <w:rPr>
          <w:rFonts w:ascii="Arial" w:eastAsia="Arial" w:hAnsi="Arial" w:cs="Arial"/>
          <w:color w:val="000000"/>
          <w:kern w:val="0"/>
          <w:lang w:eastAsia="es-PE"/>
          <w14:ligatures w14:val="none"/>
        </w:rPr>
        <w:t xml:space="preserve"> </w:t>
      </w:r>
      <w:r w:rsidRPr="00D40312">
        <w:rPr>
          <w:rFonts w:ascii="Arial" w:eastAsia="Arial" w:hAnsi="Arial" w:cs="Arial"/>
          <w:color w:val="000000"/>
          <w:kern w:val="0"/>
          <w:lang w:eastAsia="es-PE"/>
          <w14:ligatures w14:val="none"/>
        </w:rPr>
        <w:t>se encuentra en el supuesto de excepción previsto por el Código para las microempresas.</w:t>
      </w:r>
    </w:p>
    <w:p w14:paraId="027E328B" w14:textId="77777777" w:rsidR="002A612D" w:rsidRPr="00D40312" w:rsidRDefault="002A612D" w:rsidP="002A612D">
      <w:pPr>
        <w:widowControl w:val="0"/>
        <w:spacing w:after="0" w:line="240" w:lineRule="auto"/>
        <w:ind w:left="540"/>
        <w:jc w:val="both"/>
        <w:rPr>
          <w:rFonts w:ascii="Arial" w:eastAsia="Calibri" w:hAnsi="Arial" w:cs="Arial"/>
          <w:color w:val="000000"/>
          <w:kern w:val="0"/>
          <w:lang w:eastAsia="es-PE"/>
          <w14:ligatures w14:val="none"/>
        </w:rPr>
      </w:pPr>
    </w:p>
    <w:p w14:paraId="3E659D38" w14:textId="5F2C9FA1" w:rsidR="002A612D" w:rsidRPr="00D40312" w:rsidRDefault="002A612D" w:rsidP="002A612D">
      <w:pPr>
        <w:widowControl w:val="0"/>
        <w:numPr>
          <w:ilvl w:val="0"/>
          <w:numId w:val="9"/>
        </w:numPr>
        <w:spacing w:after="0" w:line="240" w:lineRule="auto"/>
        <w:ind w:left="843" w:hanging="285"/>
        <w:contextualSpacing/>
        <w:jc w:val="both"/>
        <w:rPr>
          <w:rFonts w:ascii="Arial" w:eastAsia="Calibri" w:hAnsi="Arial" w:cs="Arial"/>
          <w:i/>
          <w:color w:val="000000"/>
          <w:kern w:val="0"/>
          <w:lang w:eastAsia="es-PE"/>
          <w14:ligatures w14:val="none"/>
        </w:rPr>
      </w:pPr>
      <w:r w:rsidRPr="00D40312">
        <w:rPr>
          <w:rFonts w:ascii="Arial" w:eastAsia="Arial" w:hAnsi="Arial" w:cs="Arial"/>
          <w:i/>
          <w:color w:val="000000"/>
          <w:kern w:val="0"/>
          <w:lang w:eastAsia="es-PE"/>
          <w14:ligatures w14:val="none"/>
        </w:rPr>
        <w:t xml:space="preserve">Sobre la condición de microempresa </w:t>
      </w:r>
      <w:r w:rsidRPr="000F4361">
        <w:rPr>
          <w:rFonts w:ascii="Arial" w:eastAsia="Arial" w:hAnsi="Arial" w:cs="Arial"/>
          <w:i/>
          <w:iCs/>
          <w:color w:val="000000"/>
          <w:kern w:val="0"/>
          <w:highlight w:val="green"/>
          <w:lang w:eastAsia="es-PE"/>
          <w14:ligatures w14:val="none"/>
        </w:rPr>
        <w:t>d</w:t>
      </w:r>
      <w:r w:rsidR="00BC2DD1" w:rsidRPr="000F4361">
        <w:rPr>
          <w:rFonts w:ascii="Arial" w:eastAsia="Arial" w:hAnsi="Arial" w:cs="Arial"/>
          <w:i/>
          <w:iCs/>
          <w:color w:val="000000"/>
          <w:kern w:val="0"/>
          <w:highlight w:val="green"/>
          <w:lang w:eastAsia="es-PE"/>
          <w14:ligatures w14:val="none"/>
        </w:rPr>
        <w:t xml:space="preserve">el </w:t>
      </w:r>
      <w:r w:rsidR="00D40312" w:rsidRPr="000F4361">
        <w:rPr>
          <w:rFonts w:ascii="Arial" w:eastAsia="Arial" w:hAnsi="Arial" w:cs="Arial"/>
          <w:i/>
          <w:iCs/>
          <w:color w:val="000000"/>
          <w:kern w:val="0"/>
          <w:highlight w:val="green"/>
          <w:lang w:eastAsia="es-PE"/>
          <w14:ligatures w14:val="none"/>
        </w:rPr>
        <w:t>J.B. Comercio</w:t>
      </w:r>
      <w:r w:rsidRPr="00D40312">
        <w:rPr>
          <w:rFonts w:ascii="Arial" w:eastAsia="Arial" w:hAnsi="Arial" w:cs="Arial"/>
          <w:i/>
          <w:iCs/>
          <w:color w:val="000000"/>
          <w:kern w:val="0"/>
          <w:lang w:eastAsia="es-PE"/>
          <w14:ligatures w14:val="none"/>
        </w:rPr>
        <w:t>:</w:t>
      </w:r>
    </w:p>
    <w:p w14:paraId="5B4D32F4" w14:textId="77777777" w:rsidR="002A612D" w:rsidRPr="00D40312" w:rsidRDefault="002A612D" w:rsidP="002A612D">
      <w:pPr>
        <w:widowControl w:val="0"/>
        <w:spacing w:after="0" w:line="240" w:lineRule="auto"/>
        <w:ind w:left="567"/>
        <w:contextualSpacing/>
        <w:jc w:val="both"/>
        <w:rPr>
          <w:rFonts w:ascii="Arial" w:eastAsia="Arial" w:hAnsi="Arial" w:cs="Arial"/>
          <w:color w:val="000000"/>
          <w:kern w:val="0"/>
          <w:sz w:val="18"/>
          <w:szCs w:val="18"/>
          <w:lang w:eastAsia="es-PE"/>
          <w14:ligatures w14:val="none"/>
        </w:rPr>
      </w:pPr>
    </w:p>
    <w:p w14:paraId="3BA8A1AB"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Tal como se indicó en el marco jurídico expuesto, para acceder a la tutela del Código, la denunciante debe acreditar que</w:t>
      </w:r>
      <w:r w:rsidRPr="002A612D">
        <w:rPr>
          <w:rFonts w:ascii="Arial" w:eastAsia="Arial" w:hAnsi="Arial" w:cs="Arial"/>
          <w:color w:val="000000"/>
          <w:kern w:val="0"/>
          <w:lang w:eastAsia="es-PE"/>
          <w14:ligatures w14:val="none"/>
        </w:rPr>
        <w:t xml:space="preserve"> tenía la condición de microempresario al momento en que presentó la denuncia administrativa, de faltar dicha condición la denuncia debe ser declarada improcedente.</w:t>
      </w:r>
    </w:p>
    <w:p w14:paraId="4F4EED98" w14:textId="77777777" w:rsidR="002A612D" w:rsidRPr="002A612D" w:rsidRDefault="002A612D" w:rsidP="002A612D">
      <w:pPr>
        <w:widowControl w:val="0"/>
        <w:tabs>
          <w:tab w:val="left" w:pos="567"/>
        </w:tabs>
        <w:spacing w:after="0" w:line="240" w:lineRule="auto"/>
        <w:ind w:left="567"/>
        <w:contextualSpacing/>
        <w:jc w:val="both"/>
        <w:rPr>
          <w:rFonts w:ascii="Arial" w:eastAsia="Arial" w:hAnsi="Arial" w:cs="Arial"/>
          <w:color w:val="000000"/>
          <w:kern w:val="0"/>
          <w:lang w:eastAsia="es-PE"/>
          <w14:ligatures w14:val="none"/>
        </w:rPr>
      </w:pPr>
    </w:p>
    <w:p w14:paraId="21FDBD35"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Para tal efecto, se analizarán los ingresos del ejercicio anual anterior a la fecha en que interpuso la presente denuncia. Así, se deberá verificar que sus ingresos netos anuales no superen las 150 UIT, que incluyen las ventas de bienes o prestación de servicios relacionados con su giro de negocio, así como otros ingresos gravados por el IR.</w:t>
      </w:r>
    </w:p>
    <w:p w14:paraId="1E505DB1"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C271510" w14:textId="77CFCDC0"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Para tal efecto, este Colegiado analizó </w:t>
      </w:r>
      <w:r w:rsidRPr="002A612D">
        <w:rPr>
          <w:rFonts w:ascii="Arial" w:eastAsia="Arial" w:hAnsi="Arial" w:cs="Arial"/>
          <w:color w:val="000000"/>
          <w:kern w:val="0"/>
          <w:shd w:val="clear" w:color="auto" w:fill="FFFFFF"/>
          <w:lang w:eastAsia="es-PE"/>
          <w14:ligatures w14:val="none"/>
        </w:rPr>
        <w:t xml:space="preserve">la Declaración Jurada de Pago Mensual del Impuesto a la Renta de Tercera Categoría, así como </w:t>
      </w:r>
      <w:r w:rsidRPr="00D40312">
        <w:rPr>
          <w:rFonts w:ascii="Arial" w:eastAsia="Arial" w:hAnsi="Arial" w:cs="Arial"/>
          <w:color w:val="000000"/>
          <w:kern w:val="0"/>
          <w:shd w:val="clear" w:color="auto" w:fill="FFFFFF"/>
          <w:lang w:eastAsia="es-PE"/>
          <w14:ligatures w14:val="none"/>
        </w:rPr>
        <w:t xml:space="preserve">el PDT-IGV-Renta Mensual del </w:t>
      </w:r>
      <w:r w:rsidRPr="00C73E65">
        <w:rPr>
          <w:rFonts w:ascii="Arial" w:eastAsia="Arial" w:hAnsi="Arial" w:cs="Arial"/>
          <w:color w:val="000000"/>
          <w:kern w:val="0"/>
          <w:highlight w:val="magenta"/>
          <w:shd w:val="clear" w:color="auto" w:fill="FFFFFF"/>
          <w:lang w:eastAsia="es-PE"/>
          <w14:ligatures w14:val="none"/>
        </w:rPr>
        <w:t>ejercicio 2023</w:t>
      </w:r>
      <w:r w:rsidRPr="00D40312">
        <w:rPr>
          <w:rFonts w:ascii="Arial" w:eastAsia="Arial" w:hAnsi="Arial" w:cs="Arial"/>
          <w:color w:val="000000"/>
          <w:kern w:val="0"/>
          <w:lang w:eastAsia="es-PE"/>
          <w14:ligatures w14:val="none"/>
        </w:rPr>
        <w:t xml:space="preserve"> (periodo de enero a diciembre), anterior a interposición de la presente denuncia, presentadas por </w:t>
      </w:r>
      <w:r w:rsidR="00D40312" w:rsidRPr="00820424">
        <w:rPr>
          <w:rFonts w:ascii="Arial" w:eastAsia="Arial" w:hAnsi="Arial" w:cs="Arial"/>
          <w:color w:val="000000"/>
          <w:kern w:val="0"/>
          <w:highlight w:val="green"/>
          <w:lang w:eastAsia="es-PE"/>
          <w14:ligatures w14:val="none"/>
        </w:rPr>
        <w:t>J.B. Comercio</w:t>
      </w:r>
      <w:r w:rsidR="00D40312" w:rsidRPr="00D40312">
        <w:rPr>
          <w:rFonts w:ascii="Arial" w:eastAsia="Arial" w:hAnsi="Arial" w:cs="Arial"/>
          <w:color w:val="000000"/>
          <w:kern w:val="0"/>
          <w:lang w:eastAsia="es-PE"/>
          <w14:ligatures w14:val="none"/>
        </w:rPr>
        <w:t xml:space="preserve"> </w:t>
      </w:r>
      <w:r w:rsidRPr="00D40312">
        <w:rPr>
          <w:rFonts w:ascii="Arial" w:eastAsia="Arial" w:hAnsi="Arial" w:cs="Arial"/>
          <w:color w:val="000000"/>
          <w:kern w:val="0"/>
          <w:lang w:eastAsia="es-PE"/>
          <w14:ligatures w14:val="none"/>
        </w:rPr>
        <w:t xml:space="preserve">el </w:t>
      </w:r>
      <w:r w:rsidR="00D40312" w:rsidRPr="000B3413">
        <w:rPr>
          <w:rFonts w:ascii="Arial" w:eastAsia="Arial" w:hAnsi="Arial" w:cs="Arial"/>
          <w:color w:val="000000"/>
          <w:kern w:val="0"/>
          <w:highlight w:val="magenta"/>
          <w:lang w:eastAsia="es-PE"/>
          <w14:ligatures w14:val="none"/>
        </w:rPr>
        <w:t>15 de abril de 2025</w:t>
      </w:r>
      <w:r w:rsidRPr="00D40312">
        <w:rPr>
          <w:rFonts w:ascii="Arial" w:eastAsia="Arial" w:hAnsi="Arial" w:cs="Arial"/>
          <w:color w:val="000000"/>
          <w:kern w:val="0"/>
          <w:lang w:eastAsia="es-PE"/>
          <w14:ligatures w14:val="none"/>
        </w:rPr>
        <w:t>, advirtiendo que el volumen de sus ingresos netos excede las ciento cincu</w:t>
      </w:r>
      <w:r w:rsidRPr="002A612D">
        <w:rPr>
          <w:rFonts w:ascii="Arial" w:eastAsia="Arial" w:hAnsi="Arial" w:cs="Arial"/>
          <w:color w:val="000000"/>
          <w:kern w:val="0"/>
          <w:lang w:eastAsia="es-PE"/>
          <w14:ligatures w14:val="none"/>
        </w:rPr>
        <w:t>enta (150) UIT.</w:t>
      </w:r>
    </w:p>
    <w:p w14:paraId="525FBE69" w14:textId="77777777" w:rsidR="002A612D" w:rsidRPr="002A612D" w:rsidRDefault="002A612D" w:rsidP="002A612D">
      <w:pPr>
        <w:spacing w:after="0" w:line="240" w:lineRule="auto"/>
        <w:ind w:left="720"/>
        <w:contextualSpacing/>
        <w:rPr>
          <w:rFonts w:ascii="Arial" w:eastAsia="Arial" w:hAnsi="Arial" w:cs="Arial"/>
          <w:color w:val="000000"/>
          <w:kern w:val="0"/>
          <w:sz w:val="18"/>
          <w:szCs w:val="18"/>
          <w:lang w:eastAsia="es-PE"/>
          <w14:ligatures w14:val="none"/>
        </w:rPr>
      </w:pPr>
    </w:p>
    <w:p w14:paraId="3E189371" w14:textId="0FF019B5"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ese sentido, de acuerdo con lo señalado en los párrafos precedentes, se evidencia que </w:t>
      </w:r>
      <w:r w:rsidR="00BC2DD1">
        <w:rPr>
          <w:rFonts w:ascii="Arial" w:eastAsia="Arial" w:hAnsi="Arial" w:cs="Arial"/>
          <w:color w:val="000000"/>
          <w:kern w:val="0"/>
          <w:lang w:eastAsia="es-PE"/>
          <w14:ligatures w14:val="none"/>
        </w:rPr>
        <w:t xml:space="preserve">el </w:t>
      </w:r>
      <w:r w:rsidR="00D40312" w:rsidRPr="00820424">
        <w:rPr>
          <w:rFonts w:ascii="Arial" w:eastAsia="Arial" w:hAnsi="Arial" w:cs="Arial"/>
          <w:color w:val="000000"/>
          <w:kern w:val="0"/>
          <w:highlight w:val="green"/>
          <w:lang w:eastAsia="es-PE"/>
          <w14:ligatures w14:val="none"/>
        </w:rPr>
        <w:t>J.B. Comercio</w:t>
      </w:r>
      <w:r w:rsidR="00D40312" w:rsidRPr="00D40312">
        <w:rPr>
          <w:rFonts w:ascii="Arial" w:eastAsia="Arial" w:hAnsi="Arial" w:cs="Arial"/>
          <w:color w:val="000000"/>
          <w:kern w:val="0"/>
          <w:lang w:eastAsia="es-PE"/>
          <w14:ligatures w14:val="none"/>
        </w:rPr>
        <w:t xml:space="preserve"> </w:t>
      </w:r>
      <w:r w:rsidRPr="002A612D">
        <w:rPr>
          <w:rFonts w:ascii="Arial" w:eastAsia="Arial" w:hAnsi="Arial" w:cs="Arial"/>
          <w:color w:val="000000"/>
          <w:kern w:val="0"/>
          <w:lang w:eastAsia="es-PE"/>
          <w14:ligatures w14:val="none"/>
        </w:rPr>
        <w:t xml:space="preserve">no ostentaba la condición de microempresa durante el </w:t>
      </w:r>
      <w:r w:rsidRPr="00C73E65">
        <w:rPr>
          <w:rFonts w:ascii="Arial" w:eastAsia="Arial" w:hAnsi="Arial" w:cs="Arial"/>
          <w:color w:val="000000"/>
          <w:kern w:val="0"/>
          <w:highlight w:val="magenta"/>
          <w:lang w:eastAsia="es-PE"/>
          <w14:ligatures w14:val="none"/>
        </w:rPr>
        <w:t xml:space="preserve">año </w:t>
      </w:r>
      <w:r w:rsidR="002436B6" w:rsidRPr="00C73E65">
        <w:rPr>
          <w:rFonts w:ascii="Arial" w:eastAsia="Arial" w:hAnsi="Arial" w:cs="Arial"/>
          <w:color w:val="000000"/>
          <w:kern w:val="0"/>
          <w:highlight w:val="magenta"/>
          <w:lang w:eastAsia="es-PE"/>
          <w14:ligatures w14:val="none"/>
        </w:rPr>
        <w:t>2024</w:t>
      </w:r>
      <w:r w:rsidRPr="002A612D">
        <w:rPr>
          <w:rFonts w:ascii="Arial" w:eastAsia="Arial" w:hAnsi="Arial" w:cs="Arial"/>
          <w:color w:val="000000"/>
          <w:kern w:val="0"/>
          <w:lang w:eastAsia="es-PE"/>
          <w14:ligatures w14:val="none"/>
        </w:rPr>
        <w:t>, es decir, al año anterior a la presentación de la denuncia. En consecuencia, la Comisión considera que la denunciante no califica como consumidor final en los términos del Código, de conformidad con lo dispuesto por el numeral 1.1 del artículo IV del Título Preliminar del Código.</w:t>
      </w:r>
    </w:p>
    <w:p w14:paraId="4FDD32F6" w14:textId="77777777" w:rsidR="002A612D" w:rsidRPr="002A612D" w:rsidRDefault="002A612D" w:rsidP="002A612D">
      <w:pPr>
        <w:spacing w:after="0" w:line="240" w:lineRule="auto"/>
        <w:ind w:left="720"/>
        <w:contextualSpacing/>
        <w:rPr>
          <w:rFonts w:ascii="Arial" w:eastAsia="Arial" w:hAnsi="Arial" w:cs="Arial"/>
          <w:color w:val="000000"/>
          <w:kern w:val="0"/>
          <w:sz w:val="14"/>
          <w:szCs w:val="14"/>
          <w:lang w:eastAsia="es-PE"/>
          <w14:ligatures w14:val="none"/>
        </w:rPr>
      </w:pPr>
    </w:p>
    <w:p w14:paraId="53F85C9F" w14:textId="77777777" w:rsidR="00D6640B" w:rsidRPr="00976AC6" w:rsidRDefault="002A612D" w:rsidP="00D6640B">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Sin perjuicio de lo anterior, es pertinente señalar que, si bien </w:t>
      </w:r>
      <w:r w:rsidR="00BC2DD1">
        <w:rPr>
          <w:rFonts w:ascii="Arial" w:eastAsia="Arial" w:hAnsi="Arial" w:cs="Arial"/>
          <w:color w:val="000000"/>
          <w:kern w:val="0"/>
          <w:lang w:eastAsia="es-PE"/>
          <w14:ligatures w14:val="none"/>
        </w:rPr>
        <w:t xml:space="preserve">el </w:t>
      </w:r>
      <w:r w:rsidR="00D40312" w:rsidRPr="00820424">
        <w:rPr>
          <w:rFonts w:ascii="Arial" w:eastAsia="Arial" w:hAnsi="Arial" w:cs="Arial"/>
          <w:color w:val="000000"/>
          <w:kern w:val="0"/>
          <w:highlight w:val="green"/>
          <w:lang w:eastAsia="es-PE"/>
          <w14:ligatures w14:val="none"/>
        </w:rPr>
        <w:t>J.B. Comercio</w:t>
      </w:r>
      <w:r w:rsidR="00D40312" w:rsidRPr="00D40312">
        <w:rPr>
          <w:rFonts w:ascii="Arial" w:eastAsia="Arial" w:hAnsi="Arial" w:cs="Arial"/>
          <w:color w:val="000000"/>
          <w:kern w:val="0"/>
          <w:lang w:eastAsia="es-PE"/>
          <w14:ligatures w14:val="none"/>
        </w:rPr>
        <w:t xml:space="preserve"> </w:t>
      </w:r>
      <w:r w:rsidRPr="002A612D">
        <w:rPr>
          <w:rFonts w:ascii="Arial" w:eastAsia="Arial" w:hAnsi="Arial" w:cs="Arial"/>
          <w:color w:val="000000"/>
          <w:kern w:val="0"/>
          <w:lang w:eastAsia="es-PE"/>
          <w14:ligatures w14:val="none"/>
        </w:rPr>
        <w:t>no puede acceder al nivel de protección administrativa previsto en el Código, ello no la deja en estado de indefensión, toda vez que nuestro ordenamiento legal ha previsto que pueda acceder a la vía judicial para hacer valer sus derechos, de considerarlo pertinente.</w:t>
      </w:r>
    </w:p>
    <w:p w14:paraId="7A062B6E" w14:textId="77777777" w:rsidR="00D6640B" w:rsidRDefault="00D6640B" w:rsidP="00D6640B">
      <w:pPr>
        <w:spacing w:after="0" w:line="240" w:lineRule="auto"/>
        <w:ind w:left="567"/>
        <w:contextualSpacing/>
        <w:jc w:val="both"/>
        <w:rPr>
          <w:rFonts w:ascii="Arial" w:eastAsia="Calibri" w:hAnsi="Arial" w:cs="Arial"/>
          <w:color w:val="000000"/>
          <w:kern w:val="0"/>
          <w:lang w:eastAsia="es-PE"/>
          <w14:ligatures w14:val="none"/>
        </w:rPr>
      </w:pPr>
    </w:p>
    <w:p w14:paraId="59BD1BD6" w14:textId="77777777" w:rsidR="00D6640B" w:rsidRPr="006B087A" w:rsidRDefault="00D6640B" w:rsidP="00D6640B">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976AC6">
        <w:rPr>
          <w:rFonts w:ascii="Arial" w:eastAsia="Calibri" w:hAnsi="Arial" w:cs="Arial"/>
          <w:color w:val="000000"/>
          <w:kern w:val="0"/>
          <w:highlight w:val="red"/>
          <w:lang w:eastAsia="es-PE"/>
          <w14:ligatures w14:val="none"/>
        </w:rPr>
        <w:t xml:space="preserve">Finalmente, este órgano colegiado considera que no corresponde pronunciarse sobre la solicitud de la </w:t>
      </w:r>
      <w:r w:rsidRPr="00976AC6">
        <w:rPr>
          <w:rFonts w:ascii="Arial" w:eastAsia="Calibri" w:hAnsi="Arial" w:cs="Arial"/>
          <w:color w:val="000000"/>
          <w:kern w:val="0"/>
          <w:highlight w:val="cyan"/>
          <w:lang w:eastAsia="es-PE"/>
          <w14:ligatures w14:val="none"/>
        </w:rPr>
        <w:t xml:space="preserve">medida cautelar </w:t>
      </w:r>
      <w:r w:rsidRPr="00976AC6">
        <w:rPr>
          <w:rFonts w:ascii="Arial" w:eastAsia="Arial" w:hAnsi="Arial" w:cs="Arial"/>
          <w:color w:val="000000"/>
          <w:kern w:val="0"/>
          <w:highlight w:val="red"/>
          <w:lang w:eastAsia="es-PE"/>
          <w14:ligatures w14:val="none"/>
        </w:rPr>
        <w:t xml:space="preserve">presentada por </w:t>
      </w:r>
      <w:r w:rsidRPr="00590F73">
        <w:rPr>
          <w:rFonts w:ascii="Arial" w:eastAsia="Arial" w:hAnsi="Arial" w:cs="Arial"/>
          <w:color w:val="000000"/>
          <w:kern w:val="0"/>
          <w:highlight w:val="cyan"/>
          <w:lang w:eastAsia="es-PE"/>
          <w14:ligatures w14:val="none"/>
        </w:rPr>
        <w:t>el señor Duran</w:t>
      </w:r>
      <w:r w:rsidRPr="00590F73">
        <w:rPr>
          <w:rFonts w:ascii="Arial" w:eastAsia="Calibri" w:hAnsi="Arial" w:cs="Arial"/>
          <w:color w:val="000000"/>
          <w:kern w:val="0"/>
          <w:highlight w:val="cyan"/>
          <w:lang w:eastAsia="es-PE"/>
          <w14:ligatures w14:val="none"/>
        </w:rPr>
        <w:t xml:space="preserve"> </w:t>
      </w:r>
      <w:r w:rsidRPr="00976AC6">
        <w:rPr>
          <w:rFonts w:ascii="Arial" w:eastAsia="Calibri" w:hAnsi="Arial" w:cs="Arial"/>
          <w:color w:val="000000"/>
          <w:kern w:val="0"/>
          <w:highlight w:val="red"/>
          <w:lang w:eastAsia="es-PE"/>
          <w14:ligatures w14:val="none"/>
        </w:rPr>
        <w:t>en la medida que la presente denuncia fue declarada improcedente</w:t>
      </w:r>
      <w:r>
        <w:rPr>
          <w:rFonts w:ascii="Arial" w:eastAsia="Calibri" w:hAnsi="Arial" w:cs="Arial"/>
          <w:color w:val="000000"/>
          <w:kern w:val="0"/>
          <w:lang w:eastAsia="es-PE"/>
          <w14:ligatures w14:val="none"/>
        </w:rPr>
        <w:t>.</w:t>
      </w:r>
    </w:p>
    <w:p w14:paraId="73F8EA32" w14:textId="46E1CAC4" w:rsidR="002A612D" w:rsidRPr="002A612D" w:rsidRDefault="002A612D" w:rsidP="00D6640B">
      <w:pPr>
        <w:spacing w:after="0" w:line="240" w:lineRule="auto"/>
        <w:contextualSpacing/>
        <w:jc w:val="both"/>
        <w:rPr>
          <w:rFonts w:ascii="Arial" w:eastAsia="Arial" w:hAnsi="Arial" w:cs="Arial"/>
          <w:color w:val="000000"/>
          <w:kern w:val="0"/>
          <w:lang w:eastAsia="es-PE"/>
          <w14:ligatures w14:val="none"/>
        </w:rPr>
      </w:pPr>
    </w:p>
    <w:p w14:paraId="2F3D7068" w14:textId="77777777" w:rsidR="002A612D" w:rsidRPr="002A612D" w:rsidRDefault="002A612D" w:rsidP="002A612D">
      <w:pPr>
        <w:widowControl w:val="0"/>
        <w:tabs>
          <w:tab w:val="left" w:pos="142"/>
          <w:tab w:val="left" w:pos="2265"/>
          <w:tab w:val="left" w:pos="2127"/>
        </w:tabs>
        <w:spacing w:after="0" w:line="240" w:lineRule="auto"/>
        <w:ind w:hanging="2"/>
        <w:jc w:val="both"/>
        <w:rPr>
          <w:rFonts w:ascii="Arial" w:eastAsia="Times New Roman" w:hAnsi="Arial" w:cs="Arial"/>
          <w:color w:val="000000"/>
          <w:kern w:val="0"/>
          <w:lang w:eastAsia="es-PE"/>
          <w14:ligatures w14:val="none"/>
        </w:rPr>
      </w:pPr>
    </w:p>
    <w:p w14:paraId="630E2384"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bookmarkStart w:id="6" w:name="_Hlk141859628"/>
      <w:r w:rsidRPr="002A612D">
        <w:rPr>
          <w:rFonts w:ascii="Arial" w:eastAsia="Arial" w:hAnsi="Arial" w:cs="Arial"/>
          <w:b/>
          <w:color w:val="000000"/>
          <w:kern w:val="0"/>
          <w:lang w:eastAsia="es-PE"/>
          <w14:ligatures w14:val="none"/>
        </w:rPr>
        <w:t>RESUELVE</w:t>
      </w:r>
    </w:p>
    <w:p w14:paraId="307561B6"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22324608" w14:textId="51D35405" w:rsidR="002A612D" w:rsidRPr="002A612D" w:rsidRDefault="002A612D" w:rsidP="002A612D">
      <w:pPr>
        <w:widowControl w:val="0"/>
        <w:tabs>
          <w:tab w:val="left" w:pos="142"/>
          <w:tab w:val="left" w:pos="567"/>
          <w:tab w:val="left" w:pos="2127"/>
        </w:tabs>
        <w:spacing w:after="0" w:line="240" w:lineRule="auto"/>
        <w:jc w:val="both"/>
        <w:rPr>
          <w:rFonts w:ascii="Arial" w:eastAsia="Arial" w:hAnsi="Arial" w:cs="Arial"/>
          <w:color w:val="000000"/>
          <w:kern w:val="0"/>
          <w:lang w:eastAsia="es-PE"/>
          <w14:ligatures w14:val="none"/>
        </w:rPr>
      </w:pPr>
      <w:r w:rsidRPr="00FF7EDD">
        <w:rPr>
          <w:rFonts w:ascii="Arial" w:eastAsia="Arial" w:hAnsi="Arial" w:cs="Arial"/>
          <w:b/>
          <w:bCs/>
          <w:color w:val="000000"/>
          <w:kern w:val="0"/>
          <w:lang w:eastAsia="es-PE"/>
          <w14:ligatures w14:val="none"/>
        </w:rPr>
        <w:t>PRIMERO</w:t>
      </w:r>
      <w:r w:rsidRPr="00FF7EDD">
        <w:rPr>
          <w:rFonts w:ascii="Arial" w:eastAsia="Arial" w:hAnsi="Arial" w:cs="Arial"/>
          <w:color w:val="000000"/>
          <w:kern w:val="0"/>
          <w:lang w:eastAsia="es-PE"/>
          <w14:ligatures w14:val="none"/>
        </w:rPr>
        <w:t>: declarar improcedente la denuncia presentada por</w:t>
      </w:r>
      <w:r w:rsidRPr="00FF7EDD">
        <w:rPr>
          <w:rFonts w:ascii="Calibri" w:eastAsia="Calibri" w:hAnsi="Calibri" w:cs="Calibri"/>
          <w:color w:val="000000"/>
          <w:kern w:val="0"/>
          <w:lang w:eastAsia="es-PE"/>
          <w14:ligatures w14:val="none"/>
        </w:rPr>
        <w:t xml:space="preserve"> </w:t>
      </w:r>
      <w:r w:rsidR="00C03B29" w:rsidRPr="00FF7EDD">
        <w:rPr>
          <w:rFonts w:ascii="Arial" w:eastAsia="Calibri" w:hAnsi="Arial" w:cs="Arial"/>
          <w:bCs/>
          <w:color w:val="000000"/>
          <w:kern w:val="0"/>
          <w:lang w:eastAsia="es-PE"/>
          <w14:ligatures w14:val="none"/>
        </w:rPr>
        <w:t xml:space="preserve">el </w:t>
      </w:r>
      <w:r w:rsidR="00FF7EDD" w:rsidRPr="00820424">
        <w:rPr>
          <w:rFonts w:ascii="Arial" w:eastAsia="Times New Roman" w:hAnsi="Arial" w:cs="Arial"/>
          <w:bCs/>
          <w:color w:val="000000"/>
          <w:kern w:val="0"/>
          <w:highlight w:val="green"/>
          <w:lang w:eastAsia="es-PE"/>
          <w14:ligatures w14:val="none"/>
        </w:rPr>
        <w:t>J.B. Comercio Nacional S.A.C.</w:t>
      </w:r>
      <w:r w:rsidR="00FF7EDD" w:rsidRPr="00FF7EDD">
        <w:rPr>
          <w:rFonts w:ascii="Arial" w:eastAsia="Times New Roman" w:hAnsi="Arial" w:cs="Arial"/>
          <w:bCs/>
          <w:color w:val="000000"/>
          <w:kern w:val="0"/>
          <w:lang w:eastAsia="es-PE"/>
          <w14:ligatures w14:val="none"/>
        </w:rPr>
        <w:t xml:space="preserve"> </w:t>
      </w:r>
      <w:r w:rsidRPr="00FF7EDD">
        <w:rPr>
          <w:rFonts w:ascii="Arial" w:eastAsia="Arial" w:hAnsi="Arial" w:cs="Arial"/>
          <w:color w:val="000000"/>
          <w:kern w:val="0"/>
          <w:lang w:eastAsia="es-PE"/>
          <w14:ligatures w14:val="none"/>
        </w:rPr>
        <w:t>contra</w:t>
      </w:r>
      <w:r w:rsidRPr="00FF7EDD">
        <w:rPr>
          <w:rFonts w:ascii="Calibri" w:eastAsia="Calibri" w:hAnsi="Calibri" w:cs="Calibri"/>
          <w:color w:val="000000"/>
          <w:kern w:val="0"/>
          <w:lang w:eastAsia="es-PE"/>
          <w14:ligatures w14:val="none"/>
        </w:rPr>
        <w:t xml:space="preserve"> </w:t>
      </w:r>
      <w:r w:rsidR="00FF7EDD" w:rsidRPr="00820424">
        <w:rPr>
          <w:rFonts w:ascii="Arial" w:eastAsia="Arial" w:hAnsi="Arial" w:cs="Arial"/>
          <w:color w:val="000000"/>
          <w:kern w:val="0"/>
          <w:highlight w:val="green"/>
          <w:lang w:eastAsia="es-PE"/>
          <w14:ligatures w14:val="none"/>
        </w:rPr>
        <w:t xml:space="preserve">Qualitas Compañia De Seguros </w:t>
      </w:r>
      <w:r w:rsidRPr="00820424">
        <w:rPr>
          <w:rFonts w:ascii="Arial" w:eastAsia="Arial" w:hAnsi="Arial" w:cs="Arial"/>
          <w:color w:val="000000"/>
          <w:kern w:val="0"/>
          <w:highlight w:val="green"/>
          <w:lang w:eastAsia="es-PE"/>
          <w14:ligatures w14:val="none"/>
        </w:rPr>
        <w:t>S.A</w:t>
      </w:r>
      <w:r w:rsidR="00C03B29" w:rsidRPr="00820424">
        <w:rPr>
          <w:rFonts w:ascii="Arial" w:eastAsia="Arial" w:hAnsi="Arial" w:cs="Arial"/>
          <w:color w:val="000000"/>
          <w:kern w:val="0"/>
          <w:highlight w:val="green"/>
          <w:lang w:eastAsia="es-PE"/>
          <w14:ligatures w14:val="none"/>
        </w:rPr>
        <w:t>.</w:t>
      </w:r>
      <w:r w:rsidRPr="00820424">
        <w:rPr>
          <w:rFonts w:ascii="Arial" w:eastAsia="Arial" w:hAnsi="Arial" w:cs="Arial"/>
          <w:color w:val="000000"/>
          <w:kern w:val="0"/>
          <w:highlight w:val="green"/>
          <w:lang w:eastAsia="es-PE"/>
          <w14:ligatures w14:val="none"/>
        </w:rPr>
        <w:t>,</w:t>
      </w:r>
      <w:r w:rsidRPr="00FF7EDD">
        <w:rPr>
          <w:rFonts w:ascii="Arial" w:eastAsia="Arial" w:hAnsi="Arial" w:cs="Arial"/>
          <w:color w:val="000000"/>
          <w:kern w:val="0"/>
          <w:lang w:eastAsia="es-PE"/>
          <w14:ligatures w14:val="none"/>
        </w:rPr>
        <w:t xml:space="preserve"> por presunta infracción a la Ley 29571, Código de Protección y Defensa del Consumidor, en la medida que ha quedado acreditado que la parte denunciante</w:t>
      </w:r>
      <w:r w:rsidRPr="002A612D">
        <w:rPr>
          <w:rFonts w:ascii="Arial" w:eastAsia="Arial" w:hAnsi="Arial" w:cs="Arial"/>
          <w:color w:val="000000"/>
          <w:kern w:val="0"/>
          <w:lang w:eastAsia="es-PE"/>
          <w14:ligatures w14:val="none"/>
        </w:rPr>
        <w:t xml:space="preserve"> no califica como consumidor final en los términos de la normativa de protección al consumidor.</w:t>
      </w:r>
    </w:p>
    <w:p w14:paraId="7DB55C3F" w14:textId="77777777" w:rsidR="002A612D" w:rsidRPr="002A612D" w:rsidRDefault="002A612D" w:rsidP="002A612D">
      <w:pPr>
        <w:spacing w:after="0" w:line="240" w:lineRule="auto"/>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 </w:t>
      </w:r>
    </w:p>
    <w:p w14:paraId="1042FC99" w14:textId="77777777" w:rsidR="00534C94" w:rsidRPr="00575825" w:rsidRDefault="002A612D" w:rsidP="00534C94">
      <w:pPr>
        <w:spacing w:after="200" w:line="240" w:lineRule="auto"/>
        <w:contextualSpacing/>
        <w:jc w:val="both"/>
        <w:rPr>
          <w:rFonts w:ascii="Arial" w:eastAsia="Calibri" w:hAnsi="Arial" w:cs="Arial"/>
          <w:color w:val="000000"/>
          <w:kern w:val="0"/>
          <w:highlight w:val="green"/>
          <w:lang w:eastAsia="es-PE"/>
          <w14:ligatures w14:val="none"/>
        </w:rPr>
      </w:pPr>
      <w:r w:rsidRPr="002A612D">
        <w:rPr>
          <w:rFonts w:ascii="Arial" w:eastAsia="Arial" w:hAnsi="Arial" w:cs="Arial"/>
          <w:b/>
          <w:color w:val="000000"/>
          <w:kern w:val="0"/>
          <w:lang w:eastAsia="es-PE"/>
          <w14:ligatures w14:val="none"/>
        </w:rPr>
        <w:t>SEGUNDO</w:t>
      </w:r>
      <w:r w:rsidRPr="002A612D">
        <w:rPr>
          <w:rFonts w:ascii="Arial" w:eastAsia="Arial" w:hAnsi="Arial" w:cs="Arial"/>
          <w:color w:val="000000"/>
          <w:kern w:val="0"/>
          <w:lang w:eastAsia="es-PE"/>
          <w14:ligatures w14:val="none"/>
        </w:rPr>
        <w:t xml:space="preserve">: informar a </w:t>
      </w:r>
      <w:r w:rsidR="00C03B29" w:rsidRPr="00820424">
        <w:rPr>
          <w:rFonts w:ascii="Arial" w:eastAsia="Calibri" w:hAnsi="Arial" w:cs="Arial"/>
          <w:bCs/>
          <w:color w:val="000000"/>
          <w:kern w:val="0"/>
          <w:highlight w:val="green"/>
          <w:lang w:eastAsia="es-PE"/>
          <w14:ligatures w14:val="none"/>
        </w:rPr>
        <w:t xml:space="preserve">el </w:t>
      </w:r>
      <w:r w:rsidR="00D40312" w:rsidRPr="00820424">
        <w:rPr>
          <w:rFonts w:ascii="Arial" w:eastAsia="Times New Roman" w:hAnsi="Arial" w:cs="Arial"/>
          <w:bCs/>
          <w:color w:val="000000"/>
          <w:kern w:val="0"/>
          <w:highlight w:val="green"/>
          <w:lang w:eastAsia="es-PE"/>
          <w14:ligatures w14:val="none"/>
        </w:rPr>
        <w:t>J.B. Comercio Nacional S.A.C.</w:t>
      </w:r>
      <w:r w:rsidR="00D40312">
        <w:rPr>
          <w:rFonts w:ascii="Arial" w:eastAsia="Times New Roman" w:hAnsi="Arial" w:cs="Arial"/>
          <w:bCs/>
          <w:color w:val="000000"/>
          <w:kern w:val="0"/>
          <w:lang w:eastAsia="es-PE"/>
          <w14:ligatures w14:val="none"/>
        </w:rPr>
        <w:t xml:space="preserve"> </w:t>
      </w:r>
      <w:r w:rsidRPr="002A612D">
        <w:rPr>
          <w:rFonts w:ascii="Arial" w:eastAsia="Times New Roman" w:hAnsi="Arial" w:cs="Arial"/>
          <w:color w:val="000000"/>
          <w:kern w:val="0"/>
          <w:lang w:eastAsia="es-PE"/>
          <w14:ligatures w14:val="none"/>
        </w:rPr>
        <w:t xml:space="preserve">que la presente resolución tiene vigencia desde el día de su notificación y no agota la vía administrativa. En tal sentido, se informa que, de conformidad con lo dispuesto por el artículo 38 del Decreto Legislativo Nº 807, el único recurso impugnativo que puede interponerse contra lo dispuesto por la Comisión de Protección al Consumidor N° 1 es el de </w:t>
      </w:r>
      <w:bookmarkEnd w:id="6"/>
      <w:r w:rsidR="00534C94" w:rsidRPr="004A2BA4">
        <w:rPr>
          <w:rFonts w:ascii="Arial" w:eastAsia="Calibri" w:hAnsi="Arial" w:cs="Arial"/>
          <w:color w:val="000000"/>
          <w:kern w:val="0"/>
          <w:lang w:eastAsia="es-PE"/>
          <w14:ligatures w14:val="none"/>
        </w:rPr>
        <w:t>apelación</w:t>
      </w:r>
      <w:r w:rsidR="00534C94" w:rsidRPr="004A2BA4">
        <w:rPr>
          <w:rFonts w:ascii="Arial" w:eastAsia="Calibri" w:hAnsi="Arial" w:cs="Arial"/>
          <w:color w:val="000000"/>
          <w:kern w:val="0"/>
          <w:vertAlign w:val="superscript"/>
          <w:lang w:eastAsia="es-PE"/>
          <w14:ligatures w14:val="none"/>
        </w:rPr>
        <w:footnoteReference w:id="17"/>
      </w:r>
      <w:r w:rsidR="00534C94" w:rsidRPr="004A2BA4">
        <w:rPr>
          <w:rFonts w:ascii="Arial" w:eastAsia="Calibri" w:hAnsi="Arial" w:cs="Arial"/>
          <w:color w:val="000000"/>
          <w:kern w:val="0"/>
          <w:lang w:eastAsia="es-PE"/>
          <w14:ligatures w14:val="none"/>
        </w:rPr>
        <w:t xml:space="preserve">, el cual debe ser presentado ante dicho </w:t>
      </w:r>
      <w:r w:rsidR="00534C94" w:rsidRPr="004A2BA4">
        <w:rPr>
          <w:rFonts w:ascii="Arial" w:eastAsia="Calibri" w:hAnsi="Arial" w:cs="Arial"/>
          <w:color w:val="000000"/>
          <w:kern w:val="0"/>
          <w:lang w:eastAsia="es-PE"/>
          <w14:ligatures w14:val="none"/>
        </w:rPr>
        <w:lastRenderedPageBreak/>
        <w:t>órgano colegiado en un plazo no mayor de quince (15) días hábiles, contado a partir del día siguiente de su notificación</w:t>
      </w:r>
      <w:r w:rsidR="00534C94" w:rsidRPr="004A2BA4">
        <w:rPr>
          <w:rFonts w:ascii="Arial" w:eastAsia="Calibri" w:hAnsi="Arial" w:cs="Arial"/>
          <w:color w:val="000000"/>
          <w:kern w:val="0"/>
          <w:vertAlign w:val="superscript"/>
          <w:lang w:eastAsia="es-PE"/>
          <w14:ligatures w14:val="none"/>
        </w:rPr>
        <w:footnoteReference w:id="18"/>
      </w:r>
      <w:r w:rsidR="00534C94" w:rsidRPr="004A2BA4">
        <w:rPr>
          <w:rFonts w:ascii="Arial" w:eastAsia="Calibri" w:hAnsi="Arial" w:cs="Arial"/>
          <w:color w:val="000000"/>
          <w:kern w:val="0"/>
          <w:lang w:eastAsia="es-PE"/>
          <w14:ligatures w14:val="none"/>
        </w:rPr>
        <w:t xml:space="preserve">, ello de acuerdo con lo establecido en el artículo </w:t>
      </w:r>
      <w:r w:rsidR="00534C94" w:rsidRPr="00111C27">
        <w:rPr>
          <w:rFonts w:ascii="Arial" w:eastAsia="Calibri" w:hAnsi="Arial" w:cs="Arial"/>
          <w:color w:val="000000"/>
          <w:kern w:val="0"/>
          <w:lang w:eastAsia="es-PE"/>
          <w14:ligatures w14:val="none"/>
        </w:rPr>
        <w:t>212</w:t>
      </w:r>
      <w:r w:rsidR="00534C94"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534C94" w:rsidRPr="00D91651">
        <w:rPr>
          <w:rFonts w:ascii="Arial" w:eastAsia="Calibri" w:hAnsi="Arial" w:cs="Arial"/>
          <w:color w:val="000000"/>
          <w:kern w:val="0"/>
          <w:lang w:eastAsia="es-PE"/>
          <w14:ligatures w14:val="none"/>
        </w:rPr>
        <w:t>006-2026-JUS</w:t>
      </w:r>
      <w:r w:rsidR="00534C94" w:rsidRPr="004A2BA4">
        <w:rPr>
          <w:rFonts w:ascii="Arial" w:eastAsia="Calibri" w:hAnsi="Arial" w:cs="Arial"/>
          <w:color w:val="000000"/>
          <w:kern w:val="0"/>
          <w:lang w:eastAsia="es-PE"/>
          <w14:ligatures w14:val="none"/>
        </w:rPr>
        <w:t>; caso contrario, la resolución quedará consentida</w:t>
      </w:r>
      <w:r w:rsidR="00534C94" w:rsidRPr="004A2BA4">
        <w:rPr>
          <w:rFonts w:ascii="Arial" w:eastAsia="Calibri" w:hAnsi="Arial" w:cs="Arial"/>
          <w:color w:val="000000"/>
          <w:kern w:val="0"/>
          <w:vertAlign w:val="superscript"/>
          <w:lang w:eastAsia="es-PE"/>
          <w14:ligatures w14:val="none"/>
        </w:rPr>
        <w:footnoteReference w:id="19"/>
      </w:r>
      <w:r w:rsidR="00534C94" w:rsidRPr="004A2BA4">
        <w:rPr>
          <w:rFonts w:ascii="Arial" w:eastAsia="Calibri" w:hAnsi="Arial" w:cs="Arial"/>
          <w:color w:val="000000"/>
          <w:kern w:val="0"/>
          <w:lang w:eastAsia="es-PE"/>
          <w14:ligatures w14:val="none"/>
        </w:rPr>
        <w:t>.</w:t>
      </w:r>
    </w:p>
    <w:p w14:paraId="49D06058" w14:textId="74E124AA" w:rsidR="002A612D" w:rsidRPr="002A612D" w:rsidRDefault="002A612D" w:rsidP="00534C94">
      <w:pPr>
        <w:spacing w:after="0" w:line="240" w:lineRule="auto"/>
        <w:jc w:val="both"/>
        <w:rPr>
          <w:rFonts w:ascii="Arial" w:eastAsia="Times New Roman" w:hAnsi="Arial" w:cs="Arial"/>
          <w:color w:val="000000"/>
          <w:kern w:val="0"/>
          <w:lang w:eastAsia="es-PE"/>
          <w14:ligatures w14:val="none"/>
        </w:rPr>
      </w:pPr>
    </w:p>
    <w:p w14:paraId="5A0CE41D" w14:textId="77777777" w:rsidR="001B5674" w:rsidRDefault="001B5674"/>
    <w:sectPr w:rsidR="001B5674" w:rsidSect="002A612D">
      <w:headerReference w:type="default" r:id="rId15"/>
      <w:footerReference w:type="default" r:id="rId16"/>
      <w:pgSz w:w="11906" w:h="16838"/>
      <w:pgMar w:top="1701" w:right="1416" w:bottom="1702" w:left="1418" w:header="1"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poyo Legal CC1" w:date="2026-02-04T10:52:00Z" w:initials="AC">
    <w:p w14:paraId="636CE295" w14:textId="77777777" w:rsidR="009B0B29" w:rsidRDefault="009B0B29" w:rsidP="009B0B29">
      <w:pPr>
        <w:pStyle w:val="Textocomentario"/>
      </w:pPr>
      <w:r>
        <w:rPr>
          <w:rStyle w:val="Refdecomentario"/>
        </w:rPr>
        <w:annotationRef/>
      </w:r>
      <w:r>
        <w:rPr>
          <w:lang w:val="es-ES"/>
        </w:rPr>
        <w:t>Solo si hubo otros requerimientos en la res. de req.</w:t>
      </w:r>
    </w:p>
  </w:comment>
  <w:comment w:id="4" w:author="José David Chávez Quispe" w:date="2025-07-03T10:22:00Z" w:initials="JC">
    <w:p w14:paraId="2016A161" w14:textId="77777777" w:rsidR="00FD5CD9" w:rsidRDefault="00FD5CD9" w:rsidP="00FD5CD9">
      <w:pPr>
        <w:pStyle w:val="Textocomentario"/>
      </w:pPr>
      <w:r>
        <w:rPr>
          <w:rStyle w:val="Refdecomentario"/>
        </w:rPr>
        <w:annotationRef/>
      </w:r>
      <w:r>
        <w:rPr>
          <w:lang w:val="es-ES"/>
        </w:rPr>
        <w:t>COMPLETARLO CUANDO SALGA LA CONFI TENERLO RESALTADO hasta antes que lo revise Ani</w:t>
      </w:r>
    </w:p>
  </w:comment>
  <w:comment w:id="5" w:author="José David Chávez Quispe" w:date="2025-10-02T10:29:00Z" w:initials="JC">
    <w:p w14:paraId="598606B3" w14:textId="77777777" w:rsidR="00C4316C" w:rsidRDefault="00C4316C" w:rsidP="00C4316C">
      <w:pPr>
        <w:pStyle w:val="Textocomentario"/>
      </w:pPr>
      <w:r>
        <w:rPr>
          <w:rStyle w:val="Refdecomentario"/>
        </w:rPr>
        <w:annotationRef/>
      </w:r>
      <w:r>
        <w:rPr>
          <w:lang w:val="es-ES"/>
        </w:rPr>
        <w:t>Poner la abreviatura que se le colocó al seguro en los hechos.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6CE295" w15:done="0"/>
  <w15:commentEx w15:paraId="2016A161" w15:done="0"/>
  <w15:commentEx w15:paraId="598606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6F2567" w16cex:dateUtc="2026-02-04T15:52:00Z"/>
  <w16cex:commentExtensible w16cex:durableId="5B87A3C9" w16cex:dateUtc="2025-07-03T15:22:00Z"/>
  <w16cex:commentExtensible w16cex:durableId="0AACC260" w16cex:dateUtc="2025-10-02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6CE295" w16cid:durableId="656F2567"/>
  <w16cid:commentId w16cid:paraId="2016A161" w16cid:durableId="5B87A3C9"/>
  <w16cid:commentId w16cid:paraId="598606B3" w16cid:durableId="0AACC2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8BD83" w14:textId="77777777" w:rsidR="00567D29" w:rsidRDefault="00567D29" w:rsidP="002A612D">
      <w:pPr>
        <w:spacing w:after="0" w:line="240" w:lineRule="auto"/>
      </w:pPr>
      <w:r>
        <w:separator/>
      </w:r>
    </w:p>
  </w:endnote>
  <w:endnote w:type="continuationSeparator" w:id="0">
    <w:p w14:paraId="0A9D7E9B" w14:textId="77777777" w:rsidR="00567D29" w:rsidRDefault="00567D29" w:rsidP="002A6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Times New Roman">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DE34" w14:textId="77777777" w:rsidR="009A5D23" w:rsidRDefault="009A5D23" w:rsidP="00B71AE4">
    <w:pPr>
      <w:pStyle w:val="Piedepgina"/>
    </w:pPr>
  </w:p>
  <w:sdt>
    <w:sdtPr>
      <w:id w:val="-994719183"/>
      <w:docPartObj>
        <w:docPartGallery w:val="Page Numbers (Bottom of Page)"/>
        <w:docPartUnique/>
      </w:docPartObj>
    </w:sdtPr>
    <w:sdtEndPr>
      <w:rPr>
        <w:rFonts w:ascii="Arial" w:hAnsi="Arial" w:cs="Arial"/>
        <w:sz w:val="14"/>
        <w:szCs w:val="14"/>
      </w:rPr>
    </w:sdtEndPr>
    <w:sdtContent>
      <w:p w14:paraId="7A3E5C7C" w14:textId="77777777" w:rsidR="009A5D23" w:rsidRDefault="009A5D23">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Pr="00725FBF">
          <w:rPr>
            <w:rFonts w:ascii="Arial" w:hAnsi="Arial" w:cs="Arial"/>
            <w:sz w:val="14"/>
            <w:szCs w:val="14"/>
            <w:lang w:val="es-ES"/>
          </w:rPr>
          <w:t>2</w:t>
        </w:r>
        <w:r w:rsidRPr="00725FBF">
          <w:rPr>
            <w:rFonts w:ascii="Arial" w:hAnsi="Arial" w:cs="Arial"/>
            <w:sz w:val="14"/>
            <w:szCs w:val="14"/>
          </w:rPr>
          <w:fldChar w:fldCharType="end"/>
        </w:r>
      </w:p>
      <w:p w14:paraId="456EFAF5" w14:textId="77777777" w:rsidR="009A5D23" w:rsidRDefault="009A5D23" w:rsidP="00725FBF">
        <w:pPr>
          <w:pStyle w:val="Sinespaciado"/>
          <w:jc w:val="center"/>
          <w:rPr>
            <w:b/>
            <w:i/>
            <w:sz w:val="14"/>
            <w:szCs w:val="14"/>
          </w:rPr>
        </w:pPr>
      </w:p>
      <w:p w14:paraId="4D9E50DC" w14:textId="77777777" w:rsidR="009A5D23" w:rsidRPr="00E92719" w:rsidRDefault="009A5D23"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4D90E92E" w14:textId="77777777" w:rsidR="009A5D23" w:rsidRPr="00E92719" w:rsidRDefault="009A5D23" w:rsidP="00725FBF">
        <w:pPr>
          <w:pStyle w:val="Sinespaciado"/>
          <w:jc w:val="center"/>
          <w:rPr>
            <w:sz w:val="14"/>
            <w:szCs w:val="14"/>
          </w:rPr>
        </w:pPr>
        <w:r w:rsidRPr="00E92719">
          <w:rPr>
            <w:sz w:val="14"/>
            <w:szCs w:val="14"/>
          </w:rPr>
          <w:t>Calle De la Prosa 104, San Borja, Lima 41 - Perú Telf: 224 7800 / Fax: 224 0348</w:t>
        </w:r>
      </w:p>
      <w:p w14:paraId="4B4E5AB5" w14:textId="77777777" w:rsidR="009A5D23" w:rsidRPr="00E92719" w:rsidRDefault="009A5D23" w:rsidP="00725FBF">
        <w:pPr>
          <w:pStyle w:val="Sinespaciado"/>
          <w:jc w:val="center"/>
          <w:rPr>
            <w:sz w:val="14"/>
            <w:szCs w:val="14"/>
            <w:lang w:val="en-US"/>
          </w:rPr>
        </w:pPr>
        <w:r w:rsidRPr="00E92719">
          <w:rPr>
            <w:sz w:val="14"/>
            <w:szCs w:val="14"/>
            <w:lang w:val="en-US"/>
          </w:rPr>
          <w:t>E-mail: postmaster@indecopi.gob.pe / Web: www.indecopi.gob.pe</w:t>
        </w:r>
      </w:p>
      <w:p w14:paraId="17FAB928" w14:textId="77777777" w:rsidR="009A5D23" w:rsidRPr="005A4ACA" w:rsidRDefault="009A5D23" w:rsidP="00725FBF">
        <w:pPr>
          <w:pStyle w:val="Piedepgina"/>
          <w:jc w:val="center"/>
          <w:rPr>
            <w:sz w:val="16"/>
            <w:szCs w:val="16"/>
            <w:lang w:val="en-US"/>
          </w:rPr>
        </w:pPr>
      </w:p>
      <w:p w14:paraId="089E007C" w14:textId="77777777" w:rsidR="009A5D23" w:rsidRPr="00725FBF" w:rsidRDefault="009A5D23">
        <w:pPr>
          <w:pStyle w:val="Piedepgina"/>
          <w:rPr>
            <w:rFonts w:ascii="Arial" w:hAnsi="Arial" w:cs="Arial"/>
            <w:sz w:val="14"/>
            <w:szCs w:val="14"/>
          </w:rPr>
        </w:pPr>
        <w:r w:rsidRPr="0080012B">
          <w:rPr>
            <w:rFonts w:ascii="Arial" w:hAnsi="Arial" w:cs="Arial"/>
            <w:sz w:val="16"/>
            <w:szCs w:val="16"/>
          </w:rPr>
          <w:t>M-CPC-05/0</w:t>
        </w:r>
        <w:r>
          <w:rPr>
            <w:rFonts w:ascii="Arial" w:hAnsi="Arial" w:cs="Arial"/>
            <w:sz w:val="16"/>
            <w:szCs w:val="16"/>
          </w:rPr>
          <w:t>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441CF" w14:textId="77777777" w:rsidR="00567D29" w:rsidRDefault="00567D29" w:rsidP="002A612D">
      <w:pPr>
        <w:spacing w:after="0" w:line="240" w:lineRule="auto"/>
      </w:pPr>
      <w:r>
        <w:separator/>
      </w:r>
    </w:p>
  </w:footnote>
  <w:footnote w:type="continuationSeparator" w:id="0">
    <w:p w14:paraId="34030540" w14:textId="77777777" w:rsidR="00567D29" w:rsidRDefault="00567D29" w:rsidP="002A612D">
      <w:pPr>
        <w:spacing w:after="0" w:line="240" w:lineRule="auto"/>
      </w:pPr>
      <w:r>
        <w:continuationSeparator/>
      </w:r>
    </w:p>
  </w:footnote>
  <w:footnote w:id="1">
    <w:p w14:paraId="752F1B4E" w14:textId="77777777" w:rsidR="00271C1B" w:rsidRPr="00271C1B" w:rsidRDefault="00271C1B" w:rsidP="00271C1B">
      <w:pPr>
        <w:pStyle w:val="Textonotapie"/>
        <w:ind w:left="567" w:hanging="567"/>
        <w:jc w:val="both"/>
        <w:rPr>
          <w:rFonts w:ascii="Arial" w:hAnsi="Arial" w:cs="Arial"/>
          <w:sz w:val="16"/>
          <w:szCs w:val="16"/>
        </w:rPr>
      </w:pPr>
      <w:r w:rsidRPr="00271C1B">
        <w:rPr>
          <w:rStyle w:val="Refdenotaalpie"/>
          <w:rFonts w:ascii="Arial" w:hAnsi="Arial" w:cs="Arial"/>
          <w:sz w:val="16"/>
          <w:szCs w:val="16"/>
        </w:rPr>
        <w:footnoteRef/>
      </w:r>
      <w:r w:rsidRPr="00271C1B">
        <w:rPr>
          <w:rFonts w:ascii="Arial" w:hAnsi="Arial" w:cs="Arial"/>
          <w:sz w:val="16"/>
          <w:szCs w:val="16"/>
        </w:rPr>
        <w:t xml:space="preserve"> </w:t>
      </w:r>
      <w:r w:rsidRPr="00271C1B">
        <w:rPr>
          <w:rFonts w:ascii="Arial" w:hAnsi="Arial" w:cs="Arial"/>
          <w:sz w:val="16"/>
          <w:szCs w:val="16"/>
        </w:rPr>
        <w:tab/>
      </w:r>
      <w:r w:rsidRPr="00271C1B">
        <w:rPr>
          <w:rFonts w:ascii="Arial" w:hAnsi="Arial" w:cs="Arial"/>
          <w:sz w:val="16"/>
          <w:szCs w:val="16"/>
          <w:highlight w:val="red"/>
        </w:rPr>
        <w:t>Denuncia remitida a esta Comisión mediante MEMORANDUM N° 000797-2025-PS2/INDECOPI de fecha 12 de mayo del 2025, recepcionada el 12 de mayo del 2025.</w:t>
      </w:r>
    </w:p>
    <w:p w14:paraId="2B3771D4" w14:textId="77777777" w:rsidR="00271C1B" w:rsidRPr="00827364" w:rsidRDefault="00271C1B" w:rsidP="00271C1B">
      <w:pPr>
        <w:pStyle w:val="Textonotapie"/>
        <w:ind w:left="567" w:hanging="567"/>
        <w:jc w:val="both"/>
        <w:rPr>
          <w:rFonts w:ascii="Arial Narrow" w:hAnsi="Arial Narrow" w:cs="Arial"/>
          <w:sz w:val="16"/>
          <w:szCs w:val="16"/>
        </w:rPr>
      </w:pPr>
    </w:p>
  </w:footnote>
  <w:footnote w:id="2">
    <w:p w14:paraId="62896BF4" w14:textId="77777777" w:rsidR="002A612D" w:rsidRPr="00051002" w:rsidRDefault="002A612D" w:rsidP="002A612D">
      <w:pPr>
        <w:widowControl w:val="0"/>
        <w:tabs>
          <w:tab w:val="left" w:pos="567"/>
        </w:tabs>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hAnsi="Arial" w:cs="Arial"/>
          <w:b/>
          <w:sz w:val="16"/>
          <w:szCs w:val="16"/>
        </w:rPr>
        <w:t>LEY N° 29571, CÓDIGO DE PROTECCIÓN Y DEFENSA DEL CONSUMIDOR, publicada el 2 de setiembre de 2010 y modificada por el DECRETO LEGISLATIVO N° 1308, publicado el 30 de diciembre de 2016</w:t>
      </w:r>
    </w:p>
    <w:p w14:paraId="4CFF6880"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TÍTULO PRELIMINAR</w:t>
      </w:r>
    </w:p>
    <w:p w14:paraId="7D58CFD0" w14:textId="77777777" w:rsidR="002A612D" w:rsidRPr="00051002" w:rsidRDefault="002A612D" w:rsidP="002A612D">
      <w:pPr>
        <w:widowControl w:val="0"/>
        <w:spacing w:after="0" w:line="240" w:lineRule="auto"/>
        <w:ind w:left="1287" w:hanging="713"/>
        <w:jc w:val="both"/>
        <w:rPr>
          <w:rFonts w:ascii="Arial" w:hAnsi="Arial" w:cs="Arial"/>
          <w:sz w:val="16"/>
          <w:szCs w:val="16"/>
        </w:rPr>
      </w:pPr>
      <w:r w:rsidRPr="00051002">
        <w:rPr>
          <w:rFonts w:ascii="Arial" w:eastAsia="Arial" w:hAnsi="Arial" w:cs="Arial"/>
          <w:b/>
          <w:sz w:val="16"/>
          <w:szCs w:val="16"/>
        </w:rPr>
        <w:t>Artículo IV.- Definiciones</w:t>
      </w:r>
    </w:p>
    <w:p w14:paraId="53294C2F"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ab/>
      </w:r>
      <w:r w:rsidRPr="00051002">
        <w:rPr>
          <w:rFonts w:ascii="Arial" w:eastAsia="Arial" w:hAnsi="Arial" w:cs="Arial"/>
          <w:sz w:val="16"/>
          <w:szCs w:val="16"/>
        </w:rPr>
        <w:t>Para los efectos del presente Código, se entiende por:</w:t>
      </w:r>
    </w:p>
    <w:p w14:paraId="725C7705" w14:textId="77777777" w:rsidR="002A612D" w:rsidRPr="00051002" w:rsidRDefault="002A612D" w:rsidP="002A612D">
      <w:pPr>
        <w:widowControl w:val="0"/>
        <w:numPr>
          <w:ilvl w:val="0"/>
          <w:numId w:val="2"/>
        </w:numPr>
        <w:spacing w:after="0" w:line="240" w:lineRule="auto"/>
        <w:ind w:left="850" w:hanging="277"/>
        <w:contextualSpacing/>
        <w:jc w:val="both"/>
        <w:rPr>
          <w:rFonts w:ascii="Arial" w:eastAsia="Arial" w:hAnsi="Arial" w:cs="Arial"/>
          <w:b/>
          <w:sz w:val="16"/>
          <w:szCs w:val="16"/>
        </w:rPr>
      </w:pPr>
      <w:r w:rsidRPr="00051002">
        <w:rPr>
          <w:rFonts w:ascii="Arial" w:eastAsia="Arial" w:hAnsi="Arial" w:cs="Arial"/>
          <w:b/>
          <w:sz w:val="16"/>
          <w:szCs w:val="16"/>
        </w:rPr>
        <w:t>Consumidores o usuarios</w:t>
      </w:r>
    </w:p>
    <w:p w14:paraId="604EF3C0" w14:textId="77777777" w:rsidR="002A612D" w:rsidRPr="00051002" w:rsidRDefault="002A612D" w:rsidP="002A612D">
      <w:pPr>
        <w:widowControl w:val="0"/>
        <w:numPr>
          <w:ilvl w:val="1"/>
          <w:numId w:val="2"/>
        </w:numPr>
        <w:spacing w:after="0" w:line="240" w:lineRule="auto"/>
        <w:ind w:left="1134" w:hanging="283"/>
        <w:contextualSpacing/>
        <w:jc w:val="both"/>
        <w:rPr>
          <w:rFonts w:ascii="Arial" w:eastAsia="Arial" w:hAnsi="Arial" w:cs="Arial"/>
          <w:sz w:val="16"/>
          <w:szCs w:val="16"/>
        </w:rPr>
      </w:pPr>
      <w:r w:rsidRPr="00051002">
        <w:rPr>
          <w:rFonts w:ascii="Arial" w:eastAsia="Arial" w:hAnsi="Arial" w:cs="Arial"/>
          <w:sz w:val="16"/>
          <w:szCs w:val="16"/>
        </w:rPr>
        <w:t xml:space="preserve">Las </w:t>
      </w:r>
      <w:r w:rsidRPr="002A612D">
        <w:rPr>
          <w:rFonts w:ascii="Arial" w:eastAsia="Arial" w:hAnsi="Arial" w:cs="Arial"/>
          <w:sz w:val="16"/>
          <w:szCs w:val="16"/>
        </w:rPr>
        <w:t>personas naturales o jurídicas que adquieren utilizan o disfrutan como destinatarios finales productos o servicios</w:t>
      </w:r>
      <w:r w:rsidRPr="00051002">
        <w:rPr>
          <w:rFonts w:ascii="Arial" w:eastAsia="Arial" w:hAnsi="Arial" w:cs="Arial"/>
          <w:sz w:val="16"/>
          <w:szCs w:val="16"/>
        </w:rPr>
        <w:t xml:space="preserve">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4FE9ED2F" w14:textId="77777777" w:rsidR="002A612D" w:rsidRPr="00051002" w:rsidRDefault="002A612D" w:rsidP="002A612D">
      <w:pPr>
        <w:widowControl w:val="0"/>
        <w:numPr>
          <w:ilvl w:val="1"/>
          <w:numId w:val="2"/>
        </w:numPr>
        <w:spacing w:after="0" w:line="240" w:lineRule="auto"/>
        <w:ind w:left="1134" w:hanging="283"/>
        <w:contextualSpacing/>
        <w:jc w:val="both"/>
        <w:rPr>
          <w:rFonts w:ascii="Arial" w:eastAsia="Arial" w:hAnsi="Arial" w:cs="Arial"/>
          <w:sz w:val="16"/>
          <w:szCs w:val="16"/>
        </w:rPr>
      </w:pPr>
      <w:r w:rsidRPr="00051002">
        <w:rPr>
          <w:rFonts w:ascii="Arial" w:eastAsia="Arial" w:hAnsi="Arial" w:cs="Arial"/>
          <w:sz w:val="16"/>
          <w:szCs w:val="16"/>
        </w:rPr>
        <w:t>Los microempresarios que evidencien una situación de asimetría informativa con el proveedor respecto de aquellos productos o servicios que no formen parte del giro propio del negocio.</w:t>
      </w:r>
    </w:p>
    <w:p w14:paraId="5C3CF525" w14:textId="77777777" w:rsidR="002A612D" w:rsidRPr="00051002" w:rsidRDefault="002A612D" w:rsidP="002A612D">
      <w:pPr>
        <w:widowControl w:val="0"/>
        <w:numPr>
          <w:ilvl w:val="1"/>
          <w:numId w:val="2"/>
        </w:numPr>
        <w:spacing w:after="0" w:line="240" w:lineRule="auto"/>
        <w:ind w:left="1134" w:hanging="283"/>
        <w:contextualSpacing/>
        <w:jc w:val="both"/>
        <w:rPr>
          <w:rFonts w:ascii="Arial" w:eastAsia="Arial" w:hAnsi="Arial" w:cs="Arial"/>
          <w:sz w:val="16"/>
          <w:szCs w:val="16"/>
        </w:rPr>
      </w:pPr>
      <w:r w:rsidRPr="00051002">
        <w:rPr>
          <w:rFonts w:ascii="Arial" w:eastAsia="Arial" w:hAnsi="Arial" w:cs="Arial"/>
          <w:sz w:val="16"/>
          <w:szCs w:val="16"/>
        </w:rPr>
        <w:t xml:space="preserve">En caso de duda sobre el destino final de determinado producto o servicio, se califica como consumidor a quien lo adquiere, usa o disfruta. </w:t>
      </w:r>
    </w:p>
    <w:p w14:paraId="29957AD0" w14:textId="77777777" w:rsidR="002A612D" w:rsidRPr="00051002" w:rsidRDefault="002A612D" w:rsidP="002A612D">
      <w:pPr>
        <w:widowControl w:val="0"/>
        <w:spacing w:after="0" w:line="240" w:lineRule="auto"/>
        <w:ind w:left="565" w:firstLine="285"/>
        <w:jc w:val="both"/>
        <w:rPr>
          <w:rFonts w:ascii="Arial" w:hAnsi="Arial" w:cs="Arial"/>
          <w:sz w:val="16"/>
          <w:szCs w:val="16"/>
        </w:rPr>
      </w:pPr>
      <w:r w:rsidRPr="00051002">
        <w:rPr>
          <w:rFonts w:ascii="Arial" w:eastAsia="Arial" w:hAnsi="Arial" w:cs="Arial"/>
          <w:sz w:val="16"/>
          <w:szCs w:val="16"/>
        </w:rPr>
        <w:t>(…)</w:t>
      </w:r>
    </w:p>
  </w:footnote>
  <w:footnote w:id="3">
    <w:p w14:paraId="66954664" w14:textId="77777777" w:rsidR="002A612D" w:rsidRPr="00051002" w:rsidRDefault="002A612D" w:rsidP="002A612D">
      <w:pPr>
        <w:widowControl w:val="0"/>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TEXTO ÚNICO ORDENADO DE LA LEY DE IMPULSO AL DESARROLLO PRODUCTIVO Y AL CRECIMIENTO EMPRESARIAL, aprobado por DECRETO SUPREMO 013-2013-PRODUCE y publicado el 28 de diciembre de 2013</w:t>
      </w:r>
    </w:p>
    <w:p w14:paraId="07BA5973"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Artículo 5.- Características de las micro, pequeñas y medianas empresas</w:t>
      </w:r>
    </w:p>
    <w:p w14:paraId="13065291"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Las micro, pequeñas y medianas empresas deben ubicarse en alguna de las siguientes categorías empresariales, establecidas en función de sus niveles de ventas anuales:</w:t>
      </w:r>
    </w:p>
    <w:p w14:paraId="749A4A95"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 xml:space="preserve">Microempresa: </w:t>
      </w:r>
      <w:r w:rsidRPr="00051002">
        <w:rPr>
          <w:rFonts w:ascii="Arial" w:eastAsia="Arial" w:hAnsi="Arial" w:cs="Arial"/>
          <w:sz w:val="16"/>
          <w:szCs w:val="16"/>
        </w:rPr>
        <w:t>ventas anuales hasta el monto máximo de 150 Unidades Impositivas Tributarias (UIT).</w:t>
      </w:r>
    </w:p>
    <w:p w14:paraId="5E2C2206"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w:t>
      </w:r>
    </w:p>
    <w:p w14:paraId="5E222F99" w14:textId="77777777" w:rsidR="002A612D" w:rsidRPr="00051002" w:rsidRDefault="002A612D" w:rsidP="002A612D">
      <w:pPr>
        <w:widowControl w:val="0"/>
        <w:spacing w:after="0" w:line="240" w:lineRule="auto"/>
        <w:ind w:left="567"/>
        <w:jc w:val="both"/>
        <w:rPr>
          <w:rFonts w:ascii="Arial" w:hAnsi="Arial" w:cs="Arial"/>
          <w:sz w:val="16"/>
          <w:szCs w:val="16"/>
        </w:rPr>
      </w:pPr>
    </w:p>
  </w:footnote>
  <w:footnote w:id="4">
    <w:p w14:paraId="6088DE3E" w14:textId="77777777" w:rsidR="002A612D" w:rsidRPr="00051002" w:rsidRDefault="002A612D" w:rsidP="002A612D">
      <w:pPr>
        <w:widowControl w:val="0"/>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t>La Comisión entiende por “giro propio del negocio” aquellas actividades esenciales del proceso productivo, es decir, aquellas actividades imprescindibles sin las cuales el negocio no puede desarrollarse. De esta manera, las actividades imprescindibles sin las cuales el negocio no puede desarrollarse. De esta manera, las actividades que no forman parte del proceso productivo y respecto de las cuales cabe, en principio, la tutela administrativa de la Comisión, son aquellas de apoyo al proceso productivo.</w:t>
      </w:r>
    </w:p>
    <w:p w14:paraId="7DC2CC4F" w14:textId="77777777" w:rsidR="002A612D" w:rsidRPr="00051002" w:rsidRDefault="002A612D" w:rsidP="002A612D">
      <w:pPr>
        <w:widowControl w:val="0"/>
        <w:tabs>
          <w:tab w:val="left" w:pos="540"/>
        </w:tabs>
        <w:spacing w:after="0" w:line="240" w:lineRule="auto"/>
        <w:ind w:left="567" w:hanging="1"/>
        <w:jc w:val="both"/>
        <w:rPr>
          <w:rFonts w:ascii="Arial" w:hAnsi="Arial" w:cs="Arial"/>
          <w:sz w:val="16"/>
          <w:szCs w:val="16"/>
        </w:rPr>
      </w:pPr>
    </w:p>
  </w:footnote>
  <w:footnote w:id="5">
    <w:p w14:paraId="3524E018" w14:textId="77777777" w:rsidR="002A612D" w:rsidRPr="00051002" w:rsidRDefault="002A612D" w:rsidP="002A612D">
      <w:pPr>
        <w:widowControl w:val="0"/>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LEY 29571, CÓDIGO DE PROTECCIÓN Y DEFENSA DEL CONSUMIDOR, publicada el 2 de setiembre de 2010</w:t>
      </w:r>
    </w:p>
    <w:p w14:paraId="62B5DA0C" w14:textId="77777777" w:rsidR="002A612D" w:rsidRPr="00051002" w:rsidRDefault="002A612D" w:rsidP="002A612D">
      <w:pPr>
        <w:widowControl w:val="0"/>
        <w:spacing w:after="0" w:line="240" w:lineRule="auto"/>
        <w:ind w:left="567" w:firstLine="6"/>
        <w:jc w:val="both"/>
        <w:rPr>
          <w:rFonts w:ascii="Arial" w:hAnsi="Arial" w:cs="Arial"/>
          <w:sz w:val="16"/>
          <w:szCs w:val="16"/>
        </w:rPr>
      </w:pPr>
      <w:r w:rsidRPr="00051002">
        <w:rPr>
          <w:rFonts w:ascii="Arial" w:eastAsia="Arial" w:hAnsi="Arial" w:cs="Arial"/>
          <w:b/>
          <w:sz w:val="16"/>
          <w:szCs w:val="16"/>
        </w:rPr>
        <w:t>TÍTULO PRELIMINAR</w:t>
      </w:r>
    </w:p>
    <w:p w14:paraId="757AFCAF" w14:textId="77777777" w:rsidR="002A612D" w:rsidRPr="00051002" w:rsidRDefault="002A612D" w:rsidP="002A612D">
      <w:pPr>
        <w:widowControl w:val="0"/>
        <w:spacing w:after="0" w:line="240" w:lineRule="auto"/>
        <w:ind w:left="573"/>
        <w:jc w:val="both"/>
        <w:rPr>
          <w:rFonts w:ascii="Arial" w:hAnsi="Arial" w:cs="Arial"/>
          <w:sz w:val="16"/>
          <w:szCs w:val="16"/>
        </w:rPr>
      </w:pPr>
      <w:r w:rsidRPr="00051002">
        <w:rPr>
          <w:rFonts w:ascii="Arial" w:eastAsia="Arial" w:hAnsi="Arial" w:cs="Arial"/>
          <w:b/>
          <w:sz w:val="16"/>
          <w:szCs w:val="16"/>
        </w:rPr>
        <w:t>Artículo IV.- Definiciones</w:t>
      </w:r>
    </w:p>
    <w:p w14:paraId="0A3CCF39"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 xml:space="preserve">Para los efectos del presente Código, se entiende por: </w:t>
      </w:r>
    </w:p>
    <w:p w14:paraId="59E664BE"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w:t>
      </w:r>
    </w:p>
    <w:p w14:paraId="76B3BF36" w14:textId="77777777" w:rsidR="002A612D" w:rsidRPr="00853135" w:rsidRDefault="002A612D" w:rsidP="002A612D">
      <w:pPr>
        <w:widowControl w:val="0"/>
        <w:spacing w:after="0" w:line="240" w:lineRule="auto"/>
        <w:ind w:left="567"/>
        <w:jc w:val="both"/>
        <w:rPr>
          <w:rFonts w:ascii="Arial" w:eastAsia="Arial" w:hAnsi="Arial" w:cs="Arial"/>
          <w:sz w:val="16"/>
          <w:szCs w:val="16"/>
        </w:rPr>
      </w:pPr>
      <w:r w:rsidRPr="00051002">
        <w:rPr>
          <w:rFonts w:ascii="Arial" w:eastAsia="Arial" w:hAnsi="Arial" w:cs="Arial"/>
          <w:b/>
          <w:sz w:val="16"/>
          <w:szCs w:val="16"/>
        </w:rPr>
        <w:t xml:space="preserve">7. Asimetría informativa.- </w:t>
      </w:r>
      <w:r w:rsidRPr="00051002">
        <w:rPr>
          <w:rFonts w:ascii="Arial" w:eastAsia="Arial" w:hAnsi="Arial" w:cs="Arial"/>
          <w:sz w:val="16"/>
          <w:szCs w:val="16"/>
        </w:rPr>
        <w:t>Característica de la transacción comercial por la cual uno de los agentes, el proveedor, suele tener mayor y mejor información sobre los productos y servicios que ofrece en el mercado a los consumidores.</w:t>
      </w:r>
    </w:p>
  </w:footnote>
  <w:footnote w:id="6">
    <w:p w14:paraId="68BB73ED" w14:textId="77777777" w:rsidR="002A612D" w:rsidRPr="00051002" w:rsidRDefault="002A612D" w:rsidP="002A612D">
      <w:pPr>
        <w:widowControl w:val="0"/>
        <w:spacing w:after="0" w:line="240" w:lineRule="auto"/>
        <w:ind w:left="565"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TEXTO ÚNICO ORDENADO DE LA LEY DE IMPULSO AL DESARROLLO PRODUCTIVO Y AL CRECIMIENTO EMPRESARIAL, aprobado por DECRETO SUPREMO 013-2013-PRODUCE y publicado el 28 de diciembre de 2013</w:t>
      </w:r>
    </w:p>
    <w:p w14:paraId="7A5B27EE"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b/>
          <w:sz w:val="16"/>
          <w:szCs w:val="16"/>
        </w:rPr>
        <w:t>Artículo 4.- Definición de la Micro y Pequeña Empresa</w:t>
      </w:r>
    </w:p>
    <w:p w14:paraId="1617D7B0"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La Micro y Pequeña Empresa es la unidad económica constituida por una persona natural o jurídica, bajo cualquier forma de organización o gestión empresarial contemplada en la legislación vigente, que tiene como objeto desarrollar actividades de extracción, transformación, producción, comercialización de bienes o prestación de servicios.</w:t>
      </w:r>
    </w:p>
    <w:p w14:paraId="2BBA4917"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w:t>
      </w:r>
    </w:p>
    <w:p w14:paraId="2492BC24" w14:textId="77777777" w:rsidR="002A612D" w:rsidRPr="00051002" w:rsidRDefault="002A612D" w:rsidP="002A612D">
      <w:pPr>
        <w:widowControl w:val="0"/>
        <w:spacing w:after="0" w:line="240" w:lineRule="auto"/>
        <w:ind w:left="565"/>
        <w:jc w:val="both"/>
        <w:rPr>
          <w:rFonts w:ascii="Arial" w:eastAsia="Arial" w:hAnsi="Arial" w:cs="Arial"/>
          <w:b/>
          <w:sz w:val="16"/>
          <w:szCs w:val="16"/>
        </w:rPr>
      </w:pPr>
    </w:p>
    <w:p w14:paraId="2C48812E"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b/>
          <w:sz w:val="16"/>
          <w:szCs w:val="16"/>
        </w:rPr>
        <w:t>Artículo 5.- Características de las micro, pequeñas y medianas empresas</w:t>
      </w:r>
    </w:p>
    <w:p w14:paraId="74907BDA"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Las micro, pequeñas y medianas empresas deben ubicarse en alguna de las siguientes categorías empresariales, establecidas en función de sus niveles de ventas anuales:</w:t>
      </w:r>
    </w:p>
    <w:p w14:paraId="65EC5899"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 Microempresa: ventas anuales hasta el monto máximo de 150 Unidades Impositivas Tributarias (UIT).</w:t>
      </w:r>
    </w:p>
    <w:p w14:paraId="370FCFE8" w14:textId="77777777" w:rsidR="002A612D" w:rsidRDefault="002A612D" w:rsidP="002A612D">
      <w:pPr>
        <w:widowControl w:val="0"/>
        <w:spacing w:after="0" w:line="240" w:lineRule="auto"/>
        <w:ind w:left="565"/>
        <w:jc w:val="both"/>
        <w:rPr>
          <w:rFonts w:ascii="Arial" w:eastAsia="Arial" w:hAnsi="Arial" w:cs="Arial"/>
          <w:sz w:val="16"/>
          <w:szCs w:val="16"/>
        </w:rPr>
      </w:pPr>
      <w:r w:rsidRPr="00051002">
        <w:rPr>
          <w:rFonts w:ascii="Arial" w:eastAsia="Arial" w:hAnsi="Arial" w:cs="Arial"/>
          <w:sz w:val="16"/>
          <w:szCs w:val="16"/>
        </w:rPr>
        <w:t>(...)</w:t>
      </w:r>
    </w:p>
    <w:p w14:paraId="253EDC40" w14:textId="77777777" w:rsidR="004B47FB" w:rsidRPr="00853135" w:rsidRDefault="004B47FB" w:rsidP="002A612D">
      <w:pPr>
        <w:widowControl w:val="0"/>
        <w:spacing w:after="0" w:line="240" w:lineRule="auto"/>
        <w:ind w:left="565"/>
        <w:jc w:val="both"/>
        <w:rPr>
          <w:rFonts w:ascii="Arial" w:eastAsia="Arial" w:hAnsi="Arial" w:cs="Arial"/>
          <w:sz w:val="16"/>
          <w:szCs w:val="16"/>
        </w:rPr>
      </w:pPr>
    </w:p>
  </w:footnote>
  <w:footnote w:id="7">
    <w:p w14:paraId="74A7C774"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bCs/>
          <w:sz w:val="16"/>
          <w:szCs w:val="16"/>
        </w:rPr>
        <w:t>DIRECTIVA N° 001-2021/DIR-COD-INDECOPI, DIRECTIVA ÚNICA QUE REGULA LOS PROCEDIMIENTOS DE PROTECCIÓN AL CONSUMIDOR PREVISTOS EN EL CÓDIGO DE PROTECCIÓN AL CONSUMIDOR, aprobada por Resolución N° 00044-2021/COD-INDECOPI y publicada el 30 de abril de 2021.</w:t>
      </w:r>
    </w:p>
    <w:p w14:paraId="639B949D" w14:textId="77777777" w:rsidR="002A612D" w:rsidRPr="00051002" w:rsidRDefault="002A612D" w:rsidP="002A612D">
      <w:pPr>
        <w:widowControl w:val="0"/>
        <w:spacing w:after="0" w:line="240" w:lineRule="auto"/>
        <w:ind w:left="555" w:hanging="570"/>
        <w:jc w:val="both"/>
        <w:rPr>
          <w:rFonts w:ascii="Arial" w:eastAsia="Arial" w:hAnsi="Arial" w:cs="Arial"/>
          <w:b/>
          <w:bCs/>
          <w:sz w:val="16"/>
          <w:szCs w:val="16"/>
        </w:rPr>
      </w:pPr>
      <w:r w:rsidRPr="00051002">
        <w:rPr>
          <w:rFonts w:ascii="Arial" w:eastAsia="Arial" w:hAnsi="Arial" w:cs="Arial"/>
          <w:sz w:val="16"/>
          <w:szCs w:val="16"/>
        </w:rPr>
        <w:tab/>
      </w:r>
      <w:r w:rsidRPr="00051002">
        <w:rPr>
          <w:rFonts w:ascii="Arial" w:eastAsia="Arial" w:hAnsi="Arial" w:cs="Arial"/>
          <w:b/>
          <w:bCs/>
          <w:sz w:val="16"/>
          <w:szCs w:val="16"/>
        </w:rPr>
        <w:t>Artículo 11.- Requisitos de la denuncia</w:t>
      </w:r>
    </w:p>
    <w:p w14:paraId="62A14564"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w:t>
      </w:r>
    </w:p>
    <w:p w14:paraId="5FEFFEEB"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El denunciante deberá acreditar que ostenta, a la fecha de la presentación de la denuncia, la condición de microempresario.</w:t>
      </w:r>
    </w:p>
    <w:p w14:paraId="1513654D" w14:textId="77777777" w:rsidR="002A612D" w:rsidRPr="00051002" w:rsidRDefault="002A612D" w:rsidP="002A612D">
      <w:pPr>
        <w:widowControl w:val="0"/>
        <w:spacing w:after="0" w:line="240" w:lineRule="auto"/>
        <w:ind w:left="555" w:hanging="570"/>
        <w:jc w:val="both"/>
        <w:rPr>
          <w:rFonts w:ascii="Arial" w:hAnsi="Arial" w:cs="Arial"/>
          <w:sz w:val="16"/>
          <w:szCs w:val="16"/>
        </w:rPr>
      </w:pPr>
    </w:p>
  </w:footnote>
  <w:footnote w:id="8">
    <w:p w14:paraId="2421EBFA" w14:textId="77777777" w:rsidR="002A612D" w:rsidRPr="00051002" w:rsidRDefault="002A612D" w:rsidP="002A612D">
      <w:pPr>
        <w:widowControl w:val="0"/>
        <w:spacing w:after="0" w:line="240" w:lineRule="auto"/>
        <w:ind w:left="565" w:hanging="56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4B47FB">
        <w:rPr>
          <w:rFonts w:ascii="Arial" w:hAnsi="Arial" w:cs="Arial"/>
          <w:sz w:val="16"/>
          <w:szCs w:val="16"/>
        </w:rPr>
        <w:tab/>
        <w:t>Por tanto, los efectos constitutivos de dicho ejercicio gravable continuarán durante el siguiente año hasta la fecha en que se determine nuevamente sus ingresos. Por ejemplo, si al finalizar el ejercicio gravable el contribuyente era microempresario, entonces, dicha calificación continuará hasta la culminación del siguiente periodo, fecha en la cual se volverá a verificar su condición en función de los ingresos generados durante ese periodo.</w:t>
      </w:r>
    </w:p>
    <w:p w14:paraId="4466A7B8" w14:textId="77777777" w:rsidR="002A612D" w:rsidRPr="00051002" w:rsidRDefault="002A612D" w:rsidP="002A612D">
      <w:pPr>
        <w:widowControl w:val="0"/>
        <w:spacing w:after="0" w:line="240" w:lineRule="auto"/>
        <w:ind w:left="565" w:hanging="3"/>
        <w:jc w:val="both"/>
        <w:rPr>
          <w:rFonts w:ascii="Arial" w:hAnsi="Arial" w:cs="Arial"/>
          <w:sz w:val="16"/>
          <w:szCs w:val="16"/>
        </w:rPr>
      </w:pPr>
    </w:p>
  </w:footnote>
  <w:footnote w:id="9">
    <w:p w14:paraId="313D05C7"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bCs/>
          <w:sz w:val="16"/>
          <w:szCs w:val="16"/>
        </w:rPr>
        <w:t>DIRECTIVA N° 001-2021/DIR-COD-INDECOPI, DIRECTIVA ÚNICA QUE REGULA LOS PROCEDIMIENTOS DE PROTECCIÓN AL CONSUMIDOR PREVISTOS EN EL CÓDIGO DE PROTECCIÓN AL CONSUMIDOR, aprobada por Resolución N° 00044-2021/COD-INDECOPI y publicada el 30 de abril de 2021.</w:t>
      </w:r>
    </w:p>
    <w:p w14:paraId="0D136529" w14:textId="77777777" w:rsidR="002A612D" w:rsidRPr="00051002" w:rsidRDefault="002A612D" w:rsidP="002A612D">
      <w:pPr>
        <w:widowControl w:val="0"/>
        <w:spacing w:after="0" w:line="240" w:lineRule="auto"/>
        <w:ind w:left="555" w:hanging="570"/>
        <w:jc w:val="both"/>
        <w:rPr>
          <w:rFonts w:ascii="Arial" w:eastAsia="Arial" w:hAnsi="Arial" w:cs="Arial"/>
          <w:b/>
          <w:bCs/>
          <w:sz w:val="16"/>
          <w:szCs w:val="16"/>
        </w:rPr>
      </w:pPr>
      <w:r w:rsidRPr="00051002">
        <w:rPr>
          <w:rFonts w:ascii="Arial" w:eastAsia="Arial" w:hAnsi="Arial" w:cs="Arial"/>
          <w:sz w:val="16"/>
          <w:szCs w:val="16"/>
        </w:rPr>
        <w:tab/>
      </w:r>
      <w:r w:rsidRPr="00051002">
        <w:rPr>
          <w:rFonts w:ascii="Arial" w:eastAsia="Arial" w:hAnsi="Arial" w:cs="Arial"/>
          <w:b/>
          <w:bCs/>
          <w:sz w:val="16"/>
          <w:szCs w:val="16"/>
        </w:rPr>
        <w:t>Artículo 11.- Requisitos de la denuncia</w:t>
      </w:r>
    </w:p>
    <w:p w14:paraId="3C1C7C69"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w:t>
      </w:r>
    </w:p>
    <w:p w14:paraId="2BDD898F" w14:textId="77777777" w:rsidR="002A612D" w:rsidRPr="00051002" w:rsidRDefault="002A612D" w:rsidP="002A612D">
      <w:pPr>
        <w:tabs>
          <w:tab w:val="left" w:pos="567"/>
        </w:tabs>
        <w:spacing w:after="0" w:line="240" w:lineRule="auto"/>
        <w:ind w:left="567"/>
        <w:jc w:val="both"/>
        <w:rPr>
          <w:rFonts w:ascii="Arial" w:hAnsi="Arial" w:cs="Arial"/>
          <w:sz w:val="16"/>
          <w:szCs w:val="16"/>
        </w:rPr>
      </w:pPr>
      <w:r w:rsidRPr="00051002">
        <w:rPr>
          <w:rFonts w:ascii="Arial" w:hAnsi="Arial" w:cs="Arial"/>
          <w:sz w:val="16"/>
          <w:szCs w:val="16"/>
        </w:rPr>
        <w:t>11.4. En caso de que el denunciante ostente la condición de Microempresa, debe adjuntar a su denuncia:</w:t>
      </w:r>
    </w:p>
    <w:p w14:paraId="6CF2FC60" w14:textId="77777777" w:rsidR="002A612D" w:rsidRPr="00051002" w:rsidRDefault="002A612D" w:rsidP="002A612D">
      <w:pPr>
        <w:tabs>
          <w:tab w:val="left" w:pos="567"/>
        </w:tabs>
        <w:spacing w:after="0" w:line="240" w:lineRule="auto"/>
        <w:ind w:left="567"/>
        <w:jc w:val="both"/>
        <w:rPr>
          <w:rFonts w:ascii="Arial" w:hAnsi="Arial" w:cs="Arial"/>
          <w:sz w:val="16"/>
          <w:szCs w:val="16"/>
        </w:rPr>
      </w:pPr>
      <w:r w:rsidRPr="00051002">
        <w:rPr>
          <w:rFonts w:ascii="Arial" w:hAnsi="Arial" w:cs="Arial"/>
          <w:sz w:val="16"/>
          <w:szCs w:val="16"/>
        </w:rPr>
        <w:t>a) Copia simple de los documentos que acrediten su existencia y representación, o la identificación del expediente administrativo, trámite o reclamo ante el INDECOPI en el cual fueron presentados. Estos documentos pueden ser sustituidos por la declaración jurada del administrado sobre la existencia de la persona jurídica, la designación de su representante legal y la vigencia del poder, y la identificación de la partida y oficina registral donde conste su inscripción.</w:t>
      </w:r>
    </w:p>
    <w:p w14:paraId="40C8EF61" w14:textId="77777777" w:rsidR="002A612D" w:rsidRPr="00051002" w:rsidRDefault="002A612D" w:rsidP="002A612D">
      <w:pPr>
        <w:tabs>
          <w:tab w:val="left" w:pos="567"/>
        </w:tabs>
        <w:spacing w:after="0" w:line="240" w:lineRule="auto"/>
        <w:ind w:left="567"/>
        <w:jc w:val="both"/>
        <w:rPr>
          <w:rFonts w:ascii="Arial" w:hAnsi="Arial" w:cs="Arial"/>
          <w:sz w:val="16"/>
          <w:szCs w:val="16"/>
        </w:rPr>
      </w:pPr>
      <w:r w:rsidRPr="00051002">
        <w:rPr>
          <w:rFonts w:ascii="Arial" w:hAnsi="Arial" w:cs="Arial"/>
          <w:sz w:val="16"/>
          <w:szCs w:val="16"/>
        </w:rPr>
        <w:t>b) Copia simple de la documentación que acredite su condición de microempresa, de acuerdo con los requisitos exigidos por la legislación sobre la materia.</w:t>
      </w:r>
    </w:p>
    <w:p w14:paraId="7794237E" w14:textId="77777777" w:rsidR="002A612D" w:rsidRPr="00853135"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El denunciante deberá acreditar que ostenta, a la fecha de la presentación de la denuncia, la condición de microempresario.</w:t>
      </w:r>
    </w:p>
  </w:footnote>
  <w:footnote w:id="10">
    <w:p w14:paraId="09228F04"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bCs/>
          <w:sz w:val="16"/>
          <w:szCs w:val="16"/>
        </w:rPr>
        <w:t>DIRECTIVA N° 001-2021/DIR-COD-INDECOPI, DIRECTIVA ÚNICA QUE REGULA LOS PROCEDIMIENTOS DE PROTECCIÓN AL CONSUMIDOR PREVISTOS EN EL CÓDIGO DE PROTECCIÓN AL CONSUMIDOR, aprobada por Resolución N° 00044-2021/COD-INDECOPI y publicada el 30 de abril de 2021.</w:t>
      </w:r>
    </w:p>
    <w:p w14:paraId="0DD531D9" w14:textId="77777777" w:rsidR="002A612D" w:rsidRPr="00051002" w:rsidRDefault="002A612D" w:rsidP="002A612D">
      <w:pPr>
        <w:widowControl w:val="0"/>
        <w:spacing w:after="0" w:line="240" w:lineRule="auto"/>
        <w:ind w:left="555" w:hanging="570"/>
        <w:jc w:val="both"/>
        <w:rPr>
          <w:rFonts w:ascii="Arial" w:eastAsia="Arial" w:hAnsi="Arial" w:cs="Arial"/>
          <w:b/>
          <w:bCs/>
          <w:sz w:val="16"/>
          <w:szCs w:val="16"/>
        </w:rPr>
      </w:pPr>
      <w:r w:rsidRPr="00051002">
        <w:rPr>
          <w:rFonts w:ascii="Arial" w:eastAsia="Arial" w:hAnsi="Arial" w:cs="Arial"/>
          <w:sz w:val="16"/>
          <w:szCs w:val="16"/>
        </w:rPr>
        <w:tab/>
      </w:r>
      <w:r w:rsidRPr="00051002">
        <w:rPr>
          <w:rFonts w:ascii="Arial" w:eastAsia="Arial" w:hAnsi="Arial" w:cs="Arial"/>
          <w:b/>
          <w:bCs/>
          <w:sz w:val="16"/>
          <w:szCs w:val="16"/>
        </w:rPr>
        <w:t>PRIMERA DISPOSICIÓN FINAL.- VIGENCIA</w:t>
      </w:r>
    </w:p>
    <w:p w14:paraId="46E5F772" w14:textId="77777777" w:rsidR="002A612D" w:rsidRPr="00051002" w:rsidRDefault="002A612D" w:rsidP="002A612D">
      <w:pPr>
        <w:widowControl w:val="0"/>
        <w:spacing w:after="0" w:line="240" w:lineRule="auto"/>
        <w:ind w:left="555"/>
        <w:jc w:val="both"/>
        <w:rPr>
          <w:rFonts w:ascii="Arial" w:eastAsia="Arial" w:hAnsi="Arial" w:cs="Arial"/>
          <w:sz w:val="16"/>
          <w:szCs w:val="16"/>
        </w:rPr>
      </w:pPr>
      <w:r w:rsidRPr="00051002">
        <w:rPr>
          <w:rFonts w:ascii="Arial" w:eastAsia="Arial" w:hAnsi="Arial" w:cs="Arial"/>
          <w:sz w:val="16"/>
          <w:szCs w:val="16"/>
        </w:rPr>
        <w:t>La presente Directiva entra en vigencia al día siguiente de su publicación y es de aplicación inmediata a todos los procedimientos que se encuentren en trámite.</w:t>
      </w:r>
    </w:p>
    <w:p w14:paraId="7F52B14B" w14:textId="77777777" w:rsidR="002A612D" w:rsidRPr="00051002" w:rsidRDefault="002A612D" w:rsidP="002A612D">
      <w:pPr>
        <w:widowControl w:val="0"/>
        <w:spacing w:after="0" w:line="240" w:lineRule="auto"/>
        <w:ind w:left="555" w:hanging="570"/>
        <w:jc w:val="both"/>
        <w:rPr>
          <w:rFonts w:ascii="Arial" w:hAnsi="Arial" w:cs="Arial"/>
          <w:sz w:val="16"/>
          <w:szCs w:val="16"/>
        </w:rPr>
      </w:pPr>
    </w:p>
  </w:footnote>
  <w:footnote w:id="11">
    <w:p w14:paraId="22688521" w14:textId="77777777" w:rsidR="002A612D" w:rsidRDefault="002A612D" w:rsidP="002A612D">
      <w:pPr>
        <w:widowControl w:val="0"/>
        <w:spacing w:after="0" w:line="240" w:lineRule="auto"/>
        <w:ind w:left="555"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t>Reglamento del Texto Único Ordenado de la Ley de Promoción de la Competitividad, Formalización y Desarrollo de la Micro y Pequeña Empresa y del Acceso al Empleo Decente, aprobado por Decreto Supremo Nº 008-2008-TR.</w:t>
      </w:r>
    </w:p>
    <w:p w14:paraId="1EC818A2" w14:textId="77777777" w:rsidR="002A612D" w:rsidRPr="00051002" w:rsidRDefault="002A612D" w:rsidP="002A612D">
      <w:pPr>
        <w:widowControl w:val="0"/>
        <w:spacing w:after="0" w:line="240" w:lineRule="auto"/>
        <w:ind w:left="555" w:hanging="570"/>
        <w:jc w:val="both"/>
        <w:rPr>
          <w:rFonts w:ascii="Arial" w:hAnsi="Arial" w:cs="Arial"/>
          <w:sz w:val="16"/>
          <w:szCs w:val="16"/>
        </w:rPr>
      </w:pPr>
    </w:p>
  </w:footnote>
  <w:footnote w:id="12">
    <w:p w14:paraId="7D65C9ED" w14:textId="77777777" w:rsidR="002A612D" w:rsidRPr="00051002" w:rsidRDefault="002A612D" w:rsidP="002A612D">
      <w:pPr>
        <w:widowControl w:val="0"/>
        <w:spacing w:after="0" w:line="240" w:lineRule="auto"/>
        <w:ind w:left="555"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TEXTO ÚNICO ORDENADO DE LA LEY DE IMPULSO AL DESARROLLO PRODUCTIVO Y AL CRECIMIENTO EMPRESARIAL, aprobado por DECRETO SUPREMO 013-2013-PRODUCE y publicado el 28 de diciembre de 2013</w:t>
      </w:r>
    </w:p>
    <w:p w14:paraId="45008973" w14:textId="77777777" w:rsidR="002A612D" w:rsidRPr="00051002" w:rsidRDefault="002A612D" w:rsidP="002A612D">
      <w:pPr>
        <w:widowControl w:val="0"/>
        <w:spacing w:after="0" w:line="240" w:lineRule="auto"/>
        <w:ind w:left="1275" w:hanging="701"/>
        <w:jc w:val="both"/>
        <w:rPr>
          <w:rFonts w:ascii="Arial" w:hAnsi="Arial" w:cs="Arial"/>
          <w:sz w:val="16"/>
          <w:szCs w:val="16"/>
        </w:rPr>
      </w:pPr>
      <w:r w:rsidRPr="00051002">
        <w:rPr>
          <w:rFonts w:ascii="Arial" w:eastAsia="Arial" w:hAnsi="Arial" w:cs="Arial"/>
          <w:b/>
          <w:sz w:val="16"/>
          <w:szCs w:val="16"/>
        </w:rPr>
        <w:t>Artículo 5.- Características de las micro, pequeñas y medianas empresas</w:t>
      </w:r>
    </w:p>
    <w:p w14:paraId="40A5E076" w14:textId="77777777" w:rsidR="002A612D" w:rsidRPr="00051002" w:rsidRDefault="002A612D" w:rsidP="002A612D">
      <w:pPr>
        <w:widowControl w:val="0"/>
        <w:spacing w:after="0" w:line="240" w:lineRule="auto"/>
        <w:ind w:left="555" w:hanging="570"/>
        <w:jc w:val="both"/>
        <w:rPr>
          <w:rFonts w:ascii="Arial" w:hAnsi="Arial" w:cs="Arial"/>
          <w:sz w:val="16"/>
          <w:szCs w:val="16"/>
        </w:rPr>
      </w:pPr>
      <w:r w:rsidRPr="00051002">
        <w:rPr>
          <w:rFonts w:ascii="Arial" w:eastAsia="Arial" w:hAnsi="Arial" w:cs="Arial"/>
          <w:sz w:val="16"/>
          <w:szCs w:val="16"/>
        </w:rPr>
        <w:tab/>
        <w:t>Las micro, pequeñas y medianas empresas deben ubicarse en alguna de las siguientes categorías empresariales, establecidas en función de sus niveles de ventas anuales:</w:t>
      </w:r>
    </w:p>
    <w:p w14:paraId="36A0E6FC" w14:textId="77777777" w:rsidR="002A612D" w:rsidRPr="00051002" w:rsidRDefault="002A612D" w:rsidP="002A612D">
      <w:pPr>
        <w:widowControl w:val="0"/>
        <w:numPr>
          <w:ilvl w:val="0"/>
          <w:numId w:val="6"/>
        </w:numPr>
        <w:spacing w:after="0" w:line="240" w:lineRule="auto"/>
        <w:ind w:left="855" w:hanging="277"/>
        <w:contextualSpacing/>
        <w:jc w:val="both"/>
        <w:rPr>
          <w:rFonts w:ascii="Arial" w:hAnsi="Arial" w:cs="Arial"/>
          <w:sz w:val="16"/>
          <w:szCs w:val="16"/>
        </w:rPr>
      </w:pPr>
      <w:r w:rsidRPr="00051002">
        <w:rPr>
          <w:rFonts w:ascii="Arial" w:eastAsia="Arial" w:hAnsi="Arial" w:cs="Arial"/>
          <w:sz w:val="16"/>
          <w:szCs w:val="16"/>
        </w:rPr>
        <w:t>Microempresa: ventas anuales hasta el monto máximo de 150 Unidades Impositivas Tributarias (UIT).</w:t>
      </w:r>
    </w:p>
    <w:p w14:paraId="55CA1C66" w14:textId="77777777" w:rsidR="002A612D" w:rsidRPr="00051002" w:rsidRDefault="002A612D" w:rsidP="002A612D">
      <w:pPr>
        <w:widowControl w:val="0"/>
        <w:spacing w:after="0" w:line="240" w:lineRule="auto"/>
        <w:ind w:left="1275" w:hanging="720"/>
        <w:jc w:val="both"/>
        <w:rPr>
          <w:rFonts w:ascii="Arial" w:hAnsi="Arial" w:cs="Arial"/>
          <w:sz w:val="16"/>
          <w:szCs w:val="16"/>
        </w:rPr>
      </w:pPr>
      <w:r w:rsidRPr="00051002">
        <w:rPr>
          <w:rFonts w:ascii="Arial" w:eastAsia="Arial" w:hAnsi="Arial" w:cs="Arial"/>
          <w:sz w:val="16"/>
          <w:szCs w:val="16"/>
        </w:rPr>
        <w:t xml:space="preserve">(...)  </w:t>
      </w:r>
    </w:p>
    <w:p w14:paraId="45B06080" w14:textId="77777777" w:rsidR="002A612D" w:rsidRPr="00051002" w:rsidRDefault="002A612D" w:rsidP="002A612D">
      <w:pPr>
        <w:widowControl w:val="0"/>
        <w:spacing w:after="0" w:line="240" w:lineRule="auto"/>
        <w:ind w:left="1275" w:hanging="720"/>
        <w:jc w:val="both"/>
        <w:rPr>
          <w:rFonts w:ascii="Arial" w:hAnsi="Arial" w:cs="Arial"/>
          <w:sz w:val="16"/>
          <w:szCs w:val="16"/>
        </w:rPr>
      </w:pPr>
    </w:p>
  </w:footnote>
  <w:footnote w:id="13">
    <w:p w14:paraId="1A72FA79" w14:textId="77777777" w:rsidR="002A612D" w:rsidRPr="00051002" w:rsidRDefault="002A612D" w:rsidP="002A612D">
      <w:pPr>
        <w:widowControl w:val="0"/>
        <w:spacing w:after="0" w:line="240" w:lineRule="auto"/>
        <w:ind w:left="570"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REGLAMENTO DEL TEXTO ÚNICO ORDENADO DE LA LEY DE PROMOCIÓN DE LA COMPETITIVIDAD, FORMALIZACIÓN Y DESARROLLO DE LA MICRO Y PEQUEÑA EMPRESA Y DEL ACCESO AL EMPLEO DECENTE, APROBADO POR DECRETO SUPREMO 008-2008-TR y publicado el 30 de setiembre de 2008</w:t>
      </w:r>
    </w:p>
    <w:p w14:paraId="47FFC3FB" w14:textId="77777777" w:rsidR="002A612D" w:rsidRPr="00051002" w:rsidRDefault="002A612D" w:rsidP="002A612D">
      <w:pPr>
        <w:widowControl w:val="0"/>
        <w:spacing w:after="0" w:line="240" w:lineRule="auto"/>
        <w:ind w:left="1290" w:hanging="716"/>
        <w:jc w:val="both"/>
        <w:rPr>
          <w:rFonts w:ascii="Arial" w:hAnsi="Arial" w:cs="Arial"/>
          <w:sz w:val="16"/>
          <w:szCs w:val="16"/>
        </w:rPr>
      </w:pPr>
      <w:r w:rsidRPr="00051002">
        <w:rPr>
          <w:rFonts w:ascii="Arial" w:eastAsia="Arial" w:hAnsi="Arial" w:cs="Arial"/>
          <w:b/>
          <w:sz w:val="16"/>
          <w:szCs w:val="16"/>
        </w:rPr>
        <w:t>Artículo 2.- Características de la Mype</w:t>
      </w:r>
    </w:p>
    <w:p w14:paraId="3A0E4DB9"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 xml:space="preserve">Las características establecidas en el artículo 5 de la Ley definen, según corresponda, a una microempresa o a una pequeña empresa, sin perjuicio de los regímenes laborales o tributarios que les resulten aplicables por ley. </w:t>
      </w:r>
    </w:p>
    <w:p w14:paraId="51C88E5E"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 xml:space="preserve">Para los fines del artículo 5 de la Ley, entiéndase por niveles de ventas anuales lo siguiente: </w:t>
      </w:r>
    </w:p>
    <w:p w14:paraId="160A9606"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1. </w:t>
      </w:r>
      <w:r w:rsidRPr="00051002">
        <w:rPr>
          <w:rFonts w:ascii="Arial" w:eastAsia="Arial" w:hAnsi="Arial" w:cs="Arial"/>
          <w:sz w:val="16"/>
          <w:szCs w:val="16"/>
        </w:rPr>
        <w:tab/>
        <w:t xml:space="preserve">Los ingresos netos anuales gravados con el Impuesto a la Renta que resultan de la sumatoria de los montos de tales ingresos consignados en las declaraciones juradas mensuales de los pagos a cuenta del Impuesto a la Renta, tratándose de contribuyentes comprendidos en el Régimen General del Impuesto a la Renta. </w:t>
      </w:r>
    </w:p>
    <w:p w14:paraId="2F2A30E8"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2. </w:t>
      </w:r>
      <w:r w:rsidRPr="00051002">
        <w:rPr>
          <w:rFonts w:ascii="Arial" w:eastAsia="Arial" w:hAnsi="Arial" w:cs="Arial"/>
          <w:sz w:val="16"/>
          <w:szCs w:val="16"/>
        </w:rPr>
        <w:tab/>
        <w:t xml:space="preserve">Los ingresos netos anuales que resultan de la sumatoria de los montos de tales ingresos consignados en las declaraciones juradas mensuales del Régimen Especial del Impuesto a la Renta, tratándose de contribuyentes de este Régimen. </w:t>
      </w:r>
    </w:p>
    <w:p w14:paraId="00A30E20"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3. </w:t>
      </w:r>
      <w:r w:rsidRPr="00051002">
        <w:rPr>
          <w:rFonts w:ascii="Arial" w:eastAsia="Arial" w:hAnsi="Arial" w:cs="Arial"/>
          <w:sz w:val="16"/>
          <w:szCs w:val="16"/>
        </w:rPr>
        <w:tab/>
        <w:t xml:space="preserve">Los ingresos brutos anuales que resultan de la sumatoria de los montos de tales ingresos consignados en las declaraciones juradas mensuales del Nuevo RUS, tratándose de contribuyentes de este Régimen. </w:t>
      </w:r>
    </w:p>
    <w:p w14:paraId="0A618CF0"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 xml:space="preserve">En caso el contribuyente o la SUNAT variara los ingresos inicialmente declarados, determinándose mayores ingresos, se considerarán estos últimos. </w:t>
      </w:r>
    </w:p>
    <w:p w14:paraId="5B688637"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Se considerarán las ventas de los doce (12) meses anteriores al momento en que la MYPE se registra y la UIT correspondiente al año respectivo.</w:t>
      </w:r>
    </w:p>
    <w:p w14:paraId="53F1C5B5" w14:textId="77777777" w:rsidR="002A612D" w:rsidRPr="00051002" w:rsidRDefault="002A612D" w:rsidP="002A612D">
      <w:pPr>
        <w:widowControl w:val="0"/>
        <w:spacing w:after="0" w:line="240" w:lineRule="auto"/>
        <w:ind w:left="570"/>
        <w:jc w:val="both"/>
        <w:rPr>
          <w:rFonts w:ascii="Arial" w:hAnsi="Arial" w:cs="Arial"/>
          <w:sz w:val="16"/>
          <w:szCs w:val="16"/>
        </w:rPr>
      </w:pPr>
    </w:p>
  </w:footnote>
  <w:footnote w:id="14">
    <w:p w14:paraId="7D3A8B1D" w14:textId="77777777" w:rsidR="002A612D" w:rsidRPr="00051002" w:rsidRDefault="002A612D" w:rsidP="002A612D">
      <w:pPr>
        <w:widowControl w:val="0"/>
        <w:spacing w:after="0" w:line="240" w:lineRule="auto"/>
        <w:ind w:left="570"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 xml:space="preserve">TEXTO ÚNICO ORDENADO DE LA LEY DEL IMPUESTO A LA RENTA, aprobado por DECRETO SUPREMO 179-2004-EF y publicado el 8 de diciembre de 2004 </w:t>
      </w:r>
    </w:p>
    <w:p w14:paraId="49F7D9FC"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b/>
          <w:sz w:val="16"/>
          <w:szCs w:val="16"/>
        </w:rPr>
        <w:t xml:space="preserve">Artículo 85.- </w:t>
      </w:r>
      <w:r w:rsidRPr="00051002">
        <w:rPr>
          <w:rFonts w:ascii="Arial" w:eastAsia="Arial" w:hAnsi="Arial" w:cs="Arial"/>
          <w:sz w:val="16"/>
          <w:szCs w:val="16"/>
        </w:rPr>
        <w:t>Los contribuyentes que obtengan de tercera categoría abonarán con carácter de pago a cuenta del Impuesto a la Renta que en definitiva, les corresponda por el ejercicio gravable, dentro de los plazos previstos por el Código Tributario, el monto que resulte mayor de comparar las cuotas mensuales determinadas con arreglo a lo siguiente:</w:t>
      </w:r>
    </w:p>
    <w:p w14:paraId="44727B87"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a) </w:t>
      </w:r>
      <w:r w:rsidRPr="00051002">
        <w:rPr>
          <w:rFonts w:ascii="Arial" w:eastAsia="Arial" w:hAnsi="Arial" w:cs="Arial"/>
          <w:sz w:val="16"/>
          <w:szCs w:val="16"/>
        </w:rPr>
        <w:tab/>
        <w:t>La cuota que resulte de aplicar a los ingresos netos obtenidos en el mes el coeficiente resultante de dividir el monto del impuesto calculado correspondiente al ejercicio gravable anterior entre el total de los ingresos netos del mismo ejercicio. En el caso de los pagos a cuenta de los meses de enero y febrero, se utilizará el coeficiente determinado sobre la base del impuesto calculado e ingresos netos correspondiente al ejercicio preferente al anterior.</w:t>
      </w:r>
    </w:p>
    <w:p w14:paraId="76F9C1DB"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w:t>
      </w:r>
    </w:p>
    <w:p w14:paraId="668EEA43" w14:textId="77777777" w:rsidR="002A612D" w:rsidRDefault="002A612D" w:rsidP="002A612D">
      <w:pPr>
        <w:widowControl w:val="0"/>
        <w:spacing w:after="0" w:line="240" w:lineRule="auto"/>
        <w:ind w:left="570"/>
        <w:jc w:val="both"/>
        <w:rPr>
          <w:rFonts w:ascii="Arial" w:eastAsia="Arial" w:hAnsi="Arial" w:cs="Arial"/>
          <w:sz w:val="16"/>
          <w:szCs w:val="16"/>
        </w:rPr>
      </w:pPr>
      <w:r w:rsidRPr="00051002">
        <w:rPr>
          <w:rFonts w:ascii="Arial" w:eastAsia="Arial" w:hAnsi="Arial" w:cs="Arial"/>
          <w:sz w:val="16"/>
          <w:szCs w:val="16"/>
        </w:rPr>
        <w:t>Para efecto de lo dispuesto en este artículo, se consideran ingresos netos el total de ingresos gravables de la tercera categoría, devengados en cada mes, menos las devoluciones, bonificaciones, descuentos y demás conceptos de naturaleza similar que respondan a la costumbre de la plaza. e impuesto calculado al importe determinado aplicando la tasa a que se refiere el primer párrafo del artículo 55 de esta Ley.”</w:t>
      </w:r>
    </w:p>
    <w:p w14:paraId="0AB19B9D" w14:textId="77777777" w:rsidR="004B47FB" w:rsidRPr="00051002" w:rsidRDefault="004B47FB" w:rsidP="002A612D">
      <w:pPr>
        <w:widowControl w:val="0"/>
        <w:spacing w:after="0" w:line="240" w:lineRule="auto"/>
        <w:ind w:left="570"/>
        <w:jc w:val="both"/>
        <w:rPr>
          <w:rFonts w:ascii="Arial" w:hAnsi="Arial" w:cs="Arial"/>
          <w:sz w:val="16"/>
          <w:szCs w:val="16"/>
        </w:rPr>
      </w:pPr>
    </w:p>
  </w:footnote>
  <w:footnote w:id="15">
    <w:p w14:paraId="13BE0859" w14:textId="77777777" w:rsidR="002A612D" w:rsidRPr="00051002" w:rsidRDefault="002A612D" w:rsidP="002A612D">
      <w:pPr>
        <w:widowControl w:val="0"/>
        <w:spacing w:after="0" w:line="240" w:lineRule="auto"/>
        <w:ind w:left="570"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RESOLUCIÓN DEL TRIBUNAL FISCAL 02760-5-2006</w:t>
      </w:r>
    </w:p>
    <w:p w14:paraId="7C530968"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w:t>
      </w:r>
    </w:p>
    <w:p w14:paraId="189CDB23"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En nuestra legislación, el artículo 85 de la Ley del Impuesto a la Renta, Decreto Legislativo 774 modificado por la Ley 27034, establece que sobre la base de ingresos netos obtenidos en el mes se calcula el pago a cuenta mensual del Impuesto a la Renta de tercera categoría.</w:t>
      </w:r>
    </w:p>
    <w:p w14:paraId="548F8709"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El tercer párrafo del citado artículo considera ingresos netos al total de los ingresos gravables de la tercera categoría, devengados en cada mes menos las devoluciones, bonificaciones, descuentos y demás conceptos de naturaleza similar que respondan a las costumbres de la plaza.</w:t>
      </w:r>
    </w:p>
    <w:p w14:paraId="213C3C63"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Efectuando un análisis de la citada definición, entendemos que los ingresos netos están referidos a lo siguiente:</w:t>
      </w:r>
    </w:p>
    <w:p w14:paraId="1EE56CD2" w14:textId="77777777" w:rsidR="002A612D" w:rsidRPr="00051002" w:rsidRDefault="002A612D" w:rsidP="002A612D">
      <w:pPr>
        <w:widowControl w:val="0"/>
        <w:numPr>
          <w:ilvl w:val="0"/>
          <w:numId w:val="7"/>
        </w:numPr>
        <w:spacing w:after="0" w:line="240" w:lineRule="auto"/>
        <w:ind w:left="855" w:hanging="277"/>
        <w:contextualSpacing/>
        <w:jc w:val="both"/>
        <w:rPr>
          <w:rFonts w:ascii="Arial" w:eastAsia="Arial" w:hAnsi="Arial" w:cs="Arial"/>
          <w:sz w:val="16"/>
          <w:szCs w:val="16"/>
        </w:rPr>
      </w:pPr>
      <w:r w:rsidRPr="00051002">
        <w:rPr>
          <w:rFonts w:ascii="Arial" w:eastAsia="Arial" w:hAnsi="Arial" w:cs="Arial"/>
          <w:sz w:val="16"/>
          <w:szCs w:val="16"/>
        </w:rPr>
        <w:t>Ingresos devengados en cada mes, es decir ingresos mensuales sobre los cuales se tienen derecho a obtenerlos, es decir ingresos mensuales sobre los cuales se tienen derecho a obtenerlos, es decir una acreencia sobre ellos.</w:t>
      </w:r>
    </w:p>
    <w:p w14:paraId="628C795F" w14:textId="77777777" w:rsidR="002A612D" w:rsidRPr="00051002" w:rsidRDefault="002A612D" w:rsidP="002A612D">
      <w:pPr>
        <w:widowControl w:val="0"/>
        <w:numPr>
          <w:ilvl w:val="0"/>
          <w:numId w:val="7"/>
        </w:numPr>
        <w:spacing w:after="0" w:line="240" w:lineRule="auto"/>
        <w:ind w:left="855" w:hanging="277"/>
        <w:contextualSpacing/>
        <w:jc w:val="both"/>
        <w:rPr>
          <w:rFonts w:ascii="Arial" w:eastAsia="Arial" w:hAnsi="Arial" w:cs="Arial"/>
          <w:sz w:val="16"/>
          <w:szCs w:val="16"/>
        </w:rPr>
      </w:pPr>
      <w:r w:rsidRPr="00051002">
        <w:rPr>
          <w:rFonts w:ascii="Arial" w:eastAsia="Arial" w:hAnsi="Arial" w:cs="Arial"/>
          <w:sz w:val="16"/>
          <w:szCs w:val="16"/>
        </w:rPr>
        <w:t>Netos de devoluciones, bonificaciones, descuentos y demás conceptos de naturaleza similar que respondan a las costumbres de la plaza, es decir neto de aquello que responde a costumbres del mercado, propio de operaciones que realizan las empresas con terceros y por los cuales obtienen un ingreso gravable.</w:t>
      </w:r>
    </w:p>
    <w:p w14:paraId="42191D7C"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Del análisis efectuado se aprecia que esta definición no podría comprender la ganancia por diferencia de cambio producto de las operaciones a que se refieren los incisos b) al f) del artículo 61 de la Ley del Impuesto a la Renta, en tanto constituye un ajuste contable y no un ingreso en el sentido del artículo 85º de la ley, la que resulta luego de compensarse las devaluaciones o revaluaciones de la moneda a lo largo del ejercicio, para obtener al cierre de dicho ejercicio (31 de diciembre) una diferencia neta de cambio.</w:t>
      </w:r>
    </w:p>
    <w:p w14:paraId="588CEE12" w14:textId="77777777" w:rsidR="002A612D" w:rsidRDefault="002A612D" w:rsidP="002A612D">
      <w:pPr>
        <w:widowControl w:val="0"/>
        <w:spacing w:after="0" w:line="240" w:lineRule="auto"/>
        <w:ind w:left="570"/>
        <w:jc w:val="both"/>
        <w:rPr>
          <w:rFonts w:ascii="Arial" w:eastAsia="Arial" w:hAnsi="Arial" w:cs="Arial"/>
          <w:sz w:val="16"/>
          <w:szCs w:val="16"/>
        </w:rPr>
      </w:pPr>
      <w:r w:rsidRPr="00051002">
        <w:rPr>
          <w:rFonts w:ascii="Arial" w:eastAsia="Arial" w:hAnsi="Arial" w:cs="Arial"/>
          <w:sz w:val="16"/>
          <w:szCs w:val="16"/>
        </w:rPr>
        <w:t>En efecto, bajo lo señalado en las Normas Internacionales de Contabilidad las diferencias de cambio no constituyen ingresos entendidos éstos como los provenientes de la venta de productos, la prestación de servicios, el uso por terceros de los activos de la empresas que generen intereses, regalías y dividendos (NIC 18: Ingresos), la disposición de activos como: inmuebles, maquinaria y equipos (NIC 16), inversiones (NIC 25), etc. y cuyo monto pueda ser usualmente determinado por un acuerdo entre la empresa y el comprador o usuario.”</w:t>
      </w:r>
    </w:p>
    <w:p w14:paraId="008266E1" w14:textId="77777777" w:rsidR="004B47FB" w:rsidRPr="00853135" w:rsidRDefault="004B47FB" w:rsidP="002A612D">
      <w:pPr>
        <w:widowControl w:val="0"/>
        <w:spacing w:after="0" w:line="240" w:lineRule="auto"/>
        <w:ind w:left="570"/>
        <w:jc w:val="both"/>
        <w:rPr>
          <w:rFonts w:ascii="Arial" w:eastAsia="Arial" w:hAnsi="Arial" w:cs="Arial"/>
          <w:sz w:val="16"/>
          <w:szCs w:val="16"/>
        </w:rPr>
      </w:pPr>
    </w:p>
  </w:footnote>
  <w:footnote w:id="16">
    <w:p w14:paraId="31960214" w14:textId="77777777" w:rsidR="002A612D" w:rsidRPr="00051002" w:rsidRDefault="002A612D" w:rsidP="002A612D">
      <w:pPr>
        <w:spacing w:after="0" w:line="240" w:lineRule="auto"/>
        <w:ind w:left="567" w:hanging="582"/>
        <w:jc w:val="both"/>
        <w:rPr>
          <w:rFonts w:ascii="Arial" w:hAnsi="Arial" w:cs="Arial"/>
          <w:sz w:val="16"/>
          <w:szCs w:val="16"/>
        </w:rPr>
      </w:pPr>
      <w:r w:rsidRPr="00051002">
        <w:rPr>
          <w:rStyle w:val="Refdenotaalpie"/>
          <w:rFonts w:ascii="Arial" w:eastAsia="Times New Roman" w:hAnsi="Arial" w:cs="Arial"/>
          <w:sz w:val="16"/>
          <w:szCs w:val="16"/>
        </w:rPr>
        <w:footnoteRef/>
      </w:r>
      <w:r w:rsidRPr="00051002">
        <w:rPr>
          <w:rFonts w:ascii="Arial" w:hAnsi="Arial" w:cs="Arial"/>
          <w:sz w:val="16"/>
          <w:szCs w:val="16"/>
        </w:rPr>
        <w:t xml:space="preserve"> </w:t>
      </w:r>
      <w:r w:rsidRPr="00051002">
        <w:rPr>
          <w:rFonts w:ascii="Arial" w:hAnsi="Arial" w:cs="Arial"/>
          <w:sz w:val="16"/>
          <w:szCs w:val="16"/>
        </w:rPr>
        <w:tab/>
      </w:r>
      <w:r w:rsidRPr="00051002">
        <w:rPr>
          <w:rFonts w:ascii="Arial" w:hAnsi="Arial" w:cs="Arial"/>
          <w:bCs/>
          <w:sz w:val="16"/>
          <w:szCs w:val="16"/>
        </w:rPr>
        <w:t>Ver:</w:t>
      </w:r>
      <w:r w:rsidRPr="00051002">
        <w:rPr>
          <w:rFonts w:ascii="Arial" w:hAnsi="Arial" w:cs="Arial"/>
          <w:b/>
          <w:sz w:val="16"/>
          <w:szCs w:val="16"/>
        </w:rPr>
        <w:t xml:space="preserve"> </w:t>
      </w:r>
      <w:hyperlink r:id="rId1" w:history="1">
        <w:r w:rsidRPr="00051002">
          <w:rPr>
            <w:rStyle w:val="Hipervnculo1"/>
            <w:rFonts w:ascii="Arial" w:hAnsi="Arial" w:cs="Arial"/>
            <w:sz w:val="16"/>
            <w:szCs w:val="16"/>
          </w:rPr>
          <w:t>https://e-consultaruc.sunat.gob.pe/cl-ti-itmrconsruc/jcrS00Alias</w:t>
        </w:r>
      </w:hyperlink>
      <w:r w:rsidRPr="00051002">
        <w:rPr>
          <w:rFonts w:ascii="Arial" w:hAnsi="Arial" w:cs="Arial"/>
          <w:sz w:val="16"/>
          <w:szCs w:val="16"/>
        </w:rPr>
        <w:t xml:space="preserve">. </w:t>
      </w:r>
    </w:p>
  </w:footnote>
  <w:footnote w:id="17">
    <w:p w14:paraId="7C48789A" w14:textId="77777777" w:rsidR="00534C94" w:rsidRPr="00C936FE" w:rsidRDefault="00534C94" w:rsidP="00534C94">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0347AD0D"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6FC67DFF"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2CDC9B46"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63D8BBF"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2226E486" w14:textId="77777777" w:rsidR="00534C94" w:rsidRPr="00C936FE" w:rsidRDefault="00534C94" w:rsidP="00534C94">
      <w:pPr>
        <w:widowControl w:val="0"/>
        <w:spacing w:after="0" w:line="240" w:lineRule="auto"/>
        <w:jc w:val="both"/>
        <w:rPr>
          <w:rFonts w:ascii="Arial" w:hAnsi="Arial" w:cs="Arial"/>
          <w:sz w:val="16"/>
          <w:szCs w:val="16"/>
        </w:rPr>
      </w:pPr>
    </w:p>
  </w:footnote>
  <w:footnote w:id="18">
    <w:p w14:paraId="49199CC1" w14:textId="77777777" w:rsidR="00534C94" w:rsidRPr="00C936FE" w:rsidRDefault="00534C94" w:rsidP="00534C94">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769F7B2A" w14:textId="77777777" w:rsidR="00534C94" w:rsidRPr="00C936FE" w:rsidRDefault="00534C94" w:rsidP="00534C94">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5F44FF67" w14:textId="77777777" w:rsidR="00534C94" w:rsidRPr="00C936FE" w:rsidRDefault="00534C94" w:rsidP="00534C94">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75070A13" w14:textId="77777777" w:rsidR="00534C94" w:rsidRPr="00C936FE" w:rsidRDefault="00534C94" w:rsidP="00534C94">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A1A7E2E" w14:textId="77777777" w:rsidR="00534C94" w:rsidRPr="00C936FE" w:rsidRDefault="00534C94" w:rsidP="00534C94">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5567672D" w14:textId="77777777" w:rsidR="00534C94" w:rsidRPr="00C936FE" w:rsidRDefault="00534C94" w:rsidP="00534C94">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AEE1996" w14:textId="77777777" w:rsidR="00534C94" w:rsidRPr="00C936FE" w:rsidRDefault="00534C94" w:rsidP="00534C94">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B589372" w14:textId="77777777" w:rsidR="00534C94" w:rsidRPr="00C936FE" w:rsidRDefault="00534C94" w:rsidP="00534C94">
      <w:pPr>
        <w:spacing w:after="0" w:line="240" w:lineRule="auto"/>
        <w:ind w:left="1134" w:hanging="567"/>
        <w:jc w:val="both"/>
        <w:rPr>
          <w:rFonts w:ascii="Arial" w:hAnsi="Arial" w:cs="Arial"/>
          <w:sz w:val="16"/>
          <w:szCs w:val="16"/>
        </w:rPr>
      </w:pPr>
    </w:p>
  </w:footnote>
  <w:footnote w:id="19">
    <w:p w14:paraId="301D2AF2" w14:textId="77777777" w:rsidR="00534C94" w:rsidRPr="00C936FE" w:rsidRDefault="00534C94" w:rsidP="00534C94">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6A055809" w14:textId="77777777" w:rsidR="00534C94" w:rsidRPr="00C936FE" w:rsidRDefault="00534C94" w:rsidP="00534C94">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6A0F2E1A" w14:textId="77777777" w:rsidR="00534C94" w:rsidRDefault="00534C94" w:rsidP="00534C94">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585F" w14:textId="77777777" w:rsidR="009A5D23" w:rsidRPr="00D63CCE" w:rsidRDefault="009A5D23" w:rsidP="0043010F">
    <w:pPr>
      <w:pStyle w:val="Ttulo3"/>
      <w:spacing w:before="720"/>
      <w:ind w:left="5664"/>
      <w:rPr>
        <w:sz w:val="15"/>
        <w:szCs w:val="15"/>
      </w:rPr>
    </w:pPr>
    <w:r>
      <w:rPr>
        <w:noProof/>
        <w:sz w:val="16"/>
        <w:szCs w:val="16"/>
      </w:rPr>
      <w:drawing>
        <wp:anchor distT="0" distB="0" distL="114300" distR="114300" simplePos="0" relativeHeight="251659264" behindDoc="0" locked="0" layoutInCell="1" allowOverlap="1" wp14:anchorId="3DBCD395" wp14:editId="100DBECB">
          <wp:simplePos x="0" y="0"/>
          <wp:positionH relativeFrom="margin">
            <wp:align>left</wp:align>
          </wp:positionH>
          <wp:positionV relativeFrom="paragraph">
            <wp:posOffset>466725</wp:posOffset>
          </wp:positionV>
          <wp:extent cx="3432810" cy="577850"/>
          <wp:effectExtent l="0" t="0" r="0" b="0"/>
          <wp:wrapSquare wrapText="bothSides"/>
          <wp:docPr id="80065742" name="Imagen 80065742"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3281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3801101D">
      <w:rPr>
        <w:rFonts w:ascii="Arial Narrow" w:eastAsia="Arial Narrow" w:hAnsi="Arial Narrow" w:cs="Arial Narrow"/>
        <w:i/>
        <w:iCs/>
        <w:color w:val="000000"/>
        <w:sz w:val="15"/>
        <w:szCs w:val="15"/>
      </w:rPr>
      <w:t xml:space="preserve">               COMISIÓN DE PROTECCIÓN AL CONSUMIDOR 1 </w:t>
    </w:r>
  </w:p>
  <w:p w14:paraId="52A1049C" w14:textId="77777777" w:rsidR="009A5D23" w:rsidRDefault="009A5D23" w:rsidP="0052659B">
    <w:pPr>
      <w:jc w:val="right"/>
      <w:rPr>
        <w:sz w:val="15"/>
        <w:szCs w:val="15"/>
      </w:rPr>
    </w:pPr>
    <w:r w:rsidRPr="00D63CCE">
      <w:rPr>
        <w:rFonts w:ascii="Arial Narrow" w:eastAsia="Arial Narrow" w:hAnsi="Arial Narrow" w:cs="Arial Narrow"/>
        <w:b/>
        <w:i/>
        <w:sz w:val="15"/>
        <w:szCs w:val="15"/>
      </w:rPr>
      <w:t>SEDE CENTRAL</w:t>
    </w:r>
  </w:p>
  <w:p w14:paraId="063AB52F" w14:textId="6DAF85BB" w:rsidR="009A5D23" w:rsidRPr="0052659B" w:rsidRDefault="009A5D23" w:rsidP="0052659B">
    <w:pPr>
      <w:jc w:val="right"/>
      <w:rPr>
        <w:sz w:val="15"/>
        <w:szCs w:val="15"/>
      </w:rPr>
    </w:pPr>
    <w:r w:rsidRPr="00D63CCE">
      <w:rPr>
        <w:rFonts w:ascii="Arial Narrow" w:eastAsia="Arial Narrow" w:hAnsi="Arial Narrow" w:cs="Arial Narrow"/>
        <w:b/>
        <w:i/>
        <w:sz w:val="15"/>
        <w:szCs w:val="15"/>
      </w:rPr>
      <w:tab/>
    </w:r>
    <w:r w:rsidRPr="00D63CCE">
      <w:rPr>
        <w:rFonts w:ascii="Arial Narrow" w:eastAsia="Arial Narrow" w:hAnsi="Arial Narrow" w:cs="Arial Narrow"/>
        <w:b/>
        <w:i/>
        <w:sz w:val="15"/>
        <w:szCs w:val="15"/>
      </w:rPr>
      <w:tab/>
      <w:t xml:space="preserve">EXPEDIENTE  </w:t>
    </w:r>
    <w:r w:rsidR="00BD2BAA" w:rsidRPr="007F5A2D">
      <w:rPr>
        <w:rFonts w:ascii="Arial Narrow" w:eastAsia="Arial Narrow" w:hAnsi="Arial Narrow" w:cs="Arial Narrow"/>
        <w:b/>
        <w:i/>
        <w:sz w:val="15"/>
        <w:szCs w:val="15"/>
        <w:highlight w:val="green"/>
      </w:rPr>
      <w:t>705</w:t>
    </w:r>
    <w:r w:rsidRPr="007F5A2D">
      <w:rPr>
        <w:rFonts w:ascii="Arial Narrow" w:eastAsia="Arial Narrow" w:hAnsi="Arial Narrow" w:cs="Arial Narrow"/>
        <w:b/>
        <w:i/>
        <w:sz w:val="15"/>
        <w:szCs w:val="15"/>
        <w:highlight w:val="green"/>
      </w:rPr>
      <w:t>-2024/CC1</w:t>
    </w:r>
  </w:p>
  <w:p w14:paraId="15457DC1" w14:textId="77777777" w:rsidR="009A5D23" w:rsidRDefault="009A5D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498"/>
    <w:multiLevelType w:val="multilevel"/>
    <w:tmpl w:val="D6DEA580"/>
    <w:lvl w:ilvl="0">
      <w:start w:val="1"/>
      <w:numFmt w:val="lowerLetter"/>
      <w:lvlText w:val="%1."/>
      <w:lvlJc w:val="left"/>
      <w:pPr>
        <w:ind w:left="720" w:firstLine="1080"/>
      </w:pPr>
      <w:rPr>
        <w:u w:val="none"/>
      </w:rPr>
    </w:lvl>
    <w:lvl w:ilvl="1">
      <w:start w:val="1"/>
      <w:numFmt w:val="lowerRoman"/>
      <w:lvlText w:val="%2."/>
      <w:lvlJc w:val="left"/>
      <w:pPr>
        <w:ind w:left="1440" w:firstLine="2520"/>
      </w:pPr>
      <w:rPr>
        <w:u w:val="none"/>
      </w:rPr>
    </w:lvl>
    <w:lvl w:ilvl="2">
      <w:start w:val="1"/>
      <w:numFmt w:val="decimal"/>
      <w:lvlText w:val="%3."/>
      <w:lvlJc w:val="right"/>
      <w:pPr>
        <w:ind w:left="2160" w:firstLine="3960"/>
      </w:pPr>
      <w:rPr>
        <w:u w:val="none"/>
      </w:rPr>
    </w:lvl>
    <w:lvl w:ilvl="3">
      <w:start w:val="1"/>
      <w:numFmt w:val="lowerLetter"/>
      <w:lvlText w:val="%4."/>
      <w:lvlJc w:val="left"/>
      <w:pPr>
        <w:ind w:left="2880" w:firstLine="5400"/>
      </w:pPr>
      <w:rPr>
        <w:u w:val="none"/>
      </w:rPr>
    </w:lvl>
    <w:lvl w:ilvl="4">
      <w:start w:val="1"/>
      <w:numFmt w:val="lowerRoman"/>
      <w:lvlText w:val="%5."/>
      <w:lvlJc w:val="left"/>
      <w:pPr>
        <w:ind w:left="3600" w:firstLine="6840"/>
      </w:pPr>
      <w:rPr>
        <w:u w:val="none"/>
      </w:rPr>
    </w:lvl>
    <w:lvl w:ilvl="5">
      <w:start w:val="1"/>
      <w:numFmt w:val="decimal"/>
      <w:lvlText w:val="%6."/>
      <w:lvlJc w:val="right"/>
      <w:pPr>
        <w:ind w:left="4320" w:firstLine="8280"/>
      </w:pPr>
      <w:rPr>
        <w:u w:val="none"/>
      </w:rPr>
    </w:lvl>
    <w:lvl w:ilvl="6">
      <w:start w:val="1"/>
      <w:numFmt w:val="lowerLetter"/>
      <w:lvlText w:val="%7."/>
      <w:lvlJc w:val="left"/>
      <w:pPr>
        <w:ind w:left="5040" w:firstLine="9720"/>
      </w:pPr>
      <w:rPr>
        <w:u w:val="none"/>
      </w:rPr>
    </w:lvl>
    <w:lvl w:ilvl="7">
      <w:start w:val="1"/>
      <w:numFmt w:val="lowerRoman"/>
      <w:lvlText w:val="%8."/>
      <w:lvlJc w:val="left"/>
      <w:pPr>
        <w:ind w:left="5760" w:firstLine="11160"/>
      </w:pPr>
      <w:rPr>
        <w:u w:val="none"/>
      </w:rPr>
    </w:lvl>
    <w:lvl w:ilvl="8">
      <w:start w:val="1"/>
      <w:numFmt w:val="decimal"/>
      <w:lvlText w:val="%9."/>
      <w:lvlJc w:val="right"/>
      <w:pPr>
        <w:ind w:left="6480" w:firstLine="12600"/>
      </w:pPr>
      <w:rPr>
        <w:u w:val="none"/>
      </w:rPr>
    </w:lvl>
  </w:abstractNum>
  <w:abstractNum w:abstractNumId="1"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FC6742"/>
    <w:multiLevelType w:val="hybridMultilevel"/>
    <w:tmpl w:val="F574E6C6"/>
    <w:lvl w:ilvl="0" w:tplc="73305C1C">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43777D64"/>
    <w:multiLevelType w:val="hybridMultilevel"/>
    <w:tmpl w:val="6CA2F77C"/>
    <w:lvl w:ilvl="0" w:tplc="5844BE98">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5" w15:restartNumberingAfterBreak="0">
    <w:nsid w:val="4446701A"/>
    <w:multiLevelType w:val="multilevel"/>
    <w:tmpl w:val="A53C6636"/>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 w15:restartNumberingAfterBreak="0">
    <w:nsid w:val="45115A6F"/>
    <w:multiLevelType w:val="multilevel"/>
    <w:tmpl w:val="1D7A3A1C"/>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7" w15:restartNumberingAfterBreak="0">
    <w:nsid w:val="481F1E53"/>
    <w:multiLevelType w:val="multilevel"/>
    <w:tmpl w:val="00CE1BFA"/>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8"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9" w15:restartNumberingAfterBreak="0">
    <w:nsid w:val="546B5846"/>
    <w:multiLevelType w:val="multilevel"/>
    <w:tmpl w:val="7BBC771A"/>
    <w:lvl w:ilvl="0">
      <w:start w:val="1"/>
      <w:numFmt w:val="decimal"/>
      <w:lvlText w:val="%1."/>
      <w:lvlJc w:val="left"/>
      <w:pPr>
        <w:ind w:left="720" w:firstLine="1080"/>
      </w:pPr>
    </w:lvl>
    <w:lvl w:ilvl="1">
      <w:start w:val="1"/>
      <w:numFmt w:val="lowerRoman"/>
      <w:lvlText w:val="(%2)"/>
      <w:lvlJc w:val="left"/>
      <w:pPr>
        <w:ind w:left="1800" w:firstLine="288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0" w15:restartNumberingAfterBreak="0">
    <w:nsid w:val="5AA82DD3"/>
    <w:multiLevelType w:val="multilevel"/>
    <w:tmpl w:val="6F2EBDE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1" w15:restartNumberingAfterBreak="0">
    <w:nsid w:val="5C1C64DA"/>
    <w:multiLevelType w:val="multilevel"/>
    <w:tmpl w:val="BFBE8E3E"/>
    <w:lvl w:ilvl="0">
      <w:start w:val="1"/>
      <w:numFmt w:val="decimal"/>
      <w:lvlText w:val="%1."/>
      <w:lvlJc w:val="left"/>
      <w:pPr>
        <w:ind w:left="502" w:firstLine="644"/>
      </w:pPr>
      <w:rPr>
        <w:rFonts w:ascii="Arial" w:eastAsia="Arial" w:hAnsi="Arial" w:cs="Arial" w:hint="default"/>
        <w:b w:val="0"/>
        <w:i w:val="0"/>
        <w:sz w:val="22"/>
        <w:szCs w:val="22"/>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2" w15:restartNumberingAfterBreak="0">
    <w:nsid w:val="621502B3"/>
    <w:multiLevelType w:val="multilevel"/>
    <w:tmpl w:val="6E10E7AE"/>
    <w:lvl w:ilvl="0">
      <w:start w:val="1"/>
      <w:numFmt w:val="decimal"/>
      <w:lvlText w:val="%1."/>
      <w:lvlJc w:val="left"/>
      <w:pPr>
        <w:ind w:left="900" w:firstLine="1440"/>
      </w:pPr>
    </w:lvl>
    <w:lvl w:ilvl="1">
      <w:start w:val="1"/>
      <w:numFmt w:val="decimal"/>
      <w:lvlText w:val="%1.%2"/>
      <w:lvlJc w:val="left"/>
      <w:pPr>
        <w:ind w:left="900" w:firstLine="1440"/>
      </w:pPr>
    </w:lvl>
    <w:lvl w:ilvl="2">
      <w:start w:val="1"/>
      <w:numFmt w:val="decimal"/>
      <w:lvlText w:val="%1.%2.%3"/>
      <w:lvlJc w:val="left"/>
      <w:pPr>
        <w:ind w:left="900" w:firstLine="1440"/>
      </w:pPr>
    </w:lvl>
    <w:lvl w:ilvl="3">
      <w:start w:val="1"/>
      <w:numFmt w:val="decimal"/>
      <w:lvlText w:val="%1.%2.%3.%4"/>
      <w:lvlJc w:val="left"/>
      <w:pPr>
        <w:ind w:left="1260" w:firstLine="1800"/>
      </w:pPr>
    </w:lvl>
    <w:lvl w:ilvl="4">
      <w:start w:val="1"/>
      <w:numFmt w:val="decimal"/>
      <w:lvlText w:val="%1.%2.%3.%4.%5"/>
      <w:lvlJc w:val="left"/>
      <w:pPr>
        <w:ind w:left="1260" w:firstLine="1800"/>
      </w:pPr>
    </w:lvl>
    <w:lvl w:ilvl="5">
      <w:start w:val="1"/>
      <w:numFmt w:val="decimal"/>
      <w:lvlText w:val="%1.%2.%3.%4.%5.%6"/>
      <w:lvlJc w:val="left"/>
      <w:pPr>
        <w:ind w:left="1620" w:firstLine="2160"/>
      </w:pPr>
    </w:lvl>
    <w:lvl w:ilvl="6">
      <w:start w:val="1"/>
      <w:numFmt w:val="decimal"/>
      <w:lvlText w:val="%1.%2.%3.%4.%5.%6.%7"/>
      <w:lvlJc w:val="left"/>
      <w:pPr>
        <w:ind w:left="1620" w:firstLine="2160"/>
      </w:pPr>
    </w:lvl>
    <w:lvl w:ilvl="7">
      <w:start w:val="1"/>
      <w:numFmt w:val="decimal"/>
      <w:lvlText w:val="%1.%2.%3.%4.%5.%6.%7.%8"/>
      <w:lvlJc w:val="left"/>
      <w:pPr>
        <w:ind w:left="1620" w:firstLine="2160"/>
      </w:pPr>
    </w:lvl>
    <w:lvl w:ilvl="8">
      <w:start w:val="1"/>
      <w:numFmt w:val="decimal"/>
      <w:lvlText w:val="%1.%2.%3.%4.%5.%6.%7.%8.%9"/>
      <w:lvlJc w:val="left"/>
      <w:pPr>
        <w:ind w:left="1980" w:firstLine="2520"/>
      </w:pPr>
    </w:lvl>
  </w:abstractNum>
  <w:abstractNum w:abstractNumId="13" w15:restartNumberingAfterBreak="0">
    <w:nsid w:val="669B12E7"/>
    <w:multiLevelType w:val="multilevel"/>
    <w:tmpl w:val="BA4C6C9C"/>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14" w15:restartNumberingAfterBreak="0">
    <w:nsid w:val="68A42048"/>
    <w:multiLevelType w:val="hybridMultilevel"/>
    <w:tmpl w:val="DBBA05BE"/>
    <w:lvl w:ilvl="0" w:tplc="10481EDA">
      <w:start w:val="33"/>
      <w:numFmt w:val="bullet"/>
      <w:lvlText w:val=""/>
      <w:lvlJc w:val="left"/>
      <w:pPr>
        <w:ind w:left="720" w:hanging="360"/>
      </w:pPr>
      <w:rPr>
        <w:rFonts w:ascii="Symbol" w:eastAsia="Calibri" w:hAnsi="Symbol"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BE45011"/>
    <w:multiLevelType w:val="multilevel"/>
    <w:tmpl w:val="9B324D60"/>
    <w:lvl w:ilvl="0">
      <w:start w:val="1"/>
      <w:numFmt w:val="decimal"/>
      <w:lvlText w:val="%1."/>
      <w:lvlJc w:val="left"/>
      <w:pPr>
        <w:ind w:left="720" w:firstLine="1080"/>
      </w:pPr>
      <w:rPr>
        <w:rFonts w:hint="default"/>
      </w:rPr>
    </w:lvl>
    <w:lvl w:ilvl="1">
      <w:start w:val="3"/>
      <w:numFmt w:val="lowerRoman"/>
      <w:lvlText w:val="(%2)"/>
      <w:lvlJc w:val="left"/>
      <w:pPr>
        <w:ind w:left="1800" w:firstLine="2880"/>
      </w:pPr>
      <w:rPr>
        <w:rFonts w:hint="default"/>
      </w:rPr>
    </w:lvl>
    <w:lvl w:ilvl="2">
      <w:start w:val="1"/>
      <w:numFmt w:val="lowerRoman"/>
      <w:lvlText w:val="%3."/>
      <w:lvlJc w:val="right"/>
      <w:pPr>
        <w:ind w:left="2160" w:firstLine="4140"/>
      </w:pPr>
      <w:rPr>
        <w:rFonts w:hint="default"/>
      </w:rPr>
    </w:lvl>
    <w:lvl w:ilvl="3">
      <w:start w:val="1"/>
      <w:numFmt w:val="decimal"/>
      <w:lvlText w:val="%4."/>
      <w:lvlJc w:val="left"/>
      <w:pPr>
        <w:ind w:left="2880" w:firstLine="5400"/>
      </w:pPr>
      <w:rPr>
        <w:rFonts w:hint="default"/>
      </w:rPr>
    </w:lvl>
    <w:lvl w:ilvl="4">
      <w:start w:val="1"/>
      <w:numFmt w:val="lowerLetter"/>
      <w:lvlText w:val="%5."/>
      <w:lvlJc w:val="left"/>
      <w:pPr>
        <w:ind w:left="3600" w:firstLine="6840"/>
      </w:pPr>
      <w:rPr>
        <w:rFonts w:hint="default"/>
      </w:rPr>
    </w:lvl>
    <w:lvl w:ilvl="5">
      <w:start w:val="1"/>
      <w:numFmt w:val="lowerRoman"/>
      <w:lvlText w:val="%6."/>
      <w:lvlJc w:val="right"/>
      <w:pPr>
        <w:ind w:left="4320" w:firstLine="846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num w:numId="1" w16cid:durableId="2126653741">
    <w:abstractNumId w:val="11"/>
  </w:num>
  <w:num w:numId="2" w16cid:durableId="735012625">
    <w:abstractNumId w:val="12"/>
  </w:num>
  <w:num w:numId="3" w16cid:durableId="489642157">
    <w:abstractNumId w:val="9"/>
  </w:num>
  <w:num w:numId="4" w16cid:durableId="1349871669">
    <w:abstractNumId w:val="5"/>
  </w:num>
  <w:num w:numId="5" w16cid:durableId="1004475783">
    <w:abstractNumId w:val="6"/>
  </w:num>
  <w:num w:numId="6" w16cid:durableId="189031116">
    <w:abstractNumId w:val="13"/>
  </w:num>
  <w:num w:numId="7" w16cid:durableId="1106196949">
    <w:abstractNumId w:val="0"/>
  </w:num>
  <w:num w:numId="8" w16cid:durableId="515730892">
    <w:abstractNumId w:val="8"/>
  </w:num>
  <w:num w:numId="9" w16cid:durableId="1433089435">
    <w:abstractNumId w:val="10"/>
  </w:num>
  <w:num w:numId="10" w16cid:durableId="1661544382">
    <w:abstractNumId w:val="7"/>
  </w:num>
  <w:num w:numId="11" w16cid:durableId="16932661">
    <w:abstractNumId w:val="15"/>
  </w:num>
  <w:num w:numId="12" w16cid:durableId="745498567">
    <w:abstractNumId w:val="14"/>
  </w:num>
  <w:num w:numId="13" w16cid:durableId="1013564">
    <w:abstractNumId w:val="2"/>
  </w:num>
  <w:num w:numId="14" w16cid:durableId="1919250163">
    <w:abstractNumId w:val="4"/>
  </w:num>
  <w:num w:numId="15" w16cid:durableId="1121462889">
    <w:abstractNumId w:val="3"/>
  </w:num>
  <w:num w:numId="16" w16cid:durableId="1040321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12D"/>
    <w:rsid w:val="00025D1B"/>
    <w:rsid w:val="000510B1"/>
    <w:rsid w:val="000A06E3"/>
    <w:rsid w:val="000B3413"/>
    <w:rsid w:val="000E35A2"/>
    <w:rsid w:val="000F4361"/>
    <w:rsid w:val="00147027"/>
    <w:rsid w:val="00165E91"/>
    <w:rsid w:val="00174643"/>
    <w:rsid w:val="001A2425"/>
    <w:rsid w:val="001B461C"/>
    <w:rsid w:val="001B5674"/>
    <w:rsid w:val="001B6FB2"/>
    <w:rsid w:val="001D0FB3"/>
    <w:rsid w:val="001E6D4C"/>
    <w:rsid w:val="0021001B"/>
    <w:rsid w:val="002436B6"/>
    <w:rsid w:val="00271629"/>
    <w:rsid w:val="00271C1B"/>
    <w:rsid w:val="002A612D"/>
    <w:rsid w:val="002C5700"/>
    <w:rsid w:val="00302247"/>
    <w:rsid w:val="00356519"/>
    <w:rsid w:val="00443E27"/>
    <w:rsid w:val="004442B4"/>
    <w:rsid w:val="00444E96"/>
    <w:rsid w:val="00473204"/>
    <w:rsid w:val="004B47FB"/>
    <w:rsid w:val="004C266A"/>
    <w:rsid w:val="00516867"/>
    <w:rsid w:val="00534C94"/>
    <w:rsid w:val="005377AC"/>
    <w:rsid w:val="0055433C"/>
    <w:rsid w:val="00567D29"/>
    <w:rsid w:val="00590F73"/>
    <w:rsid w:val="005B0DC0"/>
    <w:rsid w:val="005F427B"/>
    <w:rsid w:val="00642CE0"/>
    <w:rsid w:val="006C1F73"/>
    <w:rsid w:val="0076546F"/>
    <w:rsid w:val="0076700A"/>
    <w:rsid w:val="00783B80"/>
    <w:rsid w:val="007876EB"/>
    <w:rsid w:val="00790418"/>
    <w:rsid w:val="007A16EE"/>
    <w:rsid w:val="007B01C3"/>
    <w:rsid w:val="007E60F3"/>
    <w:rsid w:val="007F5A2D"/>
    <w:rsid w:val="008147E2"/>
    <w:rsid w:val="00820424"/>
    <w:rsid w:val="0082557C"/>
    <w:rsid w:val="00827578"/>
    <w:rsid w:val="008727CA"/>
    <w:rsid w:val="008867FB"/>
    <w:rsid w:val="008A1D54"/>
    <w:rsid w:val="008A2426"/>
    <w:rsid w:val="008C36A5"/>
    <w:rsid w:val="008C55EE"/>
    <w:rsid w:val="008C7EB3"/>
    <w:rsid w:val="008E293F"/>
    <w:rsid w:val="008F3D99"/>
    <w:rsid w:val="009355A7"/>
    <w:rsid w:val="0094540B"/>
    <w:rsid w:val="009A5D23"/>
    <w:rsid w:val="009B0B29"/>
    <w:rsid w:val="009C4EE6"/>
    <w:rsid w:val="009E063D"/>
    <w:rsid w:val="009F43D6"/>
    <w:rsid w:val="00A05235"/>
    <w:rsid w:val="00A114DE"/>
    <w:rsid w:val="00AA6F9A"/>
    <w:rsid w:val="00B054EE"/>
    <w:rsid w:val="00B52688"/>
    <w:rsid w:val="00B8275F"/>
    <w:rsid w:val="00B84C24"/>
    <w:rsid w:val="00BC2DD1"/>
    <w:rsid w:val="00BD2BAA"/>
    <w:rsid w:val="00BE090A"/>
    <w:rsid w:val="00C03B29"/>
    <w:rsid w:val="00C26D4F"/>
    <w:rsid w:val="00C42245"/>
    <w:rsid w:val="00C4316C"/>
    <w:rsid w:val="00C70073"/>
    <w:rsid w:val="00C73E65"/>
    <w:rsid w:val="00C874BF"/>
    <w:rsid w:val="00CA0294"/>
    <w:rsid w:val="00CD0C8E"/>
    <w:rsid w:val="00CE4CFF"/>
    <w:rsid w:val="00D1170E"/>
    <w:rsid w:val="00D26011"/>
    <w:rsid w:val="00D353CF"/>
    <w:rsid w:val="00D40312"/>
    <w:rsid w:val="00D417A9"/>
    <w:rsid w:val="00D4786B"/>
    <w:rsid w:val="00D6640B"/>
    <w:rsid w:val="00D83D94"/>
    <w:rsid w:val="00DC2BC6"/>
    <w:rsid w:val="00DD1351"/>
    <w:rsid w:val="00DF7C3E"/>
    <w:rsid w:val="00E216A9"/>
    <w:rsid w:val="00E70B7A"/>
    <w:rsid w:val="00E963B6"/>
    <w:rsid w:val="00EC2178"/>
    <w:rsid w:val="00FC3B52"/>
    <w:rsid w:val="00FD5CD9"/>
    <w:rsid w:val="00FF7ED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134D"/>
  <w15:chartTrackingRefBased/>
  <w15:docId w15:val="{E3C68DDB-F48C-4D87-9E9B-34169A924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6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6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61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61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61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61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61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61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61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61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61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61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61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61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61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61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61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612D"/>
    <w:rPr>
      <w:rFonts w:eastAsiaTheme="majorEastAsia" w:cstheme="majorBidi"/>
      <w:color w:val="272727" w:themeColor="text1" w:themeTint="D8"/>
    </w:rPr>
  </w:style>
  <w:style w:type="paragraph" w:styleId="Ttulo">
    <w:name w:val="Title"/>
    <w:basedOn w:val="Normal"/>
    <w:next w:val="Normal"/>
    <w:link w:val="TtuloCar"/>
    <w:uiPriority w:val="10"/>
    <w:qFormat/>
    <w:rsid w:val="002A6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61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61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61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612D"/>
    <w:pPr>
      <w:spacing w:before="160"/>
      <w:jc w:val="center"/>
    </w:pPr>
    <w:rPr>
      <w:i/>
      <w:iCs/>
      <w:color w:val="404040" w:themeColor="text1" w:themeTint="BF"/>
    </w:rPr>
  </w:style>
  <w:style w:type="character" w:customStyle="1" w:styleId="CitaCar">
    <w:name w:val="Cita Car"/>
    <w:basedOn w:val="Fuentedeprrafopredeter"/>
    <w:link w:val="Cita"/>
    <w:uiPriority w:val="29"/>
    <w:rsid w:val="002A612D"/>
    <w:rPr>
      <w:i/>
      <w:iCs/>
      <w:color w:val="404040" w:themeColor="text1" w:themeTint="BF"/>
    </w:rPr>
  </w:style>
  <w:style w:type="paragraph" w:styleId="Prrafodelista">
    <w:name w:val="List Paragraph"/>
    <w:basedOn w:val="Normal"/>
    <w:uiPriority w:val="34"/>
    <w:qFormat/>
    <w:rsid w:val="002A612D"/>
    <w:pPr>
      <w:ind w:left="720"/>
      <w:contextualSpacing/>
    </w:pPr>
  </w:style>
  <w:style w:type="character" w:styleId="nfasisintenso">
    <w:name w:val="Intense Emphasis"/>
    <w:basedOn w:val="Fuentedeprrafopredeter"/>
    <w:uiPriority w:val="21"/>
    <w:qFormat/>
    <w:rsid w:val="002A612D"/>
    <w:rPr>
      <w:i/>
      <w:iCs/>
      <w:color w:val="0F4761" w:themeColor="accent1" w:themeShade="BF"/>
    </w:rPr>
  </w:style>
  <w:style w:type="paragraph" w:styleId="Citadestacada">
    <w:name w:val="Intense Quote"/>
    <w:basedOn w:val="Normal"/>
    <w:next w:val="Normal"/>
    <w:link w:val="CitadestacadaCar"/>
    <w:uiPriority w:val="30"/>
    <w:qFormat/>
    <w:rsid w:val="002A6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612D"/>
    <w:rPr>
      <w:i/>
      <w:iCs/>
      <w:color w:val="0F4761" w:themeColor="accent1" w:themeShade="BF"/>
    </w:rPr>
  </w:style>
  <w:style w:type="character" w:styleId="Referenciaintensa">
    <w:name w:val="Intense Reference"/>
    <w:basedOn w:val="Fuentedeprrafopredeter"/>
    <w:uiPriority w:val="32"/>
    <w:qFormat/>
    <w:rsid w:val="002A612D"/>
    <w:rPr>
      <w:b/>
      <w:bCs/>
      <w:smallCaps/>
      <w:color w:val="0F4761" w:themeColor="accent1" w:themeShade="BF"/>
      <w:spacing w:val="5"/>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2A612D"/>
    <w:pPr>
      <w:spacing w:after="0" w:line="240" w:lineRule="auto"/>
    </w:pPr>
    <w:rPr>
      <w:rFonts w:ascii="Times New Roman" w:eastAsia="Times New Roman" w:hAnsi="Times New Roman" w:cs="Times New Roman"/>
      <w:color w:val="000000"/>
      <w:kern w:val="0"/>
      <w:sz w:val="20"/>
      <w:szCs w:val="20"/>
      <w:lang w:eastAsia="es-PE"/>
      <w14:ligatures w14:val="none"/>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2A612D"/>
    <w:rPr>
      <w:rFonts w:ascii="Times New Roman" w:eastAsia="Times New Roman" w:hAnsi="Times New Roman" w:cs="Times New Roman"/>
      <w:color w:val="000000"/>
      <w:kern w:val="0"/>
      <w:sz w:val="20"/>
      <w:szCs w:val="20"/>
      <w:lang w:eastAsia="es-PE"/>
      <w14:ligatures w14:val="non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2A612D"/>
    <w:rPr>
      <w:vertAlign w:val="superscript"/>
    </w:rPr>
  </w:style>
  <w:style w:type="character" w:customStyle="1" w:styleId="Hipervnculo1">
    <w:name w:val="Hipervínculo1"/>
    <w:basedOn w:val="Fuentedeprrafopredeter"/>
    <w:uiPriority w:val="99"/>
    <w:unhideWhenUsed/>
    <w:rsid w:val="002A612D"/>
    <w:rPr>
      <w:color w:val="0563C1"/>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2A612D"/>
    <w:pPr>
      <w:spacing w:after="200" w:line="276" w:lineRule="auto"/>
    </w:pPr>
    <w:rPr>
      <w:vertAlign w:val="superscript"/>
    </w:rPr>
  </w:style>
  <w:style w:type="paragraph" w:styleId="Encabezado">
    <w:name w:val="header"/>
    <w:basedOn w:val="Normal"/>
    <w:link w:val="EncabezadoCar"/>
    <w:uiPriority w:val="99"/>
    <w:unhideWhenUsed/>
    <w:rsid w:val="002A612D"/>
    <w:pPr>
      <w:tabs>
        <w:tab w:val="center" w:pos="4252"/>
        <w:tab w:val="right" w:pos="8504"/>
      </w:tabs>
      <w:spacing w:after="0" w:line="240" w:lineRule="auto"/>
    </w:pPr>
    <w:rPr>
      <w:rFonts w:ascii="Calibri" w:eastAsia="Calibri" w:hAnsi="Calibri" w:cs="Calibri"/>
      <w:color w:val="000000"/>
      <w:kern w:val="0"/>
      <w:lang w:eastAsia="es-PE"/>
      <w14:ligatures w14:val="none"/>
    </w:rPr>
  </w:style>
  <w:style w:type="character" w:customStyle="1" w:styleId="EncabezadoCar">
    <w:name w:val="Encabezado Car"/>
    <w:basedOn w:val="Fuentedeprrafopredeter"/>
    <w:link w:val="Encabezado"/>
    <w:uiPriority w:val="99"/>
    <w:rsid w:val="002A612D"/>
    <w:rPr>
      <w:rFonts w:ascii="Calibri" w:eastAsia="Calibri" w:hAnsi="Calibri" w:cs="Calibri"/>
      <w:color w:val="000000"/>
      <w:kern w:val="0"/>
      <w:lang w:eastAsia="es-PE"/>
      <w14:ligatures w14:val="none"/>
    </w:rPr>
  </w:style>
  <w:style w:type="paragraph" w:styleId="Piedepgina">
    <w:name w:val="footer"/>
    <w:basedOn w:val="Normal"/>
    <w:link w:val="PiedepginaCar"/>
    <w:uiPriority w:val="99"/>
    <w:unhideWhenUsed/>
    <w:rsid w:val="002A612D"/>
    <w:pPr>
      <w:tabs>
        <w:tab w:val="center" w:pos="4252"/>
        <w:tab w:val="right" w:pos="8504"/>
      </w:tabs>
      <w:spacing w:after="0" w:line="240" w:lineRule="auto"/>
    </w:pPr>
    <w:rPr>
      <w:rFonts w:ascii="Calibri" w:eastAsia="Calibri" w:hAnsi="Calibri" w:cs="Calibri"/>
      <w:color w:val="000000"/>
      <w:kern w:val="0"/>
      <w:lang w:eastAsia="es-PE"/>
      <w14:ligatures w14:val="none"/>
    </w:rPr>
  </w:style>
  <w:style w:type="character" w:customStyle="1" w:styleId="PiedepginaCar">
    <w:name w:val="Pie de página Car"/>
    <w:basedOn w:val="Fuentedeprrafopredeter"/>
    <w:link w:val="Piedepgina"/>
    <w:uiPriority w:val="99"/>
    <w:rsid w:val="002A612D"/>
    <w:rPr>
      <w:rFonts w:ascii="Calibri" w:eastAsia="Calibri" w:hAnsi="Calibri" w:cs="Calibri"/>
      <w:color w:val="000000"/>
      <w:kern w:val="0"/>
      <w:lang w:eastAsia="es-PE"/>
      <w14:ligatures w14:val="none"/>
    </w:rPr>
  </w:style>
  <w:style w:type="paragraph" w:styleId="Sinespaciado">
    <w:name w:val="No Spacing"/>
    <w:link w:val="SinespaciadoCar"/>
    <w:uiPriority w:val="1"/>
    <w:qFormat/>
    <w:rsid w:val="002A612D"/>
    <w:pPr>
      <w:spacing w:after="0" w:line="240" w:lineRule="auto"/>
    </w:pPr>
    <w:rPr>
      <w:rFonts w:ascii="Arial" w:eastAsia="Arial" w:hAnsi="Arial" w:cs="Arial"/>
      <w:color w:val="000000"/>
      <w:kern w:val="0"/>
      <w:lang w:eastAsia="es-PE"/>
      <w14:ligatures w14:val="none"/>
    </w:rPr>
  </w:style>
  <w:style w:type="character" w:customStyle="1" w:styleId="SinespaciadoCar">
    <w:name w:val="Sin espaciado Car"/>
    <w:link w:val="Sinespaciado"/>
    <w:uiPriority w:val="1"/>
    <w:locked/>
    <w:rsid w:val="002A612D"/>
    <w:rPr>
      <w:rFonts w:ascii="Arial" w:eastAsia="Arial" w:hAnsi="Arial" w:cs="Arial"/>
      <w:color w:val="000000"/>
      <w:kern w:val="0"/>
      <w:lang w:eastAsia="es-PE"/>
      <w14:ligatures w14:val="none"/>
    </w:rPr>
  </w:style>
  <w:style w:type="character" w:styleId="Hipervnculo">
    <w:name w:val="Hyperlink"/>
    <w:basedOn w:val="Fuentedeprrafopredeter"/>
    <w:uiPriority w:val="99"/>
    <w:semiHidden/>
    <w:unhideWhenUsed/>
    <w:rsid w:val="002A612D"/>
    <w:rPr>
      <w:color w:val="467886" w:themeColor="hyperlink"/>
      <w:u w:val="single"/>
    </w:rPr>
  </w:style>
  <w:style w:type="character" w:styleId="Refdecomentario">
    <w:name w:val="annotation reference"/>
    <w:basedOn w:val="Fuentedeprrafopredeter"/>
    <w:uiPriority w:val="99"/>
    <w:semiHidden/>
    <w:unhideWhenUsed/>
    <w:rsid w:val="00FD5CD9"/>
    <w:rPr>
      <w:sz w:val="16"/>
      <w:szCs w:val="16"/>
    </w:rPr>
  </w:style>
  <w:style w:type="paragraph" w:styleId="Textocomentario">
    <w:name w:val="annotation text"/>
    <w:basedOn w:val="Normal"/>
    <w:link w:val="TextocomentarioCar"/>
    <w:uiPriority w:val="99"/>
    <w:unhideWhenUsed/>
    <w:rsid w:val="00FD5CD9"/>
    <w:pPr>
      <w:spacing w:line="240" w:lineRule="auto"/>
    </w:pPr>
    <w:rPr>
      <w:sz w:val="20"/>
      <w:szCs w:val="20"/>
    </w:rPr>
  </w:style>
  <w:style w:type="character" w:customStyle="1" w:styleId="TextocomentarioCar">
    <w:name w:val="Texto comentario Car"/>
    <w:basedOn w:val="Fuentedeprrafopredeter"/>
    <w:link w:val="Textocomentario"/>
    <w:uiPriority w:val="99"/>
    <w:rsid w:val="00FD5CD9"/>
    <w:rPr>
      <w:sz w:val="20"/>
      <w:szCs w:val="20"/>
    </w:rPr>
  </w:style>
  <w:style w:type="paragraph" w:styleId="Asuntodelcomentario">
    <w:name w:val="annotation subject"/>
    <w:basedOn w:val="Textocomentario"/>
    <w:next w:val="Textocomentario"/>
    <w:link w:val="AsuntodelcomentarioCar"/>
    <w:uiPriority w:val="99"/>
    <w:semiHidden/>
    <w:unhideWhenUsed/>
    <w:rsid w:val="00FD5CD9"/>
    <w:rPr>
      <w:b/>
      <w:bCs/>
    </w:rPr>
  </w:style>
  <w:style w:type="character" w:customStyle="1" w:styleId="AsuntodelcomentarioCar">
    <w:name w:val="Asunto del comentario Car"/>
    <w:basedOn w:val="TextocomentarioCar"/>
    <w:link w:val="Asuntodelcomentario"/>
    <w:uiPriority w:val="99"/>
    <w:semiHidden/>
    <w:rsid w:val="00FD5C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07/relationships/hdphoto" Target="media/hdphoto1.wdp"/></Relationships>
</file>

<file path=word/_rels/footnotes.xml.rels><?xml version="1.0" encoding="UTF-8" standalone="yes"?>
<Relationships xmlns="http://schemas.openxmlformats.org/package/2006/relationships"><Relationship Id="rId1" Type="http://schemas.openxmlformats.org/officeDocument/2006/relationships/hyperlink" Target="https://e-consultaruc.sunat.gob.pe/cl-ti-itmrconsruc/jcrS00Ali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581E5-855D-4186-ADBB-3238631E1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12</Pages>
  <Words>3399</Words>
  <Characters>18696</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37</cp:revision>
  <dcterms:created xsi:type="dcterms:W3CDTF">2024-07-31T17:23:00Z</dcterms:created>
  <dcterms:modified xsi:type="dcterms:W3CDTF">2026-05-22T23:25:00Z</dcterms:modified>
</cp:coreProperties>
</file>