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8587" w14:textId="42B26FBE" w:rsidR="008A7E08" w:rsidRPr="00312271" w:rsidRDefault="008A7E08" w:rsidP="00390054">
      <w:pPr>
        <w:keepNext/>
        <w:widowControl w:val="0"/>
        <w:tabs>
          <w:tab w:val="left" w:pos="2268"/>
        </w:tabs>
        <w:spacing w:after="0" w:line="240" w:lineRule="auto"/>
        <w:contextualSpacing/>
        <w:rPr>
          <w:rFonts w:ascii="Arial" w:hAnsi="Arial" w:cs="Arial"/>
          <w:bCs/>
          <w:i/>
          <w:iCs/>
          <w:color w:val="auto"/>
          <w:sz w:val="16"/>
          <w:szCs w:val="16"/>
        </w:rPr>
      </w:pPr>
      <w:r w:rsidRPr="00312271">
        <w:rPr>
          <w:rFonts w:ascii="Arial" w:hAnsi="Arial" w:cs="Arial"/>
          <w:bCs/>
          <w:i/>
          <w:iCs/>
          <w:color w:val="auto"/>
          <w:sz w:val="16"/>
          <w:szCs w:val="16"/>
        </w:rPr>
        <w:t xml:space="preserve">Realizado por: </w:t>
      </w:r>
      <w:r w:rsidR="00A34C6D" w:rsidRPr="00312271">
        <w:rPr>
          <w:rFonts w:ascii="Arial" w:hAnsi="Arial" w:cs="Arial"/>
          <w:bCs/>
          <w:i/>
          <w:iCs/>
          <w:color w:val="auto"/>
          <w:sz w:val="16"/>
          <w:szCs w:val="16"/>
        </w:rPr>
        <w:t>Luis Gamonal</w:t>
      </w:r>
    </w:p>
    <w:p w14:paraId="274B2BCA" w14:textId="4B2C6C8D" w:rsidR="008A7E08" w:rsidRPr="00312271" w:rsidRDefault="008A7E08" w:rsidP="00390054">
      <w:pPr>
        <w:keepNext/>
        <w:widowControl w:val="0"/>
        <w:tabs>
          <w:tab w:val="left" w:pos="2268"/>
        </w:tabs>
        <w:spacing w:after="0" w:line="240" w:lineRule="auto"/>
        <w:contextualSpacing/>
        <w:rPr>
          <w:rFonts w:ascii="Arial" w:hAnsi="Arial" w:cs="Arial"/>
          <w:bCs/>
          <w:i/>
          <w:iCs/>
          <w:color w:val="auto"/>
          <w:sz w:val="16"/>
          <w:szCs w:val="16"/>
        </w:rPr>
      </w:pPr>
      <w:r w:rsidRPr="00312271">
        <w:rPr>
          <w:rFonts w:ascii="Arial" w:hAnsi="Arial" w:cs="Arial"/>
          <w:bCs/>
          <w:i/>
          <w:iCs/>
          <w:color w:val="auto"/>
          <w:sz w:val="16"/>
          <w:szCs w:val="16"/>
        </w:rPr>
        <w:t>Revisado por: Analí Silva</w:t>
      </w:r>
    </w:p>
    <w:p w14:paraId="024D4BD2" w14:textId="7E15B57D" w:rsidR="008A7E08" w:rsidRPr="00312271" w:rsidRDefault="008A7E08" w:rsidP="00390054">
      <w:pPr>
        <w:keepNext/>
        <w:widowControl w:val="0"/>
        <w:tabs>
          <w:tab w:val="left" w:pos="2268"/>
        </w:tabs>
        <w:spacing w:after="0" w:line="240" w:lineRule="auto"/>
        <w:contextualSpacing/>
        <w:rPr>
          <w:rFonts w:ascii="Arial" w:hAnsi="Arial" w:cs="Arial"/>
          <w:bCs/>
          <w:i/>
          <w:iCs/>
          <w:color w:val="auto"/>
          <w:sz w:val="16"/>
          <w:szCs w:val="16"/>
        </w:rPr>
      </w:pPr>
      <w:r w:rsidRPr="00312271">
        <w:rPr>
          <w:rFonts w:ascii="Arial" w:hAnsi="Arial" w:cs="Arial"/>
          <w:bCs/>
          <w:i/>
          <w:iCs/>
          <w:color w:val="auto"/>
          <w:sz w:val="16"/>
          <w:szCs w:val="16"/>
        </w:rPr>
        <w:t>Equipo: Seguros</w:t>
      </w:r>
    </w:p>
    <w:p w14:paraId="1219806E" w14:textId="1CA5C2CC" w:rsidR="008A7E08" w:rsidRPr="00312271" w:rsidRDefault="008A7E08" w:rsidP="00390054">
      <w:pPr>
        <w:keepNext/>
        <w:widowControl w:val="0"/>
        <w:tabs>
          <w:tab w:val="left" w:pos="2268"/>
        </w:tabs>
        <w:spacing w:after="0" w:line="240" w:lineRule="auto"/>
        <w:contextualSpacing/>
        <w:rPr>
          <w:rFonts w:ascii="Arial" w:hAnsi="Arial" w:cs="Arial"/>
          <w:bCs/>
          <w:i/>
          <w:iCs/>
          <w:color w:val="auto"/>
          <w:sz w:val="16"/>
          <w:szCs w:val="16"/>
        </w:rPr>
      </w:pPr>
      <w:r w:rsidRPr="00312271">
        <w:rPr>
          <w:rFonts w:ascii="Arial" w:hAnsi="Arial" w:cs="Arial"/>
          <w:bCs/>
          <w:i/>
          <w:iCs/>
          <w:color w:val="auto"/>
          <w:sz w:val="16"/>
          <w:szCs w:val="16"/>
        </w:rPr>
        <w:t xml:space="preserve">Vencimiento: </w:t>
      </w:r>
      <w:r w:rsidR="00836799" w:rsidRPr="00312271">
        <w:rPr>
          <w:rFonts w:ascii="Arial" w:hAnsi="Arial" w:cs="Arial"/>
          <w:bCs/>
          <w:i/>
          <w:iCs/>
          <w:color w:val="auto"/>
          <w:sz w:val="16"/>
          <w:szCs w:val="16"/>
        </w:rPr>
        <w:t>09</w:t>
      </w:r>
      <w:r w:rsidR="001356D2" w:rsidRPr="00312271">
        <w:rPr>
          <w:rFonts w:ascii="Arial" w:hAnsi="Arial" w:cs="Arial"/>
          <w:bCs/>
          <w:i/>
          <w:iCs/>
          <w:color w:val="auto"/>
          <w:sz w:val="16"/>
          <w:szCs w:val="16"/>
        </w:rPr>
        <w:t>/0</w:t>
      </w:r>
      <w:r w:rsidR="00836799" w:rsidRPr="00312271">
        <w:rPr>
          <w:rFonts w:ascii="Arial" w:hAnsi="Arial" w:cs="Arial"/>
          <w:bCs/>
          <w:i/>
          <w:iCs/>
          <w:color w:val="auto"/>
          <w:sz w:val="16"/>
          <w:szCs w:val="16"/>
        </w:rPr>
        <w:t>9</w:t>
      </w:r>
      <w:r w:rsidR="001356D2" w:rsidRPr="00312271">
        <w:rPr>
          <w:rFonts w:ascii="Arial" w:hAnsi="Arial" w:cs="Arial"/>
          <w:bCs/>
          <w:i/>
          <w:iCs/>
          <w:color w:val="auto"/>
          <w:sz w:val="16"/>
          <w:szCs w:val="16"/>
        </w:rPr>
        <w:t>/202</w:t>
      </w:r>
      <w:r w:rsidR="00786D30" w:rsidRPr="00312271">
        <w:rPr>
          <w:rFonts w:ascii="Arial" w:hAnsi="Arial" w:cs="Arial"/>
          <w:bCs/>
          <w:i/>
          <w:iCs/>
          <w:color w:val="auto"/>
          <w:sz w:val="16"/>
          <w:szCs w:val="16"/>
        </w:rPr>
        <w:t>5</w:t>
      </w:r>
    </w:p>
    <w:p w14:paraId="60C54945" w14:textId="77777777" w:rsidR="008A7E08" w:rsidRPr="00312271" w:rsidRDefault="008A7E08" w:rsidP="00390054">
      <w:pPr>
        <w:keepNext/>
        <w:widowControl w:val="0"/>
        <w:tabs>
          <w:tab w:val="left" w:pos="2268"/>
        </w:tabs>
        <w:spacing w:after="0" w:line="240" w:lineRule="auto"/>
        <w:contextualSpacing/>
        <w:jc w:val="center"/>
        <w:rPr>
          <w:rFonts w:ascii="Arial" w:hAnsi="Arial" w:cs="Arial"/>
          <w:b/>
          <w:color w:val="auto"/>
          <w:sz w:val="32"/>
          <w:szCs w:val="32"/>
        </w:rPr>
      </w:pPr>
    </w:p>
    <w:p w14:paraId="7A6B9848" w14:textId="6D03DA76" w:rsidR="00180B39" w:rsidRPr="00312271" w:rsidRDefault="00180B39" w:rsidP="00390054">
      <w:pPr>
        <w:keepNext/>
        <w:widowControl w:val="0"/>
        <w:tabs>
          <w:tab w:val="left" w:pos="2268"/>
        </w:tabs>
        <w:spacing w:after="0" w:line="240" w:lineRule="auto"/>
        <w:contextualSpacing/>
        <w:jc w:val="center"/>
        <w:rPr>
          <w:rFonts w:ascii="Arial" w:eastAsia="Arial" w:hAnsi="Arial" w:cs="Arial"/>
          <w:b/>
          <w:color w:val="auto"/>
          <w:sz w:val="32"/>
          <w:szCs w:val="32"/>
        </w:rPr>
      </w:pPr>
      <w:r w:rsidRPr="00312271">
        <w:rPr>
          <w:rFonts w:ascii="Arial" w:hAnsi="Arial" w:cs="Arial"/>
          <w:b/>
          <w:color w:val="auto"/>
          <w:sz w:val="32"/>
          <w:szCs w:val="32"/>
        </w:rPr>
        <w:t xml:space="preserve">RESOLUCIÓN FINAL </w:t>
      </w:r>
      <w:proofErr w:type="spellStart"/>
      <w:r w:rsidRPr="00312271">
        <w:rPr>
          <w:rFonts w:ascii="Arial" w:hAnsi="Arial" w:cs="Arial"/>
          <w:b/>
          <w:color w:val="auto"/>
          <w:sz w:val="32"/>
          <w:szCs w:val="32"/>
        </w:rPr>
        <w:t>N°</w:t>
      </w:r>
      <w:proofErr w:type="spellEnd"/>
      <w:r w:rsidRPr="00312271">
        <w:rPr>
          <w:rFonts w:ascii="Arial" w:hAnsi="Arial" w:cs="Arial"/>
          <w:b/>
          <w:color w:val="auto"/>
          <w:sz w:val="32"/>
          <w:szCs w:val="32"/>
        </w:rPr>
        <w:t xml:space="preserve"> </w:t>
      </w:r>
      <w:r w:rsidR="00296DC4" w:rsidRPr="00312271">
        <w:rPr>
          <w:rFonts w:ascii="Arial" w:hAnsi="Arial" w:cs="Arial"/>
          <w:b/>
          <w:color w:val="auto"/>
          <w:sz w:val="32"/>
          <w:szCs w:val="32"/>
        </w:rPr>
        <w:t>XXXX</w:t>
      </w:r>
      <w:r w:rsidRPr="00312271">
        <w:rPr>
          <w:rFonts w:ascii="Arial" w:hAnsi="Arial" w:cs="Arial"/>
          <w:b/>
          <w:color w:val="auto"/>
          <w:sz w:val="32"/>
          <w:szCs w:val="32"/>
        </w:rPr>
        <w:t>-202</w:t>
      </w:r>
      <w:r w:rsidR="00E67580" w:rsidRPr="00312271">
        <w:rPr>
          <w:rFonts w:ascii="Arial" w:hAnsi="Arial" w:cs="Arial"/>
          <w:b/>
          <w:color w:val="auto"/>
          <w:sz w:val="32"/>
          <w:szCs w:val="32"/>
        </w:rPr>
        <w:t>5</w:t>
      </w:r>
      <w:r w:rsidRPr="00312271">
        <w:rPr>
          <w:rFonts w:ascii="Arial" w:hAnsi="Arial" w:cs="Arial"/>
          <w:b/>
          <w:color w:val="auto"/>
          <w:sz w:val="32"/>
          <w:szCs w:val="32"/>
        </w:rPr>
        <w:t>/CC1</w:t>
      </w:r>
    </w:p>
    <w:p w14:paraId="3476C841" w14:textId="77777777" w:rsidR="005A41A1" w:rsidRPr="00312271" w:rsidRDefault="005A41A1" w:rsidP="00390054">
      <w:pPr>
        <w:tabs>
          <w:tab w:val="left" w:pos="6450"/>
        </w:tabs>
        <w:spacing w:after="0" w:line="240" w:lineRule="auto"/>
        <w:ind w:right="333"/>
        <w:contextualSpacing/>
        <w:jc w:val="center"/>
        <w:rPr>
          <w:rFonts w:ascii="Arial" w:hAnsi="Arial" w:cs="Arial"/>
          <w:color w:val="auto"/>
        </w:rPr>
      </w:pPr>
    </w:p>
    <w:p w14:paraId="31E993DB" w14:textId="01B46FE7" w:rsidR="00286F67" w:rsidRPr="00312271" w:rsidRDefault="00286F67" w:rsidP="00390054">
      <w:pPr>
        <w:tabs>
          <w:tab w:val="left" w:pos="2160"/>
          <w:tab w:val="left" w:pos="2692"/>
          <w:tab w:val="left" w:pos="8640"/>
        </w:tabs>
        <w:spacing w:after="0" w:line="240" w:lineRule="auto"/>
        <w:ind w:left="2692" w:right="31" w:hanging="2692"/>
        <w:contextualSpacing/>
        <w:jc w:val="both"/>
        <w:rPr>
          <w:rFonts w:ascii="Arial" w:eastAsia="Arial" w:hAnsi="Arial" w:cs="Arial"/>
          <w:b/>
          <w:color w:val="auto"/>
        </w:rPr>
      </w:pPr>
      <w:r w:rsidRPr="00312271">
        <w:rPr>
          <w:rFonts w:ascii="Arial" w:eastAsia="Arial" w:hAnsi="Arial" w:cs="Arial"/>
          <w:b/>
          <w:color w:val="auto"/>
        </w:rPr>
        <w:t>DENUNCIANTE</w:t>
      </w:r>
      <w:r w:rsidRPr="00312271">
        <w:rPr>
          <w:rFonts w:ascii="Arial" w:eastAsia="Arial" w:hAnsi="Arial" w:cs="Arial"/>
          <w:b/>
          <w:color w:val="auto"/>
        </w:rPr>
        <w:tab/>
        <w:t>:</w:t>
      </w:r>
      <w:r w:rsidRPr="00312271">
        <w:rPr>
          <w:rFonts w:ascii="Arial" w:eastAsia="Arial" w:hAnsi="Arial" w:cs="Arial"/>
          <w:b/>
          <w:color w:val="auto"/>
        </w:rPr>
        <w:tab/>
      </w:r>
      <w:r w:rsidR="00836799" w:rsidRPr="00312271">
        <w:rPr>
          <w:rFonts w:ascii="Arial" w:hAnsi="Arial" w:cs="Arial"/>
          <w:b/>
          <w:color w:val="auto"/>
        </w:rPr>
        <w:t>NANCY DIONELLY CASTRO URRUNAGA</w:t>
      </w:r>
      <w:r w:rsidR="00FF4B5A" w:rsidRPr="00312271">
        <w:rPr>
          <w:rFonts w:ascii="Arial" w:hAnsi="Arial" w:cs="Arial"/>
          <w:b/>
          <w:color w:val="auto"/>
        </w:rPr>
        <w:t xml:space="preserve"> </w:t>
      </w:r>
      <w:r w:rsidRPr="00312271">
        <w:rPr>
          <w:rFonts w:ascii="Arial" w:eastAsia="Arial" w:hAnsi="Arial" w:cs="Arial"/>
          <w:b/>
          <w:color w:val="auto"/>
        </w:rPr>
        <w:t>(</w:t>
      </w:r>
      <w:r w:rsidR="00CA0A6C" w:rsidRPr="00312271">
        <w:rPr>
          <w:rFonts w:ascii="Arial" w:eastAsia="Arial" w:hAnsi="Arial" w:cs="Arial"/>
          <w:b/>
          <w:color w:val="auto"/>
        </w:rPr>
        <w:t>SEÑOR</w:t>
      </w:r>
      <w:r w:rsidR="00836799" w:rsidRPr="00312271">
        <w:rPr>
          <w:rFonts w:ascii="Arial" w:eastAsia="Arial" w:hAnsi="Arial" w:cs="Arial"/>
          <w:b/>
          <w:color w:val="auto"/>
        </w:rPr>
        <w:t>A</w:t>
      </w:r>
      <w:r w:rsidR="00CA0A6C" w:rsidRPr="00312271">
        <w:rPr>
          <w:rFonts w:ascii="Arial" w:eastAsia="Arial" w:hAnsi="Arial" w:cs="Arial"/>
          <w:b/>
          <w:color w:val="auto"/>
        </w:rPr>
        <w:t xml:space="preserve"> </w:t>
      </w:r>
      <w:r w:rsidR="00836799" w:rsidRPr="00312271">
        <w:rPr>
          <w:rFonts w:ascii="Arial" w:eastAsia="Arial" w:hAnsi="Arial" w:cs="Arial"/>
          <w:b/>
          <w:color w:val="auto"/>
        </w:rPr>
        <w:t>C</w:t>
      </w:r>
      <w:r w:rsidR="009C659E" w:rsidRPr="00312271">
        <w:rPr>
          <w:rFonts w:ascii="Arial" w:eastAsia="Arial" w:hAnsi="Arial" w:cs="Arial"/>
          <w:b/>
          <w:color w:val="auto"/>
        </w:rPr>
        <w:t>A</w:t>
      </w:r>
      <w:r w:rsidR="00836799" w:rsidRPr="00312271">
        <w:rPr>
          <w:rFonts w:ascii="Arial" w:eastAsia="Arial" w:hAnsi="Arial" w:cs="Arial"/>
          <w:b/>
          <w:color w:val="auto"/>
        </w:rPr>
        <w:t>STRO</w:t>
      </w:r>
      <w:r w:rsidRPr="00312271">
        <w:rPr>
          <w:rFonts w:ascii="Arial" w:eastAsia="Arial" w:hAnsi="Arial" w:cs="Arial"/>
          <w:b/>
          <w:color w:val="auto"/>
        </w:rPr>
        <w:t>)</w:t>
      </w:r>
    </w:p>
    <w:p w14:paraId="4919DA48" w14:textId="2A920C7D" w:rsidR="00D80EDC" w:rsidRPr="00312271" w:rsidRDefault="00286F67" w:rsidP="00390054">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312271">
        <w:rPr>
          <w:rFonts w:ascii="Arial" w:eastAsia="Arial" w:hAnsi="Arial" w:cs="Arial"/>
          <w:b/>
          <w:color w:val="auto"/>
        </w:rPr>
        <w:t>DENUNCIAD</w:t>
      </w:r>
      <w:r w:rsidR="00F325F2" w:rsidRPr="00312271">
        <w:rPr>
          <w:rFonts w:ascii="Arial" w:eastAsia="Arial" w:hAnsi="Arial" w:cs="Arial"/>
          <w:b/>
          <w:color w:val="auto"/>
        </w:rPr>
        <w:t>O</w:t>
      </w:r>
      <w:r w:rsidR="00836799" w:rsidRPr="00312271">
        <w:rPr>
          <w:rFonts w:ascii="Arial" w:eastAsia="Arial" w:hAnsi="Arial" w:cs="Arial"/>
          <w:b/>
          <w:color w:val="auto"/>
        </w:rPr>
        <w:t>S</w:t>
      </w:r>
      <w:r w:rsidRPr="00312271">
        <w:rPr>
          <w:rFonts w:ascii="Arial" w:eastAsia="Arial" w:hAnsi="Arial" w:cs="Arial"/>
          <w:b/>
          <w:color w:val="auto"/>
        </w:rPr>
        <w:tab/>
        <w:t>:</w:t>
      </w:r>
      <w:r w:rsidRPr="00312271">
        <w:rPr>
          <w:rFonts w:ascii="Arial" w:eastAsia="Arial" w:hAnsi="Arial" w:cs="Arial"/>
          <w:b/>
          <w:color w:val="auto"/>
        </w:rPr>
        <w:tab/>
      </w:r>
      <w:r w:rsidR="00D36BBB" w:rsidRPr="00312271">
        <w:rPr>
          <w:rFonts w:ascii="Arial" w:hAnsi="Arial" w:cs="Arial"/>
          <w:b/>
          <w:color w:val="auto"/>
          <w:shd w:val="clear" w:color="auto" w:fill="FFFFFF"/>
        </w:rPr>
        <w:t>INTERSEGURO COMPAÑÍA DE SEGUROS</w:t>
      </w:r>
      <w:r w:rsidR="00D91C63" w:rsidRPr="00312271">
        <w:rPr>
          <w:rFonts w:ascii="Arial" w:hAnsi="Arial" w:cs="Arial"/>
          <w:b/>
          <w:color w:val="auto"/>
          <w:shd w:val="clear" w:color="auto" w:fill="FFFFFF"/>
        </w:rPr>
        <w:t xml:space="preserve"> S.</w:t>
      </w:r>
      <w:r w:rsidR="009C659E" w:rsidRPr="00312271">
        <w:rPr>
          <w:rFonts w:ascii="Arial" w:hAnsi="Arial" w:cs="Arial"/>
          <w:b/>
          <w:color w:val="auto"/>
          <w:shd w:val="clear" w:color="auto" w:fill="FFFFFF"/>
        </w:rPr>
        <w:t>A.</w:t>
      </w:r>
      <w:r w:rsidRPr="00312271">
        <w:rPr>
          <w:rFonts w:ascii="Arial" w:hAnsi="Arial" w:cs="Arial"/>
          <w:b/>
          <w:color w:val="auto"/>
          <w:shd w:val="clear" w:color="auto" w:fill="FFFFFF"/>
        </w:rPr>
        <w:t xml:space="preserve"> </w:t>
      </w:r>
      <w:r w:rsidRPr="00312271">
        <w:rPr>
          <w:rFonts w:ascii="Arial" w:eastAsia="Arial" w:hAnsi="Arial" w:cs="Arial"/>
          <w:b/>
          <w:color w:val="auto"/>
        </w:rPr>
        <w:t>(</w:t>
      </w:r>
      <w:r w:rsidR="009C659E" w:rsidRPr="00312271">
        <w:rPr>
          <w:rFonts w:ascii="Arial" w:eastAsia="Arial" w:hAnsi="Arial" w:cs="Arial"/>
          <w:b/>
          <w:color w:val="auto"/>
        </w:rPr>
        <w:t>I</w:t>
      </w:r>
      <w:r w:rsidR="00D36BBB" w:rsidRPr="00312271">
        <w:rPr>
          <w:rFonts w:ascii="Arial" w:eastAsia="Arial" w:hAnsi="Arial" w:cs="Arial"/>
          <w:b/>
          <w:color w:val="auto"/>
        </w:rPr>
        <w:t>NTERSEGURO</w:t>
      </w:r>
      <w:r w:rsidRPr="00312271">
        <w:rPr>
          <w:rFonts w:ascii="Arial" w:eastAsia="Arial" w:hAnsi="Arial" w:cs="Arial"/>
          <w:b/>
          <w:color w:val="auto"/>
        </w:rPr>
        <w:t xml:space="preserve">) </w:t>
      </w:r>
    </w:p>
    <w:p w14:paraId="709BE8D1" w14:textId="36F91CAA" w:rsidR="00836799" w:rsidRPr="00312271" w:rsidRDefault="00836799" w:rsidP="00390054">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312271">
        <w:rPr>
          <w:rFonts w:ascii="Arial" w:eastAsia="Arial" w:hAnsi="Arial" w:cs="Arial"/>
          <w:b/>
          <w:color w:val="auto"/>
        </w:rPr>
        <w:tab/>
      </w:r>
      <w:r w:rsidRPr="00312271">
        <w:rPr>
          <w:rFonts w:ascii="Arial" w:eastAsia="Arial" w:hAnsi="Arial" w:cs="Arial"/>
          <w:b/>
          <w:color w:val="auto"/>
        </w:rPr>
        <w:tab/>
      </w:r>
      <w:r w:rsidR="00D36BBB" w:rsidRPr="00312271">
        <w:rPr>
          <w:rFonts w:ascii="Arial" w:eastAsia="Arial" w:hAnsi="Arial" w:cs="Arial"/>
          <w:b/>
          <w:color w:val="auto"/>
        </w:rPr>
        <w:t>BANCO INTERNACIONAL DEL PERÚ S.A.A. – INTERBANK (INTERBANK)</w:t>
      </w:r>
    </w:p>
    <w:p w14:paraId="0CAB16A6" w14:textId="01EBE9F0" w:rsidR="00286F67" w:rsidRPr="00312271" w:rsidRDefault="00286F67" w:rsidP="00390054">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312271">
        <w:rPr>
          <w:rFonts w:ascii="Arial" w:eastAsia="Arial" w:hAnsi="Arial" w:cs="Arial"/>
          <w:b/>
          <w:color w:val="auto"/>
        </w:rPr>
        <w:t>MATERIAS</w:t>
      </w:r>
      <w:r w:rsidRPr="00312271">
        <w:rPr>
          <w:rFonts w:ascii="Arial" w:eastAsia="Arial" w:hAnsi="Arial" w:cs="Arial"/>
          <w:b/>
          <w:color w:val="auto"/>
        </w:rPr>
        <w:tab/>
        <w:t>:</w:t>
      </w:r>
      <w:r w:rsidRPr="00312271">
        <w:rPr>
          <w:rFonts w:ascii="Arial" w:eastAsia="Arial" w:hAnsi="Arial" w:cs="Arial"/>
          <w:b/>
          <w:color w:val="auto"/>
        </w:rPr>
        <w:tab/>
        <w:t>PROTECCIÓN AL CONSUMIDOR</w:t>
      </w:r>
    </w:p>
    <w:p w14:paraId="3A321437" w14:textId="237FFF87" w:rsidR="009C659E" w:rsidRPr="00312271" w:rsidRDefault="009C659E" w:rsidP="00390054">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312271">
        <w:rPr>
          <w:rFonts w:ascii="Arial" w:eastAsia="Arial" w:hAnsi="Arial" w:cs="Arial"/>
          <w:b/>
          <w:color w:val="auto"/>
        </w:rPr>
        <w:tab/>
      </w:r>
      <w:r w:rsidRPr="00312271">
        <w:rPr>
          <w:rFonts w:ascii="Arial" w:eastAsia="Arial" w:hAnsi="Arial" w:cs="Arial"/>
          <w:b/>
          <w:color w:val="auto"/>
        </w:rPr>
        <w:tab/>
      </w:r>
      <w:r w:rsidR="00777160" w:rsidRPr="00312271">
        <w:rPr>
          <w:rFonts w:ascii="Arial" w:eastAsia="Arial" w:hAnsi="Arial" w:cs="Arial"/>
          <w:b/>
          <w:color w:val="auto"/>
        </w:rPr>
        <w:t>IMPROCEDENCIA</w:t>
      </w:r>
    </w:p>
    <w:p w14:paraId="7DEE2F3A" w14:textId="6A77C100" w:rsidR="00E2515B" w:rsidRPr="00312271" w:rsidRDefault="00E2515B" w:rsidP="00390054">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312271">
        <w:rPr>
          <w:rFonts w:ascii="Arial" w:eastAsia="Arial" w:hAnsi="Arial" w:cs="Arial"/>
          <w:b/>
          <w:color w:val="auto"/>
        </w:rPr>
        <w:tab/>
      </w:r>
      <w:r w:rsidRPr="00312271">
        <w:rPr>
          <w:rFonts w:ascii="Arial" w:eastAsia="Arial" w:hAnsi="Arial" w:cs="Arial"/>
          <w:b/>
          <w:color w:val="auto"/>
        </w:rPr>
        <w:tab/>
      </w:r>
      <w:r w:rsidR="00030120" w:rsidRPr="00312271">
        <w:rPr>
          <w:rFonts w:ascii="Arial" w:eastAsia="Arial" w:hAnsi="Arial" w:cs="Arial"/>
          <w:b/>
          <w:color w:val="auto"/>
        </w:rPr>
        <w:t>DEBER DE IDONEIDAD</w:t>
      </w:r>
    </w:p>
    <w:p w14:paraId="08FFA18B" w14:textId="64AA3777" w:rsidR="00286F67" w:rsidRPr="00312271" w:rsidRDefault="00286F67" w:rsidP="00390054">
      <w:pPr>
        <w:tabs>
          <w:tab w:val="left" w:pos="2160"/>
          <w:tab w:val="left" w:pos="2692"/>
          <w:tab w:val="left" w:pos="8640"/>
        </w:tabs>
        <w:spacing w:after="0" w:line="240" w:lineRule="auto"/>
        <w:ind w:right="31"/>
        <w:contextualSpacing/>
        <w:jc w:val="both"/>
        <w:rPr>
          <w:rFonts w:ascii="Arial" w:eastAsia="Arial" w:hAnsi="Arial" w:cs="Arial"/>
          <w:b/>
          <w:color w:val="auto"/>
        </w:rPr>
      </w:pPr>
      <w:r w:rsidRPr="00312271">
        <w:rPr>
          <w:rFonts w:ascii="Arial" w:eastAsia="Arial" w:hAnsi="Arial" w:cs="Arial"/>
          <w:b/>
          <w:color w:val="auto"/>
        </w:rPr>
        <w:t>ACTIVIDAD</w:t>
      </w:r>
      <w:r w:rsidRPr="00312271">
        <w:rPr>
          <w:rFonts w:ascii="Arial" w:eastAsia="Arial" w:hAnsi="Arial" w:cs="Arial"/>
          <w:b/>
          <w:color w:val="auto"/>
        </w:rPr>
        <w:tab/>
        <w:t>:</w:t>
      </w:r>
      <w:r w:rsidRPr="00312271">
        <w:rPr>
          <w:rFonts w:ascii="Arial" w:eastAsia="Arial" w:hAnsi="Arial" w:cs="Arial"/>
          <w:b/>
          <w:color w:val="auto"/>
        </w:rPr>
        <w:tab/>
      </w:r>
      <w:r w:rsidR="00E86D6E" w:rsidRPr="00312271">
        <w:rPr>
          <w:rFonts w:ascii="Arial" w:eastAsia="Arial" w:hAnsi="Arial" w:cs="Arial"/>
          <w:b/>
          <w:color w:val="auto"/>
        </w:rPr>
        <w:t>SEGUROS Y PENSIONES</w:t>
      </w:r>
    </w:p>
    <w:p w14:paraId="1553642E" w14:textId="6F8FB3AF" w:rsidR="00117E4D" w:rsidRPr="00312271" w:rsidRDefault="00117E4D" w:rsidP="00390054">
      <w:pPr>
        <w:spacing w:after="0" w:line="240" w:lineRule="auto"/>
        <w:ind w:left="2552"/>
        <w:contextualSpacing/>
        <w:jc w:val="both"/>
        <w:rPr>
          <w:rFonts w:ascii="Arial" w:eastAsia="Arial" w:hAnsi="Arial" w:cs="Arial"/>
          <w:color w:val="auto"/>
        </w:rPr>
      </w:pPr>
    </w:p>
    <w:p w14:paraId="031B060E" w14:textId="77777777" w:rsidR="00F325F2" w:rsidRPr="00312271" w:rsidRDefault="00F325F2" w:rsidP="00390054">
      <w:pPr>
        <w:spacing w:after="0" w:line="240" w:lineRule="auto"/>
        <w:contextualSpacing/>
        <w:jc w:val="both"/>
        <w:rPr>
          <w:rFonts w:ascii="Arial" w:eastAsia="Arial" w:hAnsi="Arial" w:cs="Arial"/>
          <w:color w:val="auto"/>
        </w:rPr>
      </w:pPr>
    </w:p>
    <w:p w14:paraId="59C5F896" w14:textId="4A3A5A1C" w:rsidR="00286F67" w:rsidRPr="00312271" w:rsidRDefault="00286F67" w:rsidP="00390054">
      <w:pPr>
        <w:spacing w:after="0" w:line="240" w:lineRule="auto"/>
        <w:contextualSpacing/>
        <w:jc w:val="both"/>
        <w:rPr>
          <w:rFonts w:ascii="Arial" w:hAnsi="Arial" w:cs="Arial"/>
          <w:color w:val="auto"/>
        </w:rPr>
      </w:pPr>
      <w:r w:rsidRPr="00312271">
        <w:rPr>
          <w:rFonts w:ascii="Arial" w:eastAsia="Arial" w:hAnsi="Arial" w:cs="Arial"/>
          <w:color w:val="auto"/>
        </w:rPr>
        <w:t xml:space="preserve">Lima, </w:t>
      </w:r>
      <w:r w:rsidR="00EB5975" w:rsidRPr="00312271">
        <w:rPr>
          <w:rFonts w:ascii="Arial" w:eastAsia="Arial" w:hAnsi="Arial" w:cs="Arial"/>
          <w:color w:val="auto"/>
          <w:highlight w:val="yellow"/>
        </w:rPr>
        <w:t>XX</w:t>
      </w:r>
      <w:r w:rsidR="004B1049" w:rsidRPr="00312271">
        <w:rPr>
          <w:rFonts w:ascii="Arial" w:eastAsia="Arial" w:hAnsi="Arial" w:cs="Arial"/>
          <w:color w:val="auto"/>
        </w:rPr>
        <w:t xml:space="preserve"> de </w:t>
      </w:r>
      <w:r w:rsidR="00205AE1" w:rsidRPr="00312271">
        <w:rPr>
          <w:rFonts w:ascii="Arial" w:eastAsia="Arial" w:hAnsi="Arial" w:cs="Arial"/>
          <w:color w:val="auto"/>
        </w:rPr>
        <w:t>setiembre</w:t>
      </w:r>
      <w:r w:rsidR="004B1049" w:rsidRPr="00312271">
        <w:rPr>
          <w:rFonts w:ascii="Arial" w:eastAsia="Arial" w:hAnsi="Arial" w:cs="Arial"/>
          <w:color w:val="auto"/>
        </w:rPr>
        <w:t xml:space="preserve"> de 202</w:t>
      </w:r>
      <w:r w:rsidR="00E67580" w:rsidRPr="00312271">
        <w:rPr>
          <w:rFonts w:ascii="Arial" w:eastAsia="Arial" w:hAnsi="Arial" w:cs="Arial"/>
          <w:color w:val="auto"/>
        </w:rPr>
        <w:t>5</w:t>
      </w:r>
    </w:p>
    <w:p w14:paraId="1ADE6D75" w14:textId="77777777" w:rsidR="00286F67" w:rsidRPr="00312271" w:rsidRDefault="00286F67" w:rsidP="00390054">
      <w:pPr>
        <w:tabs>
          <w:tab w:val="left" w:pos="567"/>
        </w:tabs>
        <w:spacing w:after="0" w:line="240" w:lineRule="auto"/>
        <w:contextualSpacing/>
        <w:rPr>
          <w:rFonts w:ascii="Arial" w:hAnsi="Arial" w:cs="Arial"/>
          <w:b/>
          <w:color w:val="auto"/>
          <w:lang w:val="es-MX"/>
        </w:rPr>
      </w:pPr>
    </w:p>
    <w:p w14:paraId="6219E89C" w14:textId="77777777" w:rsidR="00286F67" w:rsidRPr="00312271" w:rsidRDefault="00286F67" w:rsidP="00390054">
      <w:pPr>
        <w:tabs>
          <w:tab w:val="left" w:pos="567"/>
        </w:tabs>
        <w:spacing w:after="0" w:line="240" w:lineRule="auto"/>
        <w:contextualSpacing/>
        <w:rPr>
          <w:rFonts w:ascii="Arial" w:hAnsi="Arial" w:cs="Arial"/>
          <w:color w:val="auto"/>
        </w:rPr>
      </w:pPr>
      <w:r w:rsidRPr="00312271">
        <w:rPr>
          <w:rFonts w:ascii="Arial" w:eastAsia="Arial" w:hAnsi="Arial" w:cs="Arial"/>
          <w:b/>
          <w:color w:val="auto"/>
        </w:rPr>
        <w:t>ANTECEDENTES</w:t>
      </w:r>
    </w:p>
    <w:p w14:paraId="6F1711AA" w14:textId="77777777" w:rsidR="008829EA" w:rsidRPr="00312271" w:rsidRDefault="008829EA" w:rsidP="00390054">
      <w:pPr>
        <w:pStyle w:val="Prrafodelista"/>
        <w:spacing w:line="240" w:lineRule="auto"/>
        <w:ind w:left="567"/>
        <w:jc w:val="both"/>
        <w:rPr>
          <w:color w:val="auto"/>
        </w:rPr>
      </w:pPr>
    </w:p>
    <w:p w14:paraId="234A5D2D" w14:textId="0CB1D1E9" w:rsidR="005708FF" w:rsidRPr="00312271" w:rsidRDefault="005708FF" w:rsidP="000B4039">
      <w:pPr>
        <w:pStyle w:val="Prrafodelista"/>
        <w:numPr>
          <w:ilvl w:val="0"/>
          <w:numId w:val="2"/>
        </w:numPr>
        <w:spacing w:line="240" w:lineRule="auto"/>
        <w:ind w:left="567" w:hanging="567"/>
        <w:jc w:val="both"/>
        <w:rPr>
          <w:color w:val="auto"/>
        </w:rPr>
      </w:pPr>
      <w:bookmarkStart w:id="0" w:name="_Hlk152158867"/>
      <w:r w:rsidRPr="00312271">
        <w:rPr>
          <w:color w:val="auto"/>
        </w:rPr>
        <w:t>Mediante el escrito del 3 de enero de 2025</w:t>
      </w:r>
      <w:r w:rsidRPr="00312271">
        <w:rPr>
          <w:color w:val="auto"/>
          <w:vertAlign w:val="superscript"/>
          <w:lang w:val="es-ES"/>
        </w:rPr>
        <w:footnoteReference w:id="2"/>
      </w:r>
      <w:r w:rsidRPr="00312271">
        <w:rPr>
          <w:color w:val="auto"/>
        </w:rPr>
        <w:t>, la señora Castro denunció a Interseguro y a Interbank por presuntas infracciones a la Ley N°29571, Código de Protección y Defensa del Consumidor (en adelante, Código)</w:t>
      </w:r>
      <w:r w:rsidRPr="00312271">
        <w:rPr>
          <w:color w:val="auto"/>
          <w:vertAlign w:val="superscript"/>
          <w:lang w:val="es-ES"/>
        </w:rPr>
        <w:footnoteReference w:id="3"/>
      </w:r>
      <w:r w:rsidRPr="00312271">
        <w:rPr>
          <w:color w:val="auto"/>
        </w:rPr>
        <w:t>, señalando lo siguiente:</w:t>
      </w:r>
    </w:p>
    <w:p w14:paraId="76E55306" w14:textId="77777777" w:rsidR="005708FF" w:rsidRPr="00312271" w:rsidRDefault="005708FF" w:rsidP="00390054">
      <w:pPr>
        <w:pStyle w:val="Prrafodelista"/>
        <w:spacing w:line="240" w:lineRule="auto"/>
        <w:ind w:left="567"/>
        <w:rPr>
          <w:color w:val="auto"/>
        </w:rPr>
      </w:pPr>
    </w:p>
    <w:p w14:paraId="56AEF88D" w14:textId="77777777" w:rsidR="005708FF" w:rsidRPr="00312271" w:rsidRDefault="005708FF" w:rsidP="000B4039">
      <w:pPr>
        <w:pStyle w:val="Prrafodelista"/>
        <w:numPr>
          <w:ilvl w:val="0"/>
          <w:numId w:val="3"/>
        </w:numPr>
        <w:spacing w:line="240" w:lineRule="auto"/>
        <w:ind w:left="1134" w:hanging="567"/>
        <w:jc w:val="both"/>
        <w:rPr>
          <w:color w:val="auto"/>
        </w:rPr>
      </w:pPr>
      <w:r w:rsidRPr="00312271">
        <w:rPr>
          <w:color w:val="auto"/>
        </w:rPr>
        <w:t xml:space="preserve">El 29 de noviembre de 2023, contrato con Interseguro el Seguro de Desgravamen Individual – Póliza </w:t>
      </w:r>
      <w:proofErr w:type="spellStart"/>
      <w:r w:rsidRPr="00312271">
        <w:rPr>
          <w:color w:val="auto"/>
        </w:rPr>
        <w:t>N°</w:t>
      </w:r>
      <w:proofErr w:type="spellEnd"/>
      <w:r w:rsidRPr="00312271">
        <w:rPr>
          <w:color w:val="auto"/>
        </w:rPr>
        <w:t xml:space="preserve"> 1170103-01264341 (en adelante, Seguro de Desgravamen) a fin de asegurar los siguientes productos contratados con Interbank: a) Crédito efectivo </w:t>
      </w:r>
      <w:proofErr w:type="spellStart"/>
      <w:r w:rsidRPr="00312271">
        <w:rPr>
          <w:color w:val="auto"/>
        </w:rPr>
        <w:t>N°</w:t>
      </w:r>
      <w:proofErr w:type="spellEnd"/>
      <w:r w:rsidRPr="00312271">
        <w:rPr>
          <w:color w:val="auto"/>
        </w:rPr>
        <w:t xml:space="preserve"> 1264341 y Tarjeta de Crédito </w:t>
      </w:r>
      <w:proofErr w:type="spellStart"/>
      <w:r w:rsidRPr="00312271">
        <w:rPr>
          <w:color w:val="auto"/>
        </w:rPr>
        <w:t>N°</w:t>
      </w:r>
      <w:proofErr w:type="spellEnd"/>
      <w:r w:rsidRPr="00312271">
        <w:rPr>
          <w:color w:val="auto"/>
        </w:rPr>
        <w:t xml:space="preserve"> 9302186-1.</w:t>
      </w:r>
    </w:p>
    <w:p w14:paraId="11821E4E" w14:textId="77777777" w:rsidR="005708FF" w:rsidRPr="00312271" w:rsidRDefault="005708FF" w:rsidP="00390054">
      <w:pPr>
        <w:pStyle w:val="Prrafodelista"/>
        <w:spacing w:line="240" w:lineRule="auto"/>
        <w:ind w:left="1134"/>
        <w:rPr>
          <w:color w:val="auto"/>
        </w:rPr>
      </w:pPr>
    </w:p>
    <w:p w14:paraId="47D14B16" w14:textId="77777777" w:rsidR="005708FF" w:rsidRPr="00312271" w:rsidRDefault="005708FF" w:rsidP="000B4039">
      <w:pPr>
        <w:pStyle w:val="Prrafodelista"/>
        <w:numPr>
          <w:ilvl w:val="0"/>
          <w:numId w:val="3"/>
        </w:numPr>
        <w:spacing w:line="240" w:lineRule="auto"/>
        <w:ind w:left="1134" w:hanging="567"/>
        <w:jc w:val="both"/>
        <w:rPr>
          <w:color w:val="auto"/>
        </w:rPr>
      </w:pPr>
      <w:r w:rsidRPr="00312271">
        <w:rPr>
          <w:color w:val="auto"/>
        </w:rPr>
        <w:t>El 9 de abril de 2024, solicitó a Interseguro se le otorgue la cobertura de invalidez total y permanente del Seguro de Desgravamen a favor de los productos que contrajo con Interbank, toda vez que el Comité Médico de las AFP (en adelante, COMAFP) determinó que tiene un porcentaje de invalidez del 96.50%.</w:t>
      </w:r>
    </w:p>
    <w:p w14:paraId="433A6009" w14:textId="77777777" w:rsidR="005708FF" w:rsidRPr="00312271" w:rsidRDefault="005708FF" w:rsidP="00390054">
      <w:pPr>
        <w:pStyle w:val="Prrafodelista"/>
        <w:spacing w:line="240" w:lineRule="auto"/>
        <w:ind w:left="1134"/>
        <w:rPr>
          <w:color w:val="auto"/>
        </w:rPr>
      </w:pPr>
    </w:p>
    <w:p w14:paraId="31831954" w14:textId="77777777" w:rsidR="005708FF" w:rsidRPr="00312271" w:rsidRDefault="005708FF" w:rsidP="000B4039">
      <w:pPr>
        <w:pStyle w:val="Prrafodelista"/>
        <w:numPr>
          <w:ilvl w:val="0"/>
          <w:numId w:val="3"/>
        </w:numPr>
        <w:spacing w:line="240" w:lineRule="auto"/>
        <w:ind w:left="1134" w:hanging="567"/>
        <w:jc w:val="both"/>
        <w:rPr>
          <w:color w:val="auto"/>
        </w:rPr>
      </w:pPr>
      <w:r w:rsidRPr="00312271">
        <w:rPr>
          <w:color w:val="auto"/>
        </w:rPr>
        <w:t>El 22 de abril de 2024, mediante la Carta GOT-SIN-9089-2024, Interseguro le comunicó su rechazo a la solicitud de otorgamiento de la cobertura del Seguro de Desgravamen en atención a lo siguiente:</w:t>
      </w:r>
    </w:p>
    <w:p w14:paraId="0D6F801D" w14:textId="77777777" w:rsidR="005708FF" w:rsidRPr="00312271" w:rsidRDefault="005708FF" w:rsidP="00390054">
      <w:pPr>
        <w:pStyle w:val="Prrafodelista"/>
        <w:spacing w:line="240" w:lineRule="auto"/>
        <w:ind w:left="1134"/>
        <w:rPr>
          <w:color w:val="auto"/>
        </w:rPr>
      </w:pPr>
    </w:p>
    <w:p w14:paraId="09928EC9" w14:textId="77777777" w:rsidR="005708FF" w:rsidRPr="00312271" w:rsidRDefault="005708FF" w:rsidP="000B4039">
      <w:pPr>
        <w:pStyle w:val="Prrafodelista"/>
        <w:numPr>
          <w:ilvl w:val="0"/>
          <w:numId w:val="10"/>
        </w:numPr>
        <w:spacing w:line="240" w:lineRule="auto"/>
        <w:jc w:val="both"/>
        <w:rPr>
          <w:color w:val="auto"/>
        </w:rPr>
      </w:pPr>
      <w:r w:rsidRPr="00312271">
        <w:rPr>
          <w:color w:val="auto"/>
        </w:rPr>
        <w:t>En el historial médico figura que se le diagnosticó glaucoma desde hace diez (10) años, por lo que se acredita que al momento de la contratación del Seguro de Desgravamen ya tenía conocimiento de la enfermedad que le generó la invalidez.</w:t>
      </w:r>
    </w:p>
    <w:p w14:paraId="567C7BFA" w14:textId="77777777" w:rsidR="005708FF" w:rsidRPr="00312271" w:rsidRDefault="005708FF" w:rsidP="000B4039">
      <w:pPr>
        <w:pStyle w:val="Prrafodelista"/>
        <w:numPr>
          <w:ilvl w:val="0"/>
          <w:numId w:val="10"/>
        </w:numPr>
        <w:spacing w:line="240" w:lineRule="auto"/>
        <w:jc w:val="both"/>
        <w:rPr>
          <w:color w:val="auto"/>
        </w:rPr>
      </w:pPr>
      <w:r w:rsidRPr="00312271">
        <w:rPr>
          <w:color w:val="auto"/>
        </w:rPr>
        <w:t>Por tratarse de una circunstancia preexistente a la fecha de celebración del contrato del Seguro de Desgravamen, se configura un supuesto de exclusión previsto en las condiciones de dicho producto.</w:t>
      </w:r>
    </w:p>
    <w:p w14:paraId="00AD0030" w14:textId="77777777" w:rsidR="005708FF" w:rsidRPr="00312271" w:rsidRDefault="005708FF" w:rsidP="00390054">
      <w:pPr>
        <w:pStyle w:val="Prrafodelista"/>
        <w:spacing w:line="240" w:lineRule="auto"/>
        <w:ind w:left="1134"/>
        <w:rPr>
          <w:color w:val="auto"/>
        </w:rPr>
      </w:pPr>
    </w:p>
    <w:p w14:paraId="07ECE72A" w14:textId="77777777" w:rsidR="005708FF" w:rsidRPr="00312271" w:rsidRDefault="005708FF" w:rsidP="000B4039">
      <w:pPr>
        <w:pStyle w:val="Prrafodelista"/>
        <w:numPr>
          <w:ilvl w:val="0"/>
          <w:numId w:val="3"/>
        </w:numPr>
        <w:spacing w:line="240" w:lineRule="auto"/>
        <w:ind w:left="1134" w:hanging="567"/>
        <w:jc w:val="both"/>
        <w:rPr>
          <w:color w:val="auto"/>
        </w:rPr>
      </w:pPr>
      <w:r w:rsidRPr="00312271">
        <w:rPr>
          <w:color w:val="auto"/>
        </w:rPr>
        <w:t>El 24 de junio de 2024, solicitó a Interseguro la reconsideración de su solicitud, en la medida que su invalidez no fue solo a causa del glaucoma, sino a otros trastornos.</w:t>
      </w:r>
    </w:p>
    <w:p w14:paraId="266CF2CE" w14:textId="77777777" w:rsidR="005708FF" w:rsidRPr="00312271" w:rsidRDefault="005708FF" w:rsidP="00390054">
      <w:pPr>
        <w:pStyle w:val="Prrafodelista"/>
        <w:spacing w:line="240" w:lineRule="auto"/>
        <w:ind w:left="1134"/>
        <w:rPr>
          <w:color w:val="auto"/>
        </w:rPr>
      </w:pPr>
    </w:p>
    <w:p w14:paraId="3CAB7ED3" w14:textId="34DB9675" w:rsidR="005708FF" w:rsidRPr="00312271" w:rsidRDefault="005708FF" w:rsidP="000B4039">
      <w:pPr>
        <w:pStyle w:val="Prrafodelista"/>
        <w:numPr>
          <w:ilvl w:val="0"/>
          <w:numId w:val="3"/>
        </w:numPr>
        <w:spacing w:line="240" w:lineRule="auto"/>
        <w:ind w:left="1134" w:hanging="567"/>
        <w:jc w:val="both"/>
        <w:rPr>
          <w:color w:val="auto"/>
        </w:rPr>
      </w:pPr>
      <w:r w:rsidRPr="00312271">
        <w:rPr>
          <w:color w:val="auto"/>
        </w:rPr>
        <w:t>El 25 de junio de 2024, mediante Carta GOT-SIN-11134-2024, Interseguro atendió la solicitud de reconsideración presentada por la señora Castro, ratificando el rechazo a la activación de la cobertura del Seguro de Desgravamen.</w:t>
      </w:r>
    </w:p>
    <w:p w14:paraId="1A2D2668" w14:textId="77777777" w:rsidR="005708FF" w:rsidRPr="00312271" w:rsidRDefault="005708FF" w:rsidP="00390054">
      <w:pPr>
        <w:pStyle w:val="Prrafodelista"/>
        <w:spacing w:line="240" w:lineRule="auto"/>
        <w:ind w:left="567"/>
        <w:rPr>
          <w:color w:val="auto"/>
        </w:rPr>
      </w:pPr>
    </w:p>
    <w:p w14:paraId="512712FC" w14:textId="77777777" w:rsidR="005708FF" w:rsidRPr="00312271" w:rsidRDefault="005708FF" w:rsidP="000B4039">
      <w:pPr>
        <w:pStyle w:val="Prrafodelista"/>
        <w:numPr>
          <w:ilvl w:val="0"/>
          <w:numId w:val="2"/>
        </w:numPr>
        <w:spacing w:line="240" w:lineRule="auto"/>
        <w:ind w:left="567" w:hanging="567"/>
        <w:jc w:val="both"/>
        <w:rPr>
          <w:color w:val="auto"/>
        </w:rPr>
      </w:pPr>
      <w:r w:rsidRPr="00312271">
        <w:rPr>
          <w:color w:val="auto"/>
        </w:rPr>
        <w:t>La señora Castro solicitó, en calidad de medida correctiva, que Interseguro cumpla con otorgar la cobertura del Seguro de Desgravamen por invalidez total y permanente que padece, a favor de Interbank. Asimismo, no requirió de forma expresa el reembolso de costos y costas del presente procedimiento.</w:t>
      </w:r>
    </w:p>
    <w:p w14:paraId="63103805" w14:textId="77777777" w:rsidR="005708FF" w:rsidRPr="00312271" w:rsidRDefault="005708FF" w:rsidP="00390054">
      <w:pPr>
        <w:pStyle w:val="Prrafodelista"/>
        <w:spacing w:line="240" w:lineRule="auto"/>
        <w:ind w:left="567"/>
        <w:rPr>
          <w:color w:val="auto"/>
        </w:rPr>
      </w:pPr>
    </w:p>
    <w:p w14:paraId="0041F5EE" w14:textId="5218BC55" w:rsidR="005708FF" w:rsidRPr="00312271" w:rsidRDefault="005708FF" w:rsidP="000B4039">
      <w:pPr>
        <w:pStyle w:val="Prrafodelista"/>
        <w:numPr>
          <w:ilvl w:val="0"/>
          <w:numId w:val="2"/>
        </w:numPr>
        <w:spacing w:line="240" w:lineRule="auto"/>
        <w:ind w:left="567" w:hanging="567"/>
        <w:jc w:val="both"/>
        <w:rPr>
          <w:rFonts w:eastAsia="Times New Roman"/>
          <w:color w:val="auto"/>
          <w:lang w:val="es-ES" w:eastAsia="es-ES"/>
        </w:rPr>
      </w:pPr>
      <w:r w:rsidRPr="00312271">
        <w:rPr>
          <w:rFonts w:eastAsia="Times New Roman"/>
          <w:color w:val="auto"/>
          <w:lang w:eastAsia="es-ES"/>
        </w:rPr>
        <w:t xml:space="preserve">Por Resolución </w:t>
      </w:r>
      <w:proofErr w:type="spellStart"/>
      <w:r w:rsidRPr="00312271">
        <w:rPr>
          <w:rFonts w:eastAsia="Times New Roman"/>
          <w:color w:val="auto"/>
          <w:lang w:eastAsia="es-ES"/>
        </w:rPr>
        <w:t>Nº</w:t>
      </w:r>
      <w:proofErr w:type="spellEnd"/>
      <w:r w:rsidRPr="00312271">
        <w:rPr>
          <w:rFonts w:eastAsia="Times New Roman"/>
          <w:color w:val="auto"/>
          <w:lang w:eastAsia="es-ES"/>
        </w:rPr>
        <w:t xml:space="preserve"> 1 del 7 de marzo de 2025, la Secretaría Técnica</w:t>
      </w:r>
      <w:r w:rsidR="00EA56C2" w:rsidRPr="00312271">
        <w:rPr>
          <w:rFonts w:eastAsia="Times New Roman"/>
          <w:color w:val="auto"/>
          <w:lang w:eastAsia="es-ES"/>
        </w:rPr>
        <w:t xml:space="preserve"> de la Comisión de Protección al Consumidor </w:t>
      </w:r>
      <w:proofErr w:type="spellStart"/>
      <w:r w:rsidR="00EA56C2" w:rsidRPr="00312271">
        <w:rPr>
          <w:rFonts w:eastAsia="Times New Roman"/>
          <w:color w:val="auto"/>
          <w:lang w:eastAsia="es-ES"/>
        </w:rPr>
        <w:t>N°</w:t>
      </w:r>
      <w:proofErr w:type="spellEnd"/>
      <w:r w:rsidR="00EA56C2" w:rsidRPr="00312271">
        <w:rPr>
          <w:rFonts w:eastAsia="Times New Roman"/>
          <w:color w:val="auto"/>
          <w:lang w:eastAsia="es-ES"/>
        </w:rPr>
        <w:t xml:space="preserve"> 1 (en adelante, Secretaría Técnica)</w:t>
      </w:r>
      <w:r w:rsidRPr="00312271">
        <w:rPr>
          <w:rFonts w:eastAsia="Times New Roman"/>
          <w:color w:val="auto"/>
          <w:lang w:eastAsia="es-ES"/>
        </w:rPr>
        <w:t xml:space="preserve"> admitió a trámite la denuncia interpuesta por la señora Castro contra Interseguro e Interbank, formulando la imputación de cargos siguiente</w:t>
      </w:r>
      <w:bookmarkEnd w:id="0"/>
      <w:r w:rsidRPr="00312271">
        <w:rPr>
          <w:rFonts w:eastAsia="Times New Roman"/>
          <w:color w:val="auto"/>
          <w:lang w:eastAsia="es-ES"/>
        </w:rPr>
        <w:t>:</w:t>
      </w:r>
    </w:p>
    <w:p w14:paraId="7D846454" w14:textId="77777777" w:rsidR="005708FF" w:rsidRPr="00312271" w:rsidRDefault="005708FF" w:rsidP="00390054">
      <w:pPr>
        <w:spacing w:after="0" w:line="240" w:lineRule="auto"/>
        <w:ind w:left="1134"/>
        <w:contextualSpacing/>
        <w:rPr>
          <w:rFonts w:ascii="Arial" w:eastAsia="Arial Narrow" w:hAnsi="Arial" w:cs="Arial"/>
          <w:bCs/>
          <w:i/>
          <w:iCs/>
          <w:color w:val="auto"/>
        </w:rPr>
      </w:pPr>
    </w:p>
    <w:p w14:paraId="5B09E58C" w14:textId="77777777" w:rsidR="005708FF" w:rsidRPr="00312271" w:rsidRDefault="005708FF" w:rsidP="00390054">
      <w:pPr>
        <w:spacing w:after="0" w:line="240" w:lineRule="auto"/>
        <w:ind w:left="1134"/>
        <w:contextualSpacing/>
        <w:rPr>
          <w:rFonts w:ascii="Arial" w:eastAsia="Arial Narrow" w:hAnsi="Arial" w:cs="Arial"/>
          <w:bCs/>
          <w:i/>
          <w:iCs/>
          <w:color w:val="auto"/>
          <w:sz w:val="20"/>
          <w:szCs w:val="20"/>
        </w:rPr>
      </w:pPr>
      <w:r w:rsidRPr="00312271">
        <w:rPr>
          <w:rFonts w:ascii="Arial" w:eastAsia="Arial Narrow" w:hAnsi="Arial" w:cs="Arial"/>
          <w:bCs/>
          <w:i/>
          <w:iCs/>
          <w:color w:val="auto"/>
          <w:sz w:val="20"/>
          <w:szCs w:val="20"/>
        </w:rPr>
        <w:t>“(…)</w:t>
      </w:r>
    </w:p>
    <w:p w14:paraId="25B81DD4" w14:textId="77777777" w:rsidR="005708FF" w:rsidRPr="00312271" w:rsidRDefault="005708FF" w:rsidP="00390054">
      <w:pPr>
        <w:spacing w:after="0" w:line="240" w:lineRule="auto"/>
        <w:ind w:left="1134"/>
        <w:contextualSpacing/>
        <w:jc w:val="both"/>
        <w:rPr>
          <w:rFonts w:ascii="Arial" w:hAnsi="Arial" w:cs="Arial"/>
          <w:i/>
          <w:iCs/>
          <w:color w:val="auto"/>
          <w:sz w:val="20"/>
          <w:szCs w:val="20"/>
        </w:rPr>
      </w:pPr>
      <w:r w:rsidRPr="00312271">
        <w:rPr>
          <w:rFonts w:ascii="Arial" w:hAnsi="Arial" w:cs="Arial"/>
          <w:b/>
          <w:i/>
          <w:iCs/>
          <w:color w:val="auto"/>
          <w:sz w:val="20"/>
          <w:szCs w:val="20"/>
        </w:rPr>
        <w:t>PRIMERO:</w:t>
      </w:r>
      <w:r w:rsidRPr="00312271">
        <w:rPr>
          <w:rFonts w:ascii="Arial" w:hAnsi="Arial" w:cs="Arial"/>
          <w:i/>
          <w:iCs/>
          <w:color w:val="auto"/>
          <w:sz w:val="20"/>
          <w:szCs w:val="20"/>
        </w:rPr>
        <w:t xml:space="preserve"> admitir a trámite la denuncia del 3 de enero de 2025 interpuesta por la señora Nancy Dionelly Castro Urrunaga contra Interseguro Compañía de Seguros S.A. y el Banco Internacional del Perú S.A. - Interbank, por la presunta infracción a los artículos 18° y 19° de la Ley 29571, Código de Protección y Defensa del Consumidor, en tanto los proveedores denunciados se habrían negado injustificadamente a otorgar a la denunciante la cobertura de la Póliza del Seguro de Desgravamen por invalidez total y permanente con menoscabo de 96.50% que padece.</w:t>
      </w:r>
    </w:p>
    <w:p w14:paraId="235D0C0F" w14:textId="77777777" w:rsidR="005708FF" w:rsidRPr="00312271" w:rsidRDefault="005708FF" w:rsidP="00390054">
      <w:pPr>
        <w:pStyle w:val="Prrafodelista"/>
        <w:spacing w:line="240" w:lineRule="auto"/>
        <w:ind w:left="1134"/>
        <w:rPr>
          <w:i/>
          <w:iCs/>
          <w:color w:val="auto"/>
          <w:sz w:val="20"/>
          <w:szCs w:val="20"/>
          <w:lang w:val="es-ES"/>
        </w:rPr>
      </w:pPr>
      <w:r w:rsidRPr="00312271">
        <w:rPr>
          <w:i/>
          <w:iCs/>
          <w:color w:val="auto"/>
          <w:sz w:val="20"/>
          <w:szCs w:val="20"/>
        </w:rPr>
        <w:t>(…)”.</w:t>
      </w:r>
    </w:p>
    <w:p w14:paraId="43A45E36" w14:textId="77777777" w:rsidR="005708FF" w:rsidRPr="00312271" w:rsidRDefault="005708FF" w:rsidP="00390054">
      <w:pPr>
        <w:pStyle w:val="Prrafodelista"/>
        <w:spacing w:line="240" w:lineRule="auto"/>
        <w:ind w:left="567"/>
        <w:rPr>
          <w:rFonts w:eastAsiaTheme="minorEastAsia"/>
          <w:color w:val="auto"/>
        </w:rPr>
      </w:pPr>
    </w:p>
    <w:p w14:paraId="13BF1164" w14:textId="663E21B0" w:rsidR="005708FF" w:rsidRPr="00312271" w:rsidRDefault="005708FF" w:rsidP="000B4039">
      <w:pPr>
        <w:pStyle w:val="Prrafodelista"/>
        <w:numPr>
          <w:ilvl w:val="0"/>
          <w:numId w:val="2"/>
        </w:numPr>
        <w:spacing w:line="240" w:lineRule="auto"/>
        <w:ind w:left="567" w:hanging="567"/>
        <w:jc w:val="both"/>
        <w:rPr>
          <w:rFonts w:eastAsiaTheme="minorEastAsia"/>
          <w:color w:val="auto"/>
        </w:rPr>
      </w:pPr>
      <w:r w:rsidRPr="00312271">
        <w:rPr>
          <w:rFonts w:eastAsiaTheme="minorEastAsia"/>
          <w:color w:val="auto"/>
        </w:rPr>
        <w:t xml:space="preserve">El 9 de setiembre de 2025, Interbank presentó sus descargos, señalando que debía declararse la improcedencia de la denuncia por falta de legitimidad para obrar pasiva, en la medida que </w:t>
      </w:r>
      <w:r w:rsidR="00322D40" w:rsidRPr="00312271">
        <w:rPr>
          <w:rFonts w:eastAsiaTheme="minorEastAsia"/>
          <w:color w:val="auto"/>
        </w:rPr>
        <w:t>de acuerdo con el</w:t>
      </w:r>
      <w:r w:rsidRPr="00312271">
        <w:rPr>
          <w:rFonts w:eastAsiaTheme="minorEastAsia"/>
          <w:color w:val="auto"/>
        </w:rPr>
        <w:t xml:space="preserve"> contrato de Seguro de Desgravamen correspondía a Interseguro, y no a la entidad bancaria, la decisión respecto a si otorgar a la señora Castro la cobertura del mencionado seguro.</w:t>
      </w:r>
    </w:p>
    <w:p w14:paraId="240ADFA7" w14:textId="77777777" w:rsidR="005708FF" w:rsidRPr="00312271" w:rsidRDefault="005708FF" w:rsidP="00390054">
      <w:pPr>
        <w:pStyle w:val="Prrafodelista"/>
        <w:spacing w:line="240" w:lineRule="auto"/>
        <w:ind w:left="567"/>
        <w:rPr>
          <w:rFonts w:eastAsiaTheme="minorEastAsia"/>
          <w:color w:val="auto"/>
        </w:rPr>
      </w:pPr>
    </w:p>
    <w:p w14:paraId="5032D798" w14:textId="77777777" w:rsidR="005708FF" w:rsidRPr="00312271" w:rsidRDefault="005708FF" w:rsidP="000B4039">
      <w:pPr>
        <w:pStyle w:val="Prrafodelista"/>
        <w:numPr>
          <w:ilvl w:val="0"/>
          <w:numId w:val="2"/>
        </w:numPr>
        <w:spacing w:line="240" w:lineRule="auto"/>
        <w:ind w:left="567" w:hanging="567"/>
        <w:jc w:val="both"/>
        <w:rPr>
          <w:rFonts w:eastAsiaTheme="minorEastAsia"/>
          <w:color w:val="auto"/>
        </w:rPr>
      </w:pPr>
      <w:r w:rsidRPr="00312271">
        <w:rPr>
          <w:rFonts w:eastAsiaTheme="minorEastAsia"/>
          <w:color w:val="auto"/>
        </w:rPr>
        <w:t>En esa fecha, Interseguro presentó sus descargos, señalando lo siguiente:</w:t>
      </w:r>
    </w:p>
    <w:p w14:paraId="4985B876" w14:textId="77777777" w:rsidR="005708FF" w:rsidRPr="00312271" w:rsidRDefault="005708FF" w:rsidP="00390054">
      <w:pPr>
        <w:pStyle w:val="Prrafodelista"/>
        <w:spacing w:line="240" w:lineRule="auto"/>
        <w:ind w:left="567"/>
        <w:rPr>
          <w:rFonts w:eastAsiaTheme="minorEastAsia"/>
          <w:color w:val="auto"/>
        </w:rPr>
      </w:pPr>
    </w:p>
    <w:p w14:paraId="2A026355" w14:textId="77777777" w:rsidR="005708FF" w:rsidRPr="00312271" w:rsidRDefault="005708FF" w:rsidP="000B4039">
      <w:pPr>
        <w:pStyle w:val="Prrafodelista"/>
        <w:numPr>
          <w:ilvl w:val="0"/>
          <w:numId w:val="8"/>
        </w:numPr>
        <w:spacing w:line="240" w:lineRule="auto"/>
        <w:ind w:left="1134" w:hanging="567"/>
        <w:jc w:val="both"/>
        <w:rPr>
          <w:rFonts w:eastAsiaTheme="minorEastAsia"/>
          <w:color w:val="auto"/>
        </w:rPr>
      </w:pPr>
      <w:r w:rsidRPr="00312271">
        <w:rPr>
          <w:rFonts w:eastAsiaTheme="minorEastAsia"/>
          <w:color w:val="auto"/>
        </w:rPr>
        <w:t xml:space="preserve">La señora Castro contrató el Seguro de Desgravamen el 31 de octubre de 2023, y la póliza respectiva le fue enviada a través de un correo electrónico el 1 de </w:t>
      </w:r>
      <w:r w:rsidRPr="00312271">
        <w:rPr>
          <w:rFonts w:eastAsiaTheme="minorEastAsia"/>
          <w:color w:val="auto"/>
        </w:rPr>
        <w:lastRenderedPageBreak/>
        <w:t>diciembre de 2023. Asimismo, cabe destacar que la solicitud de cobertura fue presentada por la denunciante el 9 de abril de 2024.</w:t>
      </w:r>
    </w:p>
    <w:p w14:paraId="38A96CE6" w14:textId="77777777" w:rsidR="005708FF" w:rsidRPr="00312271" w:rsidRDefault="005708FF" w:rsidP="00390054">
      <w:pPr>
        <w:pStyle w:val="Prrafodelista"/>
        <w:spacing w:line="240" w:lineRule="auto"/>
        <w:ind w:left="1134"/>
        <w:rPr>
          <w:rFonts w:eastAsiaTheme="minorEastAsia"/>
          <w:color w:val="auto"/>
        </w:rPr>
      </w:pPr>
    </w:p>
    <w:p w14:paraId="56C39629" w14:textId="77777777" w:rsidR="005708FF" w:rsidRPr="00312271" w:rsidRDefault="005708FF" w:rsidP="000B4039">
      <w:pPr>
        <w:pStyle w:val="Prrafodelista"/>
        <w:numPr>
          <w:ilvl w:val="0"/>
          <w:numId w:val="8"/>
        </w:numPr>
        <w:spacing w:line="240" w:lineRule="auto"/>
        <w:ind w:left="1134" w:hanging="567"/>
        <w:jc w:val="both"/>
        <w:rPr>
          <w:rFonts w:eastAsiaTheme="minorEastAsia"/>
          <w:color w:val="auto"/>
        </w:rPr>
      </w:pPr>
      <w:r w:rsidRPr="00312271">
        <w:rPr>
          <w:color w:val="auto"/>
        </w:rPr>
        <w:t>El rechazo a la solicitud de cobertura del Seguro de Desgravamen se encontró justificado, al haberse verificado que la causal de invalidez tendría como antecedente una enfermedad preexistente, es decir, diagnosticada antes de la contratación del mencionado seguro</w:t>
      </w:r>
      <w:r w:rsidRPr="00312271">
        <w:rPr>
          <w:rFonts w:eastAsiaTheme="minorEastAsia"/>
          <w:color w:val="auto"/>
        </w:rPr>
        <w:t>. Ello, conforme a lo establecido en el artículo 6° de las Condiciones Generales de la póliza.</w:t>
      </w:r>
    </w:p>
    <w:p w14:paraId="28647E3C" w14:textId="77777777" w:rsidR="005708FF" w:rsidRPr="00312271" w:rsidRDefault="005708FF" w:rsidP="00390054">
      <w:pPr>
        <w:pStyle w:val="Prrafodelista"/>
        <w:spacing w:line="240" w:lineRule="auto"/>
        <w:ind w:left="1134"/>
        <w:rPr>
          <w:rFonts w:eastAsiaTheme="minorEastAsia"/>
          <w:color w:val="auto"/>
        </w:rPr>
      </w:pPr>
    </w:p>
    <w:p w14:paraId="324B8762" w14:textId="77777777" w:rsidR="005708FF" w:rsidRPr="00312271" w:rsidRDefault="005708FF" w:rsidP="000B4039">
      <w:pPr>
        <w:pStyle w:val="Prrafodelista"/>
        <w:numPr>
          <w:ilvl w:val="0"/>
          <w:numId w:val="8"/>
        </w:numPr>
        <w:spacing w:line="240" w:lineRule="auto"/>
        <w:ind w:left="1134" w:hanging="567"/>
        <w:jc w:val="both"/>
        <w:rPr>
          <w:rFonts w:eastAsiaTheme="minorEastAsia"/>
          <w:color w:val="auto"/>
        </w:rPr>
      </w:pPr>
      <w:r w:rsidRPr="00312271">
        <w:rPr>
          <w:rFonts w:eastAsiaTheme="minorEastAsia"/>
          <w:color w:val="auto"/>
        </w:rPr>
        <w:t>Mediante la Carta GOT-SIN- 9089-2024 del 22 de abril de 2024, se le informó a la señora Castro del rechazo a su solicitud de cobertura. No obstante, el 24 de junio de 2024, la denunciante presentó una nueva comunicación solicitando que su caso sea reconsidero, que fue respondido mediante la Carta GOT-SIN-11134-2024 del 25 de junio del 2024, en la cual se ratificó el rechazo a la solicitud de cobertura.</w:t>
      </w:r>
    </w:p>
    <w:p w14:paraId="16958E4D" w14:textId="77777777" w:rsidR="005708FF" w:rsidRPr="00312271" w:rsidRDefault="005708FF" w:rsidP="00390054">
      <w:pPr>
        <w:pStyle w:val="Prrafodelista"/>
        <w:spacing w:line="240" w:lineRule="auto"/>
        <w:ind w:left="1134"/>
        <w:rPr>
          <w:rFonts w:eastAsiaTheme="minorEastAsia"/>
          <w:color w:val="auto"/>
        </w:rPr>
      </w:pPr>
    </w:p>
    <w:p w14:paraId="0280CF55" w14:textId="77777777" w:rsidR="005708FF" w:rsidRPr="00312271" w:rsidRDefault="005708FF" w:rsidP="000B4039">
      <w:pPr>
        <w:pStyle w:val="Prrafodelista"/>
        <w:numPr>
          <w:ilvl w:val="0"/>
          <w:numId w:val="8"/>
        </w:numPr>
        <w:spacing w:line="240" w:lineRule="auto"/>
        <w:ind w:left="1134" w:hanging="567"/>
        <w:jc w:val="both"/>
        <w:rPr>
          <w:rFonts w:eastAsiaTheme="minorEastAsia"/>
          <w:color w:val="auto"/>
        </w:rPr>
      </w:pPr>
      <w:r w:rsidRPr="00312271">
        <w:rPr>
          <w:rFonts w:eastAsiaTheme="minorEastAsia"/>
          <w:color w:val="auto"/>
        </w:rPr>
        <w:t>En el dictamen emitido por la COMAFP, se identificó que la invalidez de la señora Castro se encuentra vinculada a una enfermedad preexistente a la contratación de la póliza, conforme a lo siguiente:</w:t>
      </w:r>
    </w:p>
    <w:p w14:paraId="229E9B90" w14:textId="77777777" w:rsidR="005708FF" w:rsidRPr="00312271" w:rsidRDefault="005708FF" w:rsidP="00390054">
      <w:pPr>
        <w:pStyle w:val="Prrafodelista"/>
        <w:spacing w:line="240" w:lineRule="auto"/>
        <w:ind w:left="1134"/>
        <w:rPr>
          <w:rFonts w:eastAsiaTheme="minorEastAsia"/>
          <w:color w:val="auto"/>
        </w:rPr>
      </w:pPr>
      <w:bookmarkStart w:id="1" w:name="_Hlk201554932"/>
    </w:p>
    <w:p w14:paraId="39C2B92F" w14:textId="77777777" w:rsidR="005708FF" w:rsidRPr="00312271" w:rsidRDefault="005708FF" w:rsidP="000B4039">
      <w:pPr>
        <w:pStyle w:val="Prrafodelista"/>
        <w:numPr>
          <w:ilvl w:val="0"/>
          <w:numId w:val="9"/>
        </w:numPr>
        <w:spacing w:line="240" w:lineRule="auto"/>
        <w:ind w:left="1701" w:hanging="567"/>
        <w:jc w:val="both"/>
        <w:rPr>
          <w:rFonts w:eastAsiaTheme="minorEastAsia"/>
          <w:color w:val="auto"/>
        </w:rPr>
      </w:pPr>
      <w:bookmarkStart w:id="2" w:name="_Hlk197897798"/>
      <w:r w:rsidRPr="00312271">
        <w:rPr>
          <w:rFonts w:eastAsiaTheme="minorEastAsia"/>
          <w:color w:val="auto"/>
        </w:rPr>
        <w:t>La denunciante señaló que tenía un diagnóstico de glaucoma desde hace diez (10) años, y tomaba medicamentos para tratar esa enfermedad.</w:t>
      </w:r>
    </w:p>
    <w:p w14:paraId="7E4710B2" w14:textId="77777777" w:rsidR="005708FF" w:rsidRPr="00312271" w:rsidRDefault="005708FF" w:rsidP="000B4039">
      <w:pPr>
        <w:pStyle w:val="Prrafodelista"/>
        <w:numPr>
          <w:ilvl w:val="0"/>
          <w:numId w:val="9"/>
        </w:numPr>
        <w:spacing w:line="240" w:lineRule="auto"/>
        <w:ind w:left="1701" w:hanging="567"/>
        <w:jc w:val="both"/>
        <w:rPr>
          <w:rFonts w:eastAsiaTheme="minorEastAsia"/>
          <w:color w:val="auto"/>
        </w:rPr>
      </w:pPr>
      <w:r w:rsidRPr="00312271">
        <w:rPr>
          <w:rFonts w:eastAsiaTheme="minorEastAsia"/>
          <w:color w:val="auto"/>
        </w:rPr>
        <w:t>Se determinó que padecía de: a) ceguera del ojo izquierdo; b) glaucoma muy avanzado en ambos ojos; c) ametropía; y, d) presbicia.</w:t>
      </w:r>
    </w:p>
    <w:p w14:paraId="07586797" w14:textId="77777777" w:rsidR="005708FF" w:rsidRPr="00312271" w:rsidRDefault="005708FF" w:rsidP="000B4039">
      <w:pPr>
        <w:pStyle w:val="Prrafodelista"/>
        <w:numPr>
          <w:ilvl w:val="0"/>
          <w:numId w:val="9"/>
        </w:numPr>
        <w:spacing w:line="240" w:lineRule="auto"/>
        <w:ind w:left="1701" w:hanging="567"/>
        <w:jc w:val="both"/>
        <w:rPr>
          <w:rFonts w:eastAsiaTheme="minorEastAsia"/>
          <w:color w:val="auto"/>
        </w:rPr>
      </w:pPr>
      <w:r w:rsidRPr="00312271">
        <w:rPr>
          <w:rFonts w:eastAsiaTheme="minorEastAsia"/>
          <w:color w:val="auto"/>
        </w:rPr>
        <w:t xml:space="preserve">Se especificó que el porcentaje de menoscabo del 9.50% se encuentra concentrado en el código H53.4 (defectos en el campo visual), sin la presencia de combinaciones adicionales asociadas. </w:t>
      </w:r>
    </w:p>
    <w:bookmarkEnd w:id="1"/>
    <w:bookmarkEnd w:id="2"/>
    <w:p w14:paraId="658AC71F" w14:textId="77777777" w:rsidR="005708FF" w:rsidRPr="00312271" w:rsidRDefault="005708FF" w:rsidP="00390054">
      <w:pPr>
        <w:pStyle w:val="Prrafodelista"/>
        <w:spacing w:line="240" w:lineRule="auto"/>
        <w:ind w:left="1134"/>
        <w:rPr>
          <w:rFonts w:eastAsiaTheme="minorEastAsia"/>
          <w:color w:val="auto"/>
        </w:rPr>
      </w:pPr>
    </w:p>
    <w:p w14:paraId="1805E41B" w14:textId="77777777" w:rsidR="005708FF" w:rsidRPr="00312271" w:rsidRDefault="005708FF" w:rsidP="000B4039">
      <w:pPr>
        <w:pStyle w:val="Prrafodelista"/>
        <w:numPr>
          <w:ilvl w:val="0"/>
          <w:numId w:val="8"/>
        </w:numPr>
        <w:spacing w:line="240" w:lineRule="auto"/>
        <w:ind w:left="1134" w:hanging="567"/>
        <w:jc w:val="both"/>
        <w:rPr>
          <w:rFonts w:eastAsiaTheme="minorEastAsia"/>
          <w:color w:val="auto"/>
        </w:rPr>
      </w:pPr>
      <w:r w:rsidRPr="00312271">
        <w:rPr>
          <w:color w:val="auto"/>
        </w:rPr>
        <w:t>Por lo anterior, resulta innegable que la señora Castro tuvo conocimiento de su invalidez (o de las causas relacionadas a la misma) con anterioridad a la contratación de la póliza del Seguro de Desgravamen, que ocurrió el 28 de noviembre de 2023</w:t>
      </w:r>
      <w:r w:rsidRPr="00312271">
        <w:rPr>
          <w:rFonts w:eastAsiaTheme="minorEastAsia"/>
          <w:color w:val="auto"/>
        </w:rPr>
        <w:t>.</w:t>
      </w:r>
    </w:p>
    <w:p w14:paraId="73B0F905" w14:textId="77777777" w:rsidR="00AE6CF2" w:rsidRPr="00312271" w:rsidRDefault="00AE6CF2" w:rsidP="00390054">
      <w:pPr>
        <w:pStyle w:val="Prrafodelista"/>
        <w:spacing w:line="240" w:lineRule="auto"/>
        <w:ind w:left="567"/>
        <w:rPr>
          <w:rFonts w:eastAsia="Arial Narrow"/>
          <w:color w:val="auto"/>
        </w:rPr>
      </w:pPr>
    </w:p>
    <w:p w14:paraId="01B465DE" w14:textId="56A6FDFA" w:rsidR="004654D3" w:rsidRPr="00312271" w:rsidRDefault="00D91C63" w:rsidP="000B4039">
      <w:pPr>
        <w:pStyle w:val="Prrafodelista"/>
        <w:numPr>
          <w:ilvl w:val="0"/>
          <w:numId w:val="2"/>
        </w:numPr>
        <w:spacing w:line="240" w:lineRule="auto"/>
        <w:ind w:left="567" w:hanging="567"/>
        <w:jc w:val="both"/>
        <w:rPr>
          <w:color w:val="auto"/>
        </w:rPr>
      </w:pPr>
      <w:r w:rsidRPr="00312271">
        <w:rPr>
          <w:color w:val="auto"/>
        </w:rPr>
        <w:t xml:space="preserve">El </w:t>
      </w:r>
      <w:r w:rsidR="00EA56C2" w:rsidRPr="00312271">
        <w:rPr>
          <w:color w:val="auto"/>
        </w:rPr>
        <w:t>8</w:t>
      </w:r>
      <w:r w:rsidRPr="00312271">
        <w:rPr>
          <w:color w:val="auto"/>
        </w:rPr>
        <w:t xml:space="preserve"> de </w:t>
      </w:r>
      <w:r w:rsidR="00EA56C2" w:rsidRPr="00312271">
        <w:rPr>
          <w:color w:val="auto"/>
        </w:rPr>
        <w:t>setiembre</w:t>
      </w:r>
      <w:r w:rsidRPr="00312271">
        <w:rPr>
          <w:color w:val="auto"/>
        </w:rPr>
        <w:t xml:space="preserve"> de 202</w:t>
      </w:r>
      <w:r w:rsidR="00E67580" w:rsidRPr="00312271">
        <w:rPr>
          <w:color w:val="auto"/>
        </w:rPr>
        <w:t>5</w:t>
      </w:r>
      <w:r w:rsidRPr="00312271">
        <w:rPr>
          <w:color w:val="auto"/>
        </w:rPr>
        <w:t xml:space="preserve">, la Secretaría Técnica emitió el Informe Final de Instrucción </w:t>
      </w:r>
      <w:proofErr w:type="spellStart"/>
      <w:r w:rsidRPr="00312271">
        <w:rPr>
          <w:color w:val="auto"/>
        </w:rPr>
        <w:t>N°</w:t>
      </w:r>
      <w:proofErr w:type="spellEnd"/>
      <w:r w:rsidRPr="00312271">
        <w:rPr>
          <w:color w:val="auto"/>
        </w:rPr>
        <w:t> </w:t>
      </w:r>
      <w:r w:rsidR="00EA56C2" w:rsidRPr="00312271">
        <w:rPr>
          <w:color w:val="auto"/>
        </w:rPr>
        <w:t>1691</w:t>
      </w:r>
      <w:r w:rsidRPr="00312271">
        <w:rPr>
          <w:color w:val="auto"/>
        </w:rPr>
        <w:t>-</w:t>
      </w:r>
      <w:r w:rsidRPr="00312271">
        <w:rPr>
          <w:color w:val="auto"/>
          <w:lang w:eastAsia="zh-CN"/>
        </w:rPr>
        <w:t>202</w:t>
      </w:r>
      <w:r w:rsidR="00E67580" w:rsidRPr="00312271">
        <w:rPr>
          <w:color w:val="auto"/>
          <w:lang w:eastAsia="zh-CN"/>
        </w:rPr>
        <w:t>5</w:t>
      </w:r>
      <w:r w:rsidRPr="00312271">
        <w:rPr>
          <w:color w:val="auto"/>
        </w:rPr>
        <w:t>/CC1-ST, a través del cual recomendó</w:t>
      </w:r>
      <w:r w:rsidR="004654D3" w:rsidRPr="00312271">
        <w:rPr>
          <w:color w:val="auto"/>
        </w:rPr>
        <w:t xml:space="preserve"> </w:t>
      </w:r>
      <w:r w:rsidR="009C659E" w:rsidRPr="00312271">
        <w:rPr>
          <w:rFonts w:eastAsiaTheme="minorEastAsia"/>
          <w:color w:val="auto"/>
        </w:rPr>
        <w:t>lo siguiente:</w:t>
      </w:r>
    </w:p>
    <w:p w14:paraId="59E4D7E4" w14:textId="77777777" w:rsidR="009C659E" w:rsidRPr="00312271" w:rsidRDefault="009C659E" w:rsidP="00390054">
      <w:pPr>
        <w:pStyle w:val="Prrafodelista"/>
        <w:spacing w:line="240" w:lineRule="auto"/>
        <w:ind w:left="567"/>
        <w:jc w:val="both"/>
        <w:rPr>
          <w:rFonts w:eastAsiaTheme="minorEastAsia"/>
          <w:color w:val="auto"/>
        </w:rPr>
      </w:pPr>
    </w:p>
    <w:p w14:paraId="675FE79A" w14:textId="49B4C480" w:rsidR="009C659E" w:rsidRPr="00312271" w:rsidRDefault="009C659E" w:rsidP="000B4039">
      <w:pPr>
        <w:pStyle w:val="Prrafodelista"/>
        <w:numPr>
          <w:ilvl w:val="0"/>
          <w:numId w:val="7"/>
        </w:numPr>
        <w:spacing w:line="240" w:lineRule="auto"/>
        <w:ind w:left="1134" w:hanging="567"/>
        <w:jc w:val="both"/>
        <w:rPr>
          <w:color w:val="auto"/>
        </w:rPr>
      </w:pPr>
      <w:bookmarkStart w:id="3" w:name="_Hlk194298067"/>
      <w:r w:rsidRPr="00312271">
        <w:rPr>
          <w:bCs/>
          <w:color w:val="auto"/>
        </w:rPr>
        <w:t>Declarar</w:t>
      </w:r>
      <w:r w:rsidRPr="00312271">
        <w:rPr>
          <w:b/>
          <w:color w:val="auto"/>
        </w:rPr>
        <w:t xml:space="preserve"> </w:t>
      </w:r>
      <w:bookmarkEnd w:id="3"/>
      <w:r w:rsidR="00DD1007" w:rsidRPr="00312271">
        <w:rPr>
          <w:rFonts w:eastAsia="Times New Roman"/>
          <w:color w:val="auto"/>
          <w:lang w:eastAsia="es-ES"/>
        </w:rPr>
        <w:t xml:space="preserve">improcedente, </w:t>
      </w:r>
      <w:r w:rsidR="00DD1007" w:rsidRPr="00312271">
        <w:rPr>
          <w:rFonts w:eastAsia="Times New Roman"/>
          <w:bCs/>
          <w:color w:val="auto"/>
          <w:lang w:val="es-ES" w:eastAsia="es-ES"/>
        </w:rPr>
        <w:t>por falta de legitimidad para obrar pasiva</w:t>
      </w:r>
      <w:r w:rsidR="00DD1007" w:rsidRPr="00312271">
        <w:rPr>
          <w:rFonts w:eastAsia="Times New Roman"/>
          <w:color w:val="auto"/>
          <w:lang w:eastAsia="es-ES"/>
        </w:rPr>
        <w:t xml:space="preserve">, la denuncia interpuesta por </w:t>
      </w:r>
      <w:r w:rsidR="00DD1007" w:rsidRPr="00312271">
        <w:rPr>
          <w:bCs/>
          <w:color w:val="auto"/>
        </w:rPr>
        <w:t xml:space="preserve">la </w:t>
      </w:r>
      <w:r w:rsidR="00DD1007" w:rsidRPr="00312271">
        <w:rPr>
          <w:color w:val="auto"/>
        </w:rPr>
        <w:t xml:space="preserve">señora Castro </w:t>
      </w:r>
      <w:r w:rsidR="00DD1007" w:rsidRPr="00312271">
        <w:rPr>
          <w:rFonts w:eastAsia="Times New Roman"/>
          <w:color w:val="auto"/>
          <w:lang w:eastAsia="es-ES"/>
        </w:rPr>
        <w:t xml:space="preserve">contra </w:t>
      </w:r>
      <w:r w:rsidR="00DD1007" w:rsidRPr="00312271">
        <w:rPr>
          <w:color w:val="auto"/>
        </w:rPr>
        <w:t>Interbank</w:t>
      </w:r>
      <w:r w:rsidR="00DD1007" w:rsidRPr="00312271">
        <w:rPr>
          <w:rFonts w:eastAsia="Times New Roman"/>
          <w:color w:val="auto"/>
          <w:lang w:eastAsia="es-ES"/>
        </w:rPr>
        <w:t xml:space="preserve">, por infracción a </w:t>
      </w:r>
      <w:r w:rsidR="00DD1007" w:rsidRPr="00312271">
        <w:rPr>
          <w:rFonts w:eastAsiaTheme="minorEastAsia"/>
          <w:color w:val="auto"/>
        </w:rPr>
        <w:t xml:space="preserve">los artículos 18° y 19° </w:t>
      </w:r>
      <w:r w:rsidR="00DD1007" w:rsidRPr="00312271">
        <w:rPr>
          <w:rFonts w:eastAsia="Times New Roman"/>
          <w:bCs/>
          <w:color w:val="auto"/>
          <w:lang w:val="es-ES" w:eastAsia="es-ES"/>
        </w:rPr>
        <w:t>del Código</w:t>
      </w:r>
      <w:r w:rsidR="00DD1007" w:rsidRPr="00312271">
        <w:rPr>
          <w:rFonts w:eastAsia="Times New Roman"/>
          <w:color w:val="auto"/>
          <w:lang w:eastAsia="es-ES"/>
        </w:rPr>
        <w:t xml:space="preserve">, </w:t>
      </w:r>
      <w:r w:rsidR="00DD1007" w:rsidRPr="00312271">
        <w:rPr>
          <w:color w:val="auto"/>
        </w:rPr>
        <w:t xml:space="preserve">en el extremo referido a que </w:t>
      </w:r>
      <w:r w:rsidR="00DD1007" w:rsidRPr="00312271">
        <w:rPr>
          <w:bCs/>
          <w:color w:val="auto"/>
        </w:rPr>
        <w:t xml:space="preserve">la entidad bancaria </w:t>
      </w:r>
      <w:r w:rsidR="00DD1007" w:rsidRPr="00312271">
        <w:rPr>
          <w:color w:val="auto"/>
        </w:rPr>
        <w:t>se habría negado injustificadamente a otorgar a la denunciante la cobertura de la póliza del Seguro de Desgravamen por la invalidez total y permanente con menoscabo de 96.50% que padece</w:t>
      </w:r>
      <w:r w:rsidRPr="00312271">
        <w:rPr>
          <w:color w:val="auto"/>
          <w:lang w:val="es-ES"/>
        </w:rPr>
        <w:t>.</w:t>
      </w:r>
    </w:p>
    <w:p w14:paraId="3950E68A" w14:textId="77777777" w:rsidR="009C659E" w:rsidRPr="00312271" w:rsidRDefault="009C659E" w:rsidP="00390054">
      <w:pPr>
        <w:pStyle w:val="Prrafodelista"/>
        <w:spacing w:line="240" w:lineRule="auto"/>
        <w:ind w:left="1134"/>
        <w:jc w:val="both"/>
        <w:rPr>
          <w:color w:val="auto"/>
        </w:rPr>
      </w:pPr>
    </w:p>
    <w:p w14:paraId="679E69A2" w14:textId="747BEB3C" w:rsidR="009C659E" w:rsidRPr="00312271" w:rsidRDefault="009C659E" w:rsidP="000B4039">
      <w:pPr>
        <w:pStyle w:val="Prrafodelista"/>
        <w:numPr>
          <w:ilvl w:val="0"/>
          <w:numId w:val="7"/>
        </w:numPr>
        <w:spacing w:line="240" w:lineRule="auto"/>
        <w:ind w:left="1134" w:hanging="567"/>
        <w:jc w:val="both"/>
        <w:rPr>
          <w:color w:val="auto"/>
        </w:rPr>
      </w:pPr>
      <w:r w:rsidRPr="00312271">
        <w:rPr>
          <w:rFonts w:eastAsiaTheme="minorEastAsia"/>
          <w:color w:val="auto"/>
        </w:rPr>
        <w:t xml:space="preserve">Archivar </w:t>
      </w:r>
      <w:r w:rsidR="00322D40" w:rsidRPr="00312271">
        <w:rPr>
          <w:rFonts w:eastAsiaTheme="minorEastAsia"/>
          <w:color w:val="auto"/>
        </w:rPr>
        <w:t xml:space="preserve">el extremo de la denuncia interpuesta por </w:t>
      </w:r>
      <w:r w:rsidR="00322D40" w:rsidRPr="00312271">
        <w:rPr>
          <w:color w:val="auto"/>
        </w:rPr>
        <w:t xml:space="preserve">la señora Castro </w:t>
      </w:r>
      <w:r w:rsidR="00322D40" w:rsidRPr="00312271">
        <w:rPr>
          <w:rFonts w:eastAsiaTheme="minorEastAsia"/>
          <w:color w:val="auto"/>
        </w:rPr>
        <w:t xml:space="preserve">contra </w:t>
      </w:r>
      <w:r w:rsidR="00322D40" w:rsidRPr="00312271">
        <w:rPr>
          <w:rFonts w:eastAsiaTheme="minorEastAsia"/>
          <w:bCs/>
          <w:color w:val="auto"/>
        </w:rPr>
        <w:t>Interseguro</w:t>
      </w:r>
      <w:r w:rsidR="00322D40" w:rsidRPr="00312271">
        <w:rPr>
          <w:rFonts w:eastAsiaTheme="minorEastAsia"/>
          <w:color w:val="auto"/>
        </w:rPr>
        <w:t xml:space="preserve">, por presunta infracción a los artículos 18° y 19° del Código, </w:t>
      </w:r>
      <w:r w:rsidR="00322D40" w:rsidRPr="00312271">
        <w:rPr>
          <w:color w:val="auto"/>
        </w:rPr>
        <w:t xml:space="preserve">en la medida que ha quedado acreditado que la compañía aseguradora se negó </w:t>
      </w:r>
      <w:r w:rsidR="00322D40" w:rsidRPr="00312271">
        <w:rPr>
          <w:color w:val="auto"/>
        </w:rPr>
        <w:lastRenderedPageBreak/>
        <w:t>justificadamente a otorgar a la denunciante la cobertura de la póliza del Seguro de Desgravamen por la invalidez total y permanente con menoscabo de 96.50% que padece</w:t>
      </w:r>
      <w:r w:rsidRPr="00312271">
        <w:rPr>
          <w:color w:val="auto"/>
        </w:rPr>
        <w:t>.</w:t>
      </w:r>
    </w:p>
    <w:p w14:paraId="45C22B58" w14:textId="77777777" w:rsidR="00B441B3" w:rsidRPr="00312271" w:rsidRDefault="00B441B3" w:rsidP="00390054">
      <w:pPr>
        <w:pStyle w:val="Prrafodelista"/>
        <w:spacing w:line="240" w:lineRule="auto"/>
        <w:ind w:left="567"/>
        <w:jc w:val="both"/>
        <w:rPr>
          <w:color w:val="auto"/>
        </w:rPr>
      </w:pPr>
    </w:p>
    <w:p w14:paraId="5D0F112E" w14:textId="1904663C" w:rsidR="002A19CD" w:rsidRPr="00312271" w:rsidRDefault="00045B7E" w:rsidP="000B4039">
      <w:pPr>
        <w:pStyle w:val="Prrafodelista"/>
        <w:numPr>
          <w:ilvl w:val="0"/>
          <w:numId w:val="2"/>
        </w:numPr>
        <w:spacing w:line="240" w:lineRule="auto"/>
        <w:ind w:left="567" w:hanging="567"/>
        <w:jc w:val="both"/>
        <w:rPr>
          <w:color w:val="auto"/>
        </w:rPr>
      </w:pPr>
      <w:r w:rsidRPr="00312271">
        <w:rPr>
          <w:color w:val="auto"/>
        </w:rPr>
        <w:t xml:space="preserve">Pese haber sido debidamente notificados con el Informe Final de Instrucción </w:t>
      </w:r>
      <w:proofErr w:type="spellStart"/>
      <w:r w:rsidRPr="00312271">
        <w:rPr>
          <w:color w:val="auto"/>
        </w:rPr>
        <w:t>N°</w:t>
      </w:r>
      <w:proofErr w:type="spellEnd"/>
      <w:r w:rsidRPr="00312271">
        <w:rPr>
          <w:color w:val="auto"/>
        </w:rPr>
        <w:t> 1691-2025/CC1-ST, las partes no presentaron un escrito al respecto.</w:t>
      </w:r>
    </w:p>
    <w:p w14:paraId="5278C73F" w14:textId="77777777" w:rsidR="00045B7E" w:rsidRPr="00312271" w:rsidRDefault="00045B7E" w:rsidP="00045B7E">
      <w:pPr>
        <w:pStyle w:val="Prrafodelista"/>
        <w:spacing w:line="240" w:lineRule="auto"/>
        <w:ind w:left="567"/>
        <w:jc w:val="both"/>
        <w:rPr>
          <w:color w:val="auto"/>
        </w:rPr>
      </w:pPr>
    </w:p>
    <w:p w14:paraId="50856D7F" w14:textId="3FCE0127" w:rsidR="00D91C63" w:rsidRPr="00312271" w:rsidRDefault="00D91C63" w:rsidP="000B4039">
      <w:pPr>
        <w:pStyle w:val="Prrafodelista"/>
        <w:numPr>
          <w:ilvl w:val="0"/>
          <w:numId w:val="2"/>
        </w:numPr>
        <w:spacing w:line="240" w:lineRule="auto"/>
        <w:ind w:left="567" w:hanging="567"/>
        <w:jc w:val="both"/>
        <w:rPr>
          <w:color w:val="auto"/>
        </w:rPr>
      </w:pPr>
      <w:r w:rsidRPr="00312271">
        <w:rPr>
          <w:color w:val="auto"/>
        </w:rPr>
        <w:t xml:space="preserve">En consecuencia, corresponde a la Comisión de Protección al Consumidor </w:t>
      </w:r>
      <w:proofErr w:type="spellStart"/>
      <w:r w:rsidRPr="00312271">
        <w:rPr>
          <w:color w:val="auto"/>
        </w:rPr>
        <w:t>Nº</w:t>
      </w:r>
      <w:proofErr w:type="spellEnd"/>
      <w:r w:rsidRPr="00312271">
        <w:rPr>
          <w:color w:val="auto"/>
        </w:rPr>
        <w:t xml:space="preserve"> 1 (en adelante, </w:t>
      </w:r>
      <w:r w:rsidRPr="00312271">
        <w:rPr>
          <w:color w:val="auto"/>
          <w:lang w:eastAsia="zh-CN"/>
        </w:rPr>
        <w:t>la</w:t>
      </w:r>
      <w:r w:rsidRPr="00312271">
        <w:rPr>
          <w:color w:val="auto"/>
        </w:rPr>
        <w:t xml:space="preserve"> </w:t>
      </w:r>
      <w:r w:rsidRPr="00312271">
        <w:rPr>
          <w:rFonts w:eastAsia="Times New Roman"/>
          <w:color w:val="auto"/>
        </w:rPr>
        <w:t>Comisión</w:t>
      </w:r>
      <w:r w:rsidRPr="00312271">
        <w:rPr>
          <w:color w:val="auto"/>
        </w:rPr>
        <w:t>) analizar los documentos obrantes en el expediente y emitir la decisión final en el presente procedimiento administrativo.</w:t>
      </w:r>
    </w:p>
    <w:p w14:paraId="29C6732F" w14:textId="77777777" w:rsidR="00D91C63" w:rsidRPr="00312271" w:rsidRDefault="00D91C63" w:rsidP="00390054">
      <w:pPr>
        <w:pStyle w:val="Prrafodelista"/>
        <w:spacing w:line="240" w:lineRule="auto"/>
        <w:ind w:left="0"/>
        <w:rPr>
          <w:b/>
          <w:bCs/>
          <w:color w:val="auto"/>
        </w:rPr>
      </w:pPr>
    </w:p>
    <w:p w14:paraId="320CC6EF" w14:textId="77777777" w:rsidR="00CA0A6C" w:rsidRPr="00312271" w:rsidRDefault="00CA0A6C" w:rsidP="00390054">
      <w:pPr>
        <w:pStyle w:val="Prrafodelista"/>
        <w:spacing w:line="240" w:lineRule="auto"/>
        <w:ind w:left="0"/>
        <w:rPr>
          <w:b/>
          <w:bCs/>
          <w:color w:val="auto"/>
        </w:rPr>
      </w:pPr>
      <w:r w:rsidRPr="00312271">
        <w:rPr>
          <w:b/>
          <w:bCs/>
          <w:color w:val="auto"/>
        </w:rPr>
        <w:t>ANÁLISIS</w:t>
      </w:r>
    </w:p>
    <w:p w14:paraId="2F389B49" w14:textId="77777777" w:rsidR="00CA0A6C" w:rsidRPr="00312271" w:rsidRDefault="00CA0A6C" w:rsidP="00390054">
      <w:pPr>
        <w:pStyle w:val="Prrafodelista"/>
        <w:spacing w:line="240" w:lineRule="auto"/>
        <w:ind w:left="0"/>
        <w:rPr>
          <w:b/>
          <w:bCs/>
          <w:color w:val="auto"/>
        </w:rPr>
      </w:pPr>
    </w:p>
    <w:p w14:paraId="4B4E5F74" w14:textId="77777777" w:rsidR="003E2B14" w:rsidRPr="00312271" w:rsidRDefault="003E2B14" w:rsidP="00390054">
      <w:pPr>
        <w:suppressAutoHyphens/>
        <w:spacing w:after="0" w:line="240" w:lineRule="auto"/>
        <w:contextualSpacing/>
        <w:rPr>
          <w:rFonts w:ascii="Arial" w:eastAsia="Times New Roman" w:hAnsi="Arial" w:cs="Arial"/>
          <w:color w:val="auto"/>
        </w:rPr>
      </w:pPr>
      <w:r w:rsidRPr="00312271">
        <w:rPr>
          <w:rFonts w:ascii="Arial" w:hAnsi="Arial" w:cs="Arial"/>
          <w:b/>
          <w:bCs/>
          <w:color w:val="auto"/>
        </w:rPr>
        <w:t>Cuestión previa: sobre el orden de análisis de las imputaciones</w:t>
      </w:r>
    </w:p>
    <w:p w14:paraId="18B0B9AA" w14:textId="77777777" w:rsidR="003E2B14" w:rsidRPr="00312271" w:rsidRDefault="003E2B14" w:rsidP="00390054">
      <w:pPr>
        <w:pStyle w:val="Prrafodelista"/>
        <w:spacing w:line="240" w:lineRule="auto"/>
        <w:ind w:left="0"/>
        <w:rPr>
          <w:b/>
          <w:bCs/>
          <w:color w:val="auto"/>
        </w:rPr>
      </w:pPr>
    </w:p>
    <w:p w14:paraId="4ECF5E09" w14:textId="20971BD8" w:rsidR="003E2B14" w:rsidRPr="00312271" w:rsidRDefault="003E2B14" w:rsidP="000B4039">
      <w:pPr>
        <w:pStyle w:val="Prrafodelista"/>
        <w:numPr>
          <w:ilvl w:val="0"/>
          <w:numId w:val="2"/>
        </w:numPr>
        <w:spacing w:line="240" w:lineRule="auto"/>
        <w:ind w:left="567" w:hanging="567"/>
        <w:jc w:val="both"/>
        <w:rPr>
          <w:color w:val="auto"/>
        </w:rPr>
      </w:pPr>
      <w:r w:rsidRPr="00312271">
        <w:rPr>
          <w:color w:val="auto"/>
        </w:rPr>
        <w:t xml:space="preserve">A fin de realizar un análisis ordenado de las imputaciones, este </w:t>
      </w:r>
      <w:r w:rsidR="00045B7E" w:rsidRPr="00312271">
        <w:rPr>
          <w:color w:val="auto"/>
        </w:rPr>
        <w:t>Despacho</w:t>
      </w:r>
      <w:r w:rsidRPr="00312271">
        <w:rPr>
          <w:color w:val="auto"/>
        </w:rPr>
        <w:t xml:space="preserve"> las procederá a evaluar bajo el orden siguiente:</w:t>
      </w:r>
    </w:p>
    <w:p w14:paraId="045770B7" w14:textId="77777777" w:rsidR="003E2B14" w:rsidRPr="00312271" w:rsidRDefault="003E2B14" w:rsidP="00390054">
      <w:pPr>
        <w:pStyle w:val="Prrafodelista"/>
        <w:spacing w:line="240" w:lineRule="auto"/>
        <w:ind w:left="1134"/>
        <w:rPr>
          <w:color w:val="auto"/>
        </w:rPr>
      </w:pPr>
    </w:p>
    <w:p w14:paraId="298BD01C" w14:textId="77777777" w:rsidR="003E2B14" w:rsidRPr="00312271" w:rsidRDefault="003E2B14" w:rsidP="000B4039">
      <w:pPr>
        <w:pStyle w:val="Prrafodelista"/>
        <w:numPr>
          <w:ilvl w:val="0"/>
          <w:numId w:val="6"/>
        </w:numPr>
        <w:spacing w:line="240" w:lineRule="auto"/>
        <w:ind w:left="1134" w:hanging="567"/>
        <w:jc w:val="both"/>
        <w:rPr>
          <w:color w:val="auto"/>
        </w:rPr>
      </w:pPr>
      <w:r w:rsidRPr="00312271">
        <w:rPr>
          <w:color w:val="auto"/>
        </w:rPr>
        <w:t>Presunta infracción a los artículos 18° y 19° del Código, en tanto Interbank se habría negado injustificadamente a otorgar a la denunciante la cobertura de la póliza del Seguro de Desgravamen por invalidez total y permanente con menoscabo de 96.50% que padece.</w:t>
      </w:r>
    </w:p>
    <w:p w14:paraId="73BB7B6A" w14:textId="77777777" w:rsidR="003E2B14" w:rsidRPr="00312271" w:rsidRDefault="003E2B14" w:rsidP="00390054">
      <w:pPr>
        <w:pStyle w:val="Prrafodelista"/>
        <w:spacing w:line="240" w:lineRule="auto"/>
        <w:ind w:left="1134"/>
        <w:rPr>
          <w:color w:val="auto"/>
        </w:rPr>
      </w:pPr>
    </w:p>
    <w:p w14:paraId="7A7A8904" w14:textId="77777777" w:rsidR="003E2B14" w:rsidRPr="00312271" w:rsidRDefault="003E2B14" w:rsidP="000B4039">
      <w:pPr>
        <w:pStyle w:val="Prrafodelista"/>
        <w:numPr>
          <w:ilvl w:val="0"/>
          <w:numId w:val="6"/>
        </w:numPr>
        <w:spacing w:line="240" w:lineRule="auto"/>
        <w:ind w:left="1134" w:hanging="567"/>
        <w:jc w:val="both"/>
        <w:rPr>
          <w:color w:val="auto"/>
        </w:rPr>
      </w:pPr>
      <w:r w:rsidRPr="00312271">
        <w:rPr>
          <w:color w:val="auto"/>
        </w:rPr>
        <w:t xml:space="preserve">Presunta infracción a los artículos 18° y 19° del Código, en tanto Interseguro se habría negado injustificadamente a otorgar a la denunciante la cobertura de la póliza del Seguro de Desgravamen por invalidez total y permanente con menoscabo de 96.50% que padece. </w:t>
      </w:r>
    </w:p>
    <w:p w14:paraId="49E753DE" w14:textId="77777777" w:rsidR="003E2B14" w:rsidRPr="00312271" w:rsidRDefault="003E2B14" w:rsidP="00390054">
      <w:pPr>
        <w:pStyle w:val="Prrafodelista"/>
        <w:spacing w:line="240" w:lineRule="auto"/>
        <w:ind w:left="0"/>
        <w:rPr>
          <w:b/>
          <w:bCs/>
          <w:color w:val="auto"/>
        </w:rPr>
      </w:pPr>
    </w:p>
    <w:p w14:paraId="4A893767" w14:textId="77777777" w:rsidR="003E2B14" w:rsidRPr="00312271" w:rsidRDefault="003E2B14" w:rsidP="00390054">
      <w:pPr>
        <w:pStyle w:val="Prrafodelista"/>
        <w:spacing w:line="240" w:lineRule="auto"/>
        <w:ind w:left="0"/>
        <w:rPr>
          <w:b/>
          <w:color w:val="auto"/>
        </w:rPr>
      </w:pPr>
      <w:r w:rsidRPr="00312271">
        <w:rPr>
          <w:b/>
          <w:color w:val="auto"/>
        </w:rPr>
        <w:t>Sobre la improcedencia de la denuncia por falta de legitimidad para obrar pasiva</w:t>
      </w:r>
    </w:p>
    <w:p w14:paraId="0D1F3666" w14:textId="77777777" w:rsidR="003E2B14" w:rsidRPr="00312271" w:rsidRDefault="003E2B14" w:rsidP="00390054">
      <w:pPr>
        <w:pStyle w:val="Prrafodelista"/>
        <w:spacing w:line="240" w:lineRule="auto"/>
        <w:ind w:left="567"/>
        <w:rPr>
          <w:b/>
          <w:color w:val="auto"/>
        </w:rPr>
      </w:pPr>
    </w:p>
    <w:p w14:paraId="0176A194" w14:textId="77777777" w:rsidR="003E2B14" w:rsidRPr="00312271" w:rsidRDefault="003E2B14" w:rsidP="000B4039">
      <w:pPr>
        <w:pStyle w:val="Prrafodelista"/>
        <w:numPr>
          <w:ilvl w:val="0"/>
          <w:numId w:val="2"/>
        </w:numPr>
        <w:spacing w:line="240" w:lineRule="auto"/>
        <w:ind w:left="567" w:hanging="567"/>
        <w:jc w:val="both"/>
        <w:rPr>
          <w:color w:val="auto"/>
        </w:rPr>
      </w:pPr>
      <w:r w:rsidRPr="00312271">
        <w:rPr>
          <w:color w:val="auto"/>
        </w:rPr>
        <w:t>El artículo 108° del Código establece que se declarará la improcedencia de la denuncia, entre otros supuestos, cuando exista falta de legitimidad o interés para obrar</w:t>
      </w:r>
      <w:r w:rsidRPr="00312271">
        <w:rPr>
          <w:color w:val="auto"/>
          <w:vertAlign w:val="superscript"/>
        </w:rPr>
        <w:footnoteReference w:id="4"/>
      </w:r>
      <w:r w:rsidRPr="00312271">
        <w:rPr>
          <w:color w:val="auto"/>
        </w:rPr>
        <w:t xml:space="preserve">. De </w:t>
      </w:r>
      <w:r w:rsidRPr="00312271">
        <w:rPr>
          <w:color w:val="auto"/>
        </w:rPr>
        <w:lastRenderedPageBreak/>
        <w:t xml:space="preserve">acuerdo con la </w:t>
      </w:r>
      <w:r w:rsidRPr="00312271">
        <w:rPr>
          <w:rFonts w:eastAsia="Times New Roman"/>
          <w:color w:val="auto"/>
          <w:lang w:val="es-ES_tradnl"/>
        </w:rPr>
        <w:t>doctrina</w:t>
      </w:r>
      <w:r w:rsidRPr="00312271">
        <w:rPr>
          <w:color w:val="auto"/>
        </w:rPr>
        <w:t xml:space="preserve"> procesal, un administrado carecerá de legitimidad para obrar pasiva </w:t>
      </w:r>
      <w:r w:rsidRPr="00312271">
        <w:rPr>
          <w:color w:val="auto"/>
          <w:lang w:val="es-ES"/>
        </w:rPr>
        <w:t>cuando</w:t>
      </w:r>
      <w:r w:rsidRPr="00312271">
        <w:rPr>
          <w:color w:val="auto"/>
        </w:rPr>
        <w:t xml:space="preserve"> no sea la persona que, conforme a ley, deba ser titular de las conductas infractoras en su contra.</w:t>
      </w:r>
    </w:p>
    <w:p w14:paraId="3F2158EC" w14:textId="77777777" w:rsidR="003E2B14" w:rsidRPr="00312271" w:rsidRDefault="003E2B14" w:rsidP="00390054">
      <w:pPr>
        <w:spacing w:after="0" w:line="240" w:lineRule="auto"/>
        <w:ind w:left="567"/>
        <w:contextualSpacing/>
        <w:rPr>
          <w:rFonts w:ascii="Arial" w:hAnsi="Arial" w:cs="Arial"/>
          <w:color w:val="auto"/>
        </w:rPr>
      </w:pPr>
    </w:p>
    <w:p w14:paraId="7D5D2B60" w14:textId="77777777" w:rsidR="003E2B14" w:rsidRPr="00312271" w:rsidRDefault="003E2B14" w:rsidP="000B4039">
      <w:pPr>
        <w:numPr>
          <w:ilvl w:val="0"/>
          <w:numId w:val="2"/>
        </w:numPr>
        <w:spacing w:after="0" w:line="240" w:lineRule="auto"/>
        <w:ind w:left="567" w:hanging="567"/>
        <w:contextualSpacing/>
        <w:jc w:val="both"/>
        <w:rPr>
          <w:rFonts w:ascii="Arial" w:hAnsi="Arial" w:cs="Arial"/>
          <w:color w:val="auto"/>
        </w:rPr>
      </w:pPr>
      <w:r w:rsidRPr="00312271">
        <w:rPr>
          <w:rFonts w:ascii="Arial" w:hAnsi="Arial" w:cs="Arial"/>
          <w:color w:val="auto"/>
        </w:rPr>
        <w:t xml:space="preserve">Por su parte, el numeral 2 del artículo IV del Título Preliminar del Código describe al </w:t>
      </w:r>
      <w:r w:rsidRPr="00312271">
        <w:rPr>
          <w:rFonts w:ascii="Arial" w:hAnsi="Arial" w:cs="Arial"/>
          <w:color w:val="auto"/>
          <w:lang w:val="es-ES"/>
        </w:rPr>
        <w:t>proveedor</w:t>
      </w:r>
      <w:r w:rsidRPr="00312271">
        <w:rPr>
          <w:rFonts w:ascii="Arial" w:hAnsi="Arial" w:cs="Arial"/>
          <w:color w:val="auto"/>
        </w:rPr>
        <w:t xml:space="preserve"> como aquellas personas naturales o jurídicas, de derecho público o privado, que de manera habitual fabrican, elaboran, manipulan, acondicionan, mezclan, envasan, almacenan, preparan, expenden, suministran productos o prestan servicios de cualquier naturaleza a los consumidores.</w:t>
      </w:r>
    </w:p>
    <w:p w14:paraId="7A55FEC7" w14:textId="77777777" w:rsidR="003E2B14" w:rsidRPr="00312271" w:rsidRDefault="003E2B14" w:rsidP="00390054">
      <w:pPr>
        <w:pStyle w:val="Prrafodelista"/>
        <w:spacing w:line="240" w:lineRule="auto"/>
        <w:ind w:left="567"/>
        <w:textAlignment w:val="baseline"/>
        <w:rPr>
          <w:rFonts w:eastAsia="Times New Roman"/>
          <w:color w:val="auto"/>
        </w:rPr>
      </w:pPr>
    </w:p>
    <w:p w14:paraId="501C10B4" w14:textId="77777777" w:rsidR="003E2B14" w:rsidRPr="00312271" w:rsidRDefault="003E2B14" w:rsidP="000B4039">
      <w:pPr>
        <w:pStyle w:val="Prrafodelista"/>
        <w:numPr>
          <w:ilvl w:val="0"/>
          <w:numId w:val="2"/>
        </w:numPr>
        <w:spacing w:line="240" w:lineRule="auto"/>
        <w:ind w:left="567" w:hanging="567"/>
        <w:jc w:val="both"/>
        <w:textAlignment w:val="baseline"/>
        <w:rPr>
          <w:rFonts w:eastAsia="Times New Roman"/>
          <w:color w:val="auto"/>
        </w:rPr>
      </w:pPr>
      <w:r w:rsidRPr="00312271">
        <w:rPr>
          <w:rFonts w:eastAsia="Times New Roman"/>
          <w:color w:val="auto"/>
        </w:rPr>
        <w:t xml:space="preserve">En su escrito de denuncia, la señora Castro señaló que Interbank </w:t>
      </w:r>
      <w:r w:rsidRPr="00312271">
        <w:rPr>
          <w:color w:val="auto"/>
        </w:rPr>
        <w:t>se habría negado de forma injustificada a otorgarle la cobertura de la póliza del Seguro de Desgravamen por la invalidez total y permanente con menoscabo de 96.50% que padece</w:t>
      </w:r>
      <w:r w:rsidRPr="00312271">
        <w:rPr>
          <w:bCs/>
          <w:color w:val="auto"/>
        </w:rPr>
        <w:t>.</w:t>
      </w:r>
    </w:p>
    <w:p w14:paraId="5FB99F55" w14:textId="77777777" w:rsidR="003E2B14" w:rsidRPr="00312271" w:rsidRDefault="003E2B14" w:rsidP="00390054">
      <w:pPr>
        <w:pStyle w:val="Prrafodelista"/>
        <w:spacing w:line="240" w:lineRule="auto"/>
        <w:ind w:left="567"/>
        <w:textAlignment w:val="baseline"/>
        <w:rPr>
          <w:rFonts w:eastAsia="Times New Roman"/>
          <w:color w:val="auto"/>
        </w:rPr>
      </w:pPr>
    </w:p>
    <w:p w14:paraId="6F2266D4" w14:textId="77777777" w:rsidR="003E2B14" w:rsidRPr="00312271" w:rsidRDefault="003E2B14" w:rsidP="000B4039">
      <w:pPr>
        <w:pStyle w:val="Prrafodelista"/>
        <w:numPr>
          <w:ilvl w:val="0"/>
          <w:numId w:val="2"/>
        </w:numPr>
        <w:spacing w:line="240" w:lineRule="auto"/>
        <w:ind w:left="567" w:hanging="567"/>
        <w:jc w:val="both"/>
        <w:textAlignment w:val="baseline"/>
        <w:rPr>
          <w:rFonts w:eastAsia="Times New Roman"/>
          <w:color w:val="auto"/>
        </w:rPr>
      </w:pPr>
      <w:r w:rsidRPr="00312271">
        <w:rPr>
          <w:rFonts w:eastAsia="Times New Roman"/>
          <w:color w:val="auto"/>
        </w:rPr>
        <w:t>Ahora bien, cabe destacar que en las Condiciones Particulares del Seguro de Desgravamen</w:t>
      </w:r>
      <w:r w:rsidRPr="00312271">
        <w:rPr>
          <w:rStyle w:val="Refdenotaalpie"/>
          <w:rFonts w:eastAsia="Times New Roman"/>
          <w:color w:val="auto"/>
        </w:rPr>
        <w:footnoteReference w:id="5"/>
      </w:r>
      <w:r w:rsidRPr="00312271">
        <w:rPr>
          <w:rFonts w:eastAsia="Times New Roman"/>
          <w:color w:val="auto"/>
        </w:rPr>
        <w:t>, este Despacho verifica que el mencionado producto era brindado por Interseguro, y no por Interbank. Adicionalmente, en el documento “Detalle de Solicitud – Seguro de Desgravamen Invalidez – Constancia del trámite”</w:t>
      </w:r>
      <w:r w:rsidRPr="00312271">
        <w:rPr>
          <w:rStyle w:val="Refdenotaalpie"/>
          <w:rFonts w:eastAsia="Times New Roman"/>
          <w:color w:val="auto"/>
        </w:rPr>
        <w:footnoteReference w:id="6"/>
      </w:r>
      <w:r w:rsidRPr="00312271">
        <w:rPr>
          <w:rFonts w:eastAsia="Times New Roman"/>
          <w:color w:val="auto"/>
        </w:rPr>
        <w:t>, de fecha 9 de abril de 2024, en el cual se evidencia que la señora Castro presentó la solicitud de cobertura del Seguro de Desgravamen ante Interbank.</w:t>
      </w:r>
    </w:p>
    <w:p w14:paraId="15CFC2E3" w14:textId="77777777" w:rsidR="003E2B14" w:rsidRPr="00312271" w:rsidRDefault="003E2B14" w:rsidP="00390054">
      <w:pPr>
        <w:pStyle w:val="Prrafodelista"/>
        <w:spacing w:line="240" w:lineRule="auto"/>
        <w:ind w:left="567"/>
        <w:rPr>
          <w:rFonts w:eastAsia="Times New Roman"/>
          <w:color w:val="auto"/>
        </w:rPr>
      </w:pPr>
    </w:p>
    <w:p w14:paraId="5E743948" w14:textId="7A10D9E9" w:rsidR="003E2B14" w:rsidRPr="00312271" w:rsidRDefault="003E2B14" w:rsidP="000B4039">
      <w:pPr>
        <w:pStyle w:val="Prrafodelista"/>
        <w:numPr>
          <w:ilvl w:val="0"/>
          <w:numId w:val="2"/>
        </w:numPr>
        <w:spacing w:line="240" w:lineRule="auto"/>
        <w:ind w:left="567" w:hanging="567"/>
        <w:jc w:val="both"/>
        <w:textAlignment w:val="baseline"/>
        <w:rPr>
          <w:rFonts w:eastAsia="Times New Roman"/>
          <w:color w:val="auto"/>
        </w:rPr>
      </w:pPr>
      <w:r w:rsidRPr="00312271">
        <w:rPr>
          <w:rFonts w:eastAsia="Times New Roman"/>
          <w:color w:val="auto"/>
        </w:rPr>
        <w:t xml:space="preserve">Por lo anterior, a criterio de esta </w:t>
      </w:r>
      <w:r w:rsidR="00045B7E" w:rsidRPr="00312271">
        <w:rPr>
          <w:rFonts w:eastAsia="Times New Roman"/>
          <w:color w:val="auto"/>
        </w:rPr>
        <w:t>Comisión</w:t>
      </w:r>
      <w:r w:rsidRPr="00312271">
        <w:rPr>
          <w:rFonts w:eastAsia="Times New Roman"/>
          <w:color w:val="auto"/>
        </w:rPr>
        <w:t>, queda claro que en el marco de la contratación del Seguro de Desgravamen materia de denuncia, Interbank tenía la calidad de Comercializador de Seguros</w:t>
      </w:r>
      <w:r w:rsidRPr="00312271">
        <w:rPr>
          <w:rStyle w:val="Refdenotaalpie"/>
          <w:rFonts w:eastAsia="Times New Roman"/>
          <w:color w:val="auto"/>
        </w:rPr>
        <w:footnoteReference w:id="7"/>
      </w:r>
      <w:r w:rsidRPr="00312271">
        <w:rPr>
          <w:rFonts w:eastAsia="Times New Roman"/>
          <w:color w:val="auto"/>
        </w:rPr>
        <w:t>, en la medida que esta última entidad se encargó de facilitar la adquisición del mencionado seguro por parte de la señora Castro. De igual forma, a lo largo del procedimiento, la entidad bancaria denunciada ha señalado tener la condición de comercializador; por lo que, en lo sucesivo, se analizará su presunta responsabilidad administrativa teniendo en cuenta dicha condición.</w:t>
      </w:r>
    </w:p>
    <w:p w14:paraId="2BC66F8D" w14:textId="77777777" w:rsidR="003E2B14" w:rsidRPr="00312271" w:rsidRDefault="003E2B14" w:rsidP="00390054">
      <w:pPr>
        <w:pStyle w:val="Prrafodelista"/>
        <w:spacing w:line="240" w:lineRule="auto"/>
        <w:ind w:left="567"/>
        <w:rPr>
          <w:color w:val="auto"/>
        </w:rPr>
      </w:pPr>
    </w:p>
    <w:p w14:paraId="76B23961" w14:textId="77777777" w:rsidR="003E2B14" w:rsidRPr="00312271" w:rsidRDefault="003E2B14" w:rsidP="000B4039">
      <w:pPr>
        <w:pStyle w:val="Prrafodelista"/>
        <w:numPr>
          <w:ilvl w:val="0"/>
          <w:numId w:val="2"/>
        </w:numPr>
        <w:spacing w:line="240" w:lineRule="auto"/>
        <w:ind w:left="567" w:hanging="567"/>
        <w:jc w:val="both"/>
        <w:textAlignment w:val="baseline"/>
        <w:rPr>
          <w:rFonts w:eastAsia="Times New Roman"/>
          <w:color w:val="auto"/>
        </w:rPr>
      </w:pPr>
      <w:r w:rsidRPr="00312271">
        <w:rPr>
          <w:color w:val="auto"/>
        </w:rPr>
        <w:t>Siendo ello así</w:t>
      </w:r>
      <w:r w:rsidRPr="00312271">
        <w:rPr>
          <w:rFonts w:eastAsia="Times New Roman"/>
          <w:color w:val="auto"/>
        </w:rPr>
        <w:t xml:space="preserve">, resulta relevante lo el artículo 4 del Reglamento de Comercialización de Productos de Seguros, </w:t>
      </w:r>
      <w:r w:rsidRPr="00312271">
        <w:rPr>
          <w:color w:val="auto"/>
        </w:rPr>
        <w:t>aprobado</w:t>
      </w:r>
      <w:r w:rsidRPr="00312271">
        <w:rPr>
          <w:rFonts w:eastAsia="Times New Roman"/>
          <w:color w:val="auto"/>
        </w:rPr>
        <w:t xml:space="preserve"> </w:t>
      </w:r>
      <w:r w:rsidRPr="00312271">
        <w:rPr>
          <w:color w:val="auto"/>
        </w:rPr>
        <w:t>mediante</w:t>
      </w:r>
      <w:r w:rsidRPr="00312271">
        <w:rPr>
          <w:rFonts w:eastAsia="Times New Roman"/>
          <w:color w:val="auto"/>
        </w:rPr>
        <w:t xml:space="preserve"> Resolución SBS </w:t>
      </w:r>
      <w:proofErr w:type="spellStart"/>
      <w:r w:rsidRPr="00312271">
        <w:rPr>
          <w:rFonts w:eastAsia="Times New Roman"/>
          <w:color w:val="auto"/>
        </w:rPr>
        <w:t>N°</w:t>
      </w:r>
      <w:proofErr w:type="spellEnd"/>
      <w:r w:rsidRPr="00312271">
        <w:rPr>
          <w:rFonts w:eastAsia="Times New Roman"/>
          <w:color w:val="auto"/>
        </w:rPr>
        <w:t xml:space="preserve"> 1121-2017</w:t>
      </w:r>
      <w:r w:rsidRPr="00312271">
        <w:rPr>
          <w:rStyle w:val="Refdenotaalpie"/>
          <w:rFonts w:eastAsia="Times New Roman"/>
          <w:color w:val="auto"/>
        </w:rPr>
        <w:footnoteReference w:id="8"/>
      </w:r>
      <w:r w:rsidRPr="00312271">
        <w:rPr>
          <w:rFonts w:eastAsia="Times New Roman"/>
          <w:color w:val="auto"/>
        </w:rPr>
        <w:t xml:space="preserve"> (en </w:t>
      </w:r>
      <w:r w:rsidRPr="00312271">
        <w:rPr>
          <w:rFonts w:eastAsia="Times New Roman"/>
          <w:color w:val="auto"/>
        </w:rPr>
        <w:lastRenderedPageBreak/>
        <w:t xml:space="preserve">adelante, Reglamento de Comercialización), el cual establece que las </w:t>
      </w:r>
      <w:r w:rsidRPr="00312271">
        <w:rPr>
          <w:rFonts w:eastAsia="Times New Roman"/>
          <w:color w:val="auto"/>
          <w:u w:val="single"/>
        </w:rPr>
        <w:t>empresas aseguradoras</w:t>
      </w:r>
      <w:r w:rsidRPr="00312271">
        <w:rPr>
          <w:rFonts w:eastAsia="Times New Roman"/>
          <w:color w:val="auto"/>
        </w:rPr>
        <w:t xml:space="preserve"> mantienen la responsabilidad frente a los contratados, asegurados y/o beneficiarios, así como ante la Superintendencia de Banca, Seguros y Administradoras de Fondos de Pensiones (en adelante, SBS), por la prestación de los servicios, la administración de los riesgos y el cumplimiento normativo relacionado con la comercialización de productos de seguros.</w:t>
      </w:r>
    </w:p>
    <w:p w14:paraId="2E50312E" w14:textId="77777777" w:rsidR="003E2B14" w:rsidRPr="00312271" w:rsidRDefault="003E2B14" w:rsidP="00390054">
      <w:pPr>
        <w:pStyle w:val="Prrafodelista"/>
        <w:spacing w:line="240" w:lineRule="auto"/>
        <w:ind w:left="567"/>
        <w:textAlignment w:val="baseline"/>
        <w:rPr>
          <w:rFonts w:eastAsia="Times New Roman"/>
          <w:color w:val="auto"/>
        </w:rPr>
      </w:pPr>
    </w:p>
    <w:p w14:paraId="557B7DC3" w14:textId="77777777" w:rsidR="003E2B14" w:rsidRPr="00312271" w:rsidRDefault="003E2B14" w:rsidP="000B4039">
      <w:pPr>
        <w:pStyle w:val="Prrafodelista"/>
        <w:numPr>
          <w:ilvl w:val="0"/>
          <w:numId w:val="2"/>
        </w:numPr>
        <w:spacing w:line="240" w:lineRule="auto"/>
        <w:ind w:left="567" w:hanging="567"/>
        <w:jc w:val="both"/>
        <w:textAlignment w:val="baseline"/>
        <w:rPr>
          <w:rFonts w:eastAsia="Times New Roman"/>
          <w:color w:val="auto"/>
        </w:rPr>
      </w:pPr>
      <w:r w:rsidRPr="00312271">
        <w:rPr>
          <w:rFonts w:eastAsia="Times New Roman"/>
          <w:color w:val="auto"/>
        </w:rPr>
        <w:t xml:space="preserve">La referida norma establece que las </w:t>
      </w:r>
      <w:r w:rsidRPr="00312271">
        <w:rPr>
          <w:rFonts w:eastAsia="Times New Roman"/>
          <w:color w:val="auto"/>
          <w:u w:val="single"/>
        </w:rPr>
        <w:t>entidades financieras</w:t>
      </w:r>
      <w:r w:rsidRPr="00312271">
        <w:rPr>
          <w:rFonts w:eastAsia="Times New Roman"/>
          <w:color w:val="auto"/>
        </w:rPr>
        <w:t xml:space="preserve"> que actúen en calidad de </w:t>
      </w:r>
      <w:r w:rsidRPr="00312271">
        <w:rPr>
          <w:color w:val="auto"/>
        </w:rPr>
        <w:t>comercializadores</w:t>
      </w:r>
      <w:r w:rsidRPr="00312271">
        <w:rPr>
          <w:rFonts w:eastAsia="Times New Roman"/>
          <w:color w:val="auto"/>
        </w:rPr>
        <w:t xml:space="preserve">, en el caso de banca seguros, asumen las responsabilidades que les competen, </w:t>
      </w:r>
      <w:r w:rsidRPr="00312271">
        <w:rPr>
          <w:color w:val="auto"/>
        </w:rPr>
        <w:t>de</w:t>
      </w:r>
      <w:r w:rsidRPr="00312271">
        <w:rPr>
          <w:rFonts w:eastAsia="Times New Roman"/>
          <w:color w:val="auto"/>
        </w:rPr>
        <w:t xml:space="preserve"> acuerdo con las disposiciones del Reglamento de Comercialización y las que resulten pertinentes de la Ley </w:t>
      </w:r>
      <w:proofErr w:type="spellStart"/>
      <w:r w:rsidRPr="00312271">
        <w:rPr>
          <w:rFonts w:eastAsia="Times New Roman"/>
          <w:color w:val="auto"/>
        </w:rPr>
        <w:t>Nº</w:t>
      </w:r>
      <w:proofErr w:type="spellEnd"/>
      <w:r w:rsidRPr="00312271">
        <w:rPr>
          <w:rFonts w:eastAsia="Times New Roman"/>
          <w:color w:val="auto"/>
        </w:rPr>
        <w:t xml:space="preserve"> 28587, Ley Complementaria a la Ley de Protección al Consumidor en materia de Servicios Financieros, así como del Reglamento de Gestión de Conducta de Mercado del Sistema Financiero, aprobado por Resolución SBS </w:t>
      </w:r>
      <w:proofErr w:type="spellStart"/>
      <w:r w:rsidRPr="00312271">
        <w:rPr>
          <w:rFonts w:eastAsia="Times New Roman"/>
          <w:color w:val="auto"/>
        </w:rPr>
        <w:t>Nº</w:t>
      </w:r>
      <w:proofErr w:type="spellEnd"/>
      <w:r w:rsidRPr="00312271">
        <w:rPr>
          <w:rFonts w:eastAsia="Times New Roman"/>
          <w:color w:val="auto"/>
        </w:rPr>
        <w:t xml:space="preserve"> 3274-2017.</w:t>
      </w:r>
    </w:p>
    <w:p w14:paraId="7D9489B0" w14:textId="77777777" w:rsidR="003E2B14" w:rsidRPr="00312271" w:rsidRDefault="003E2B14" w:rsidP="00390054">
      <w:pPr>
        <w:pStyle w:val="Prrafodelista"/>
        <w:spacing w:line="240" w:lineRule="auto"/>
        <w:ind w:left="567"/>
        <w:textAlignment w:val="baseline"/>
        <w:rPr>
          <w:rFonts w:eastAsia="Times New Roman"/>
          <w:color w:val="auto"/>
        </w:rPr>
      </w:pPr>
    </w:p>
    <w:p w14:paraId="46731BB3" w14:textId="77777777" w:rsidR="003E2B14" w:rsidRPr="00312271" w:rsidRDefault="003E2B14" w:rsidP="000B4039">
      <w:pPr>
        <w:pStyle w:val="Prrafodelista"/>
        <w:numPr>
          <w:ilvl w:val="0"/>
          <w:numId w:val="2"/>
        </w:numPr>
        <w:spacing w:line="240" w:lineRule="auto"/>
        <w:ind w:left="567" w:hanging="567"/>
        <w:jc w:val="both"/>
        <w:textAlignment w:val="baseline"/>
        <w:rPr>
          <w:rFonts w:eastAsia="Times New Roman"/>
          <w:color w:val="auto"/>
        </w:rPr>
      </w:pPr>
      <w:r w:rsidRPr="00312271">
        <w:rPr>
          <w:rFonts w:eastAsia="Times New Roman"/>
          <w:color w:val="auto"/>
        </w:rPr>
        <w:t xml:space="preserve">De lo indicado, se desprende que la responsabilidad de las empresas del sistema financiero que actúan en calidad de comercializadores en el marco de la contratación de un producto correspondiente </w:t>
      </w:r>
      <w:r w:rsidRPr="00312271">
        <w:rPr>
          <w:color w:val="auto"/>
        </w:rPr>
        <w:t>al</w:t>
      </w:r>
      <w:r w:rsidRPr="00312271">
        <w:rPr>
          <w:rFonts w:eastAsia="Times New Roman"/>
          <w:color w:val="auto"/>
        </w:rPr>
        <w:t xml:space="preserve"> sistema de seguros, se encuentra relacionada con los actos </w:t>
      </w:r>
      <w:r w:rsidRPr="00312271">
        <w:rPr>
          <w:color w:val="auto"/>
        </w:rPr>
        <w:t>de</w:t>
      </w:r>
      <w:r w:rsidRPr="00312271">
        <w:rPr>
          <w:rFonts w:eastAsia="Times New Roman"/>
          <w:color w:val="auto"/>
        </w:rPr>
        <w:t xml:space="preserve"> comercialización que estos realizan a favor de las compañías aseguradoras; sin embargo, estas últimas mantienen la responsabilidad frente a los contratantes, asegurados y/o beneficiarios, por la prestación de los servicios, la administración de los riesgos y el cumplimiento normativo relacionado con la comercialización de productos de seguros.</w:t>
      </w:r>
    </w:p>
    <w:p w14:paraId="48FA781F" w14:textId="77777777" w:rsidR="003E2B14" w:rsidRPr="00312271" w:rsidRDefault="003E2B14" w:rsidP="00390054">
      <w:pPr>
        <w:pStyle w:val="Prrafodelista"/>
        <w:spacing w:line="240" w:lineRule="auto"/>
        <w:ind w:left="567"/>
        <w:rPr>
          <w:rFonts w:eastAsia="Times New Roman"/>
          <w:color w:val="auto"/>
        </w:rPr>
      </w:pPr>
    </w:p>
    <w:p w14:paraId="4BDF0BC9" w14:textId="77777777" w:rsidR="003E2B14" w:rsidRPr="00312271" w:rsidRDefault="003E2B14" w:rsidP="000B4039">
      <w:pPr>
        <w:pStyle w:val="Prrafodelista"/>
        <w:numPr>
          <w:ilvl w:val="0"/>
          <w:numId w:val="2"/>
        </w:numPr>
        <w:spacing w:line="240" w:lineRule="auto"/>
        <w:ind w:left="567" w:hanging="567"/>
        <w:jc w:val="both"/>
        <w:textAlignment w:val="baseline"/>
        <w:rPr>
          <w:rFonts w:eastAsia="Times New Roman"/>
          <w:color w:val="auto"/>
        </w:rPr>
      </w:pPr>
      <w:r w:rsidRPr="00312271">
        <w:rPr>
          <w:rFonts w:eastAsia="Times New Roman"/>
          <w:color w:val="auto"/>
        </w:rPr>
        <w:t xml:space="preserve">Conforme a lo indicado, el hecho consistente en </w:t>
      </w:r>
      <w:r w:rsidRPr="00312271">
        <w:rPr>
          <w:bCs/>
          <w:color w:val="auto"/>
        </w:rPr>
        <w:t xml:space="preserve">haber negado la cobertura de la póliza del Seguro de Desgravamen a la señora Castro por la invalidez total y permanente con menoscabo de 96.50% que padece, </w:t>
      </w:r>
      <w:r w:rsidRPr="00312271">
        <w:rPr>
          <w:rFonts w:eastAsia="Times New Roman"/>
          <w:color w:val="auto"/>
        </w:rPr>
        <w:t xml:space="preserve">sería de responsabilidad exclusiva de Interseguro, </w:t>
      </w:r>
      <w:r w:rsidRPr="00312271">
        <w:rPr>
          <w:rFonts w:eastAsia="Times New Roman"/>
          <w:color w:val="auto"/>
        </w:rPr>
        <w:lastRenderedPageBreak/>
        <w:t>en su calidad de compañía aseguradora, y no de Interbank, al tener la calidad de comercializador de seguros; ello en la medida que la compañía aseguradora es la responsable por la prestación de los servicios, la administración de los riesgos, el cumplimiento normativo relacionado con la comercialización de productos de seguros, así como la responsable de la entrega de la documentación pertinente.</w:t>
      </w:r>
    </w:p>
    <w:p w14:paraId="46D405A5" w14:textId="77777777" w:rsidR="003E2B14" w:rsidRPr="00312271" w:rsidRDefault="003E2B14" w:rsidP="00390054">
      <w:pPr>
        <w:pStyle w:val="Prrafodelista"/>
        <w:spacing w:line="240" w:lineRule="auto"/>
        <w:ind w:left="567"/>
        <w:textAlignment w:val="baseline"/>
        <w:rPr>
          <w:rFonts w:eastAsia="Times New Roman"/>
          <w:color w:val="auto"/>
        </w:rPr>
      </w:pPr>
    </w:p>
    <w:p w14:paraId="4EE96CCC" w14:textId="77777777" w:rsidR="003E2B14" w:rsidRPr="00312271" w:rsidRDefault="003E2B14" w:rsidP="000B4039">
      <w:pPr>
        <w:pStyle w:val="Prrafodelista"/>
        <w:numPr>
          <w:ilvl w:val="0"/>
          <w:numId w:val="2"/>
        </w:numPr>
        <w:spacing w:line="240" w:lineRule="auto"/>
        <w:ind w:left="567" w:hanging="567"/>
        <w:jc w:val="both"/>
        <w:textAlignment w:val="baseline"/>
        <w:rPr>
          <w:rFonts w:eastAsia="Times New Roman"/>
          <w:color w:val="auto"/>
        </w:rPr>
      </w:pPr>
      <w:r w:rsidRPr="00312271">
        <w:rPr>
          <w:rFonts w:eastAsia="Times New Roman"/>
          <w:color w:val="auto"/>
        </w:rPr>
        <w:t xml:space="preserve">Siendo ello así, al haberse determinado que la responsabilidad de </w:t>
      </w:r>
      <w:r w:rsidRPr="00312271">
        <w:rPr>
          <w:rFonts w:eastAsia="Times New Roman"/>
          <w:bCs/>
          <w:color w:val="auto"/>
        </w:rPr>
        <w:t>evaluar la solicitud de cobertura del Seguro de Desgravamen</w:t>
      </w:r>
      <w:r w:rsidRPr="00312271">
        <w:rPr>
          <w:rFonts w:eastAsia="Times New Roman"/>
          <w:color w:val="auto"/>
        </w:rPr>
        <w:t xml:space="preserve"> correspondía a Interseguro, y no a Interbank, corresponde declarar improcedente este extremo de la denuncia contra la entidad bancaria.</w:t>
      </w:r>
    </w:p>
    <w:p w14:paraId="6BFFB07D" w14:textId="77777777" w:rsidR="003E2B14" w:rsidRPr="00312271" w:rsidRDefault="003E2B14" w:rsidP="00390054">
      <w:pPr>
        <w:pStyle w:val="Prrafodelista"/>
        <w:spacing w:line="240" w:lineRule="auto"/>
        <w:ind w:left="567"/>
        <w:textAlignment w:val="baseline"/>
        <w:rPr>
          <w:rFonts w:eastAsia="Times New Roman"/>
          <w:color w:val="auto"/>
        </w:rPr>
      </w:pPr>
    </w:p>
    <w:p w14:paraId="4B229835" w14:textId="310D3D73" w:rsidR="003E2B14" w:rsidRPr="00312271" w:rsidRDefault="003E2B14" w:rsidP="000B4039">
      <w:pPr>
        <w:pStyle w:val="Prrafodelista"/>
        <w:numPr>
          <w:ilvl w:val="0"/>
          <w:numId w:val="2"/>
        </w:numPr>
        <w:spacing w:line="240" w:lineRule="auto"/>
        <w:ind w:left="567" w:hanging="567"/>
        <w:jc w:val="both"/>
        <w:rPr>
          <w:color w:val="auto"/>
        </w:rPr>
      </w:pPr>
      <w:r w:rsidRPr="00312271">
        <w:rPr>
          <w:color w:val="auto"/>
        </w:rPr>
        <w:t xml:space="preserve">De lo expuesto, </w:t>
      </w:r>
      <w:r w:rsidR="00B81AD3" w:rsidRPr="00312271">
        <w:rPr>
          <w:rFonts w:eastAsia="Times New Roman"/>
          <w:color w:val="auto"/>
        </w:rPr>
        <w:t xml:space="preserve">acogiendo la recomendación efectuada por la Secretaría Técnica en el Informe Final de Instrucción </w:t>
      </w:r>
      <w:proofErr w:type="spellStart"/>
      <w:r w:rsidR="00B81AD3" w:rsidRPr="00312271">
        <w:rPr>
          <w:rFonts w:eastAsia="Times New Roman"/>
          <w:color w:val="auto"/>
        </w:rPr>
        <w:t>N°</w:t>
      </w:r>
      <w:proofErr w:type="spellEnd"/>
      <w:r w:rsidR="00B81AD3" w:rsidRPr="00312271">
        <w:rPr>
          <w:rFonts w:eastAsia="Times New Roman"/>
          <w:color w:val="auto"/>
        </w:rPr>
        <w:t xml:space="preserve"> 1691-2025/CC1-ST, esta Comisión considera que corresponde</w:t>
      </w:r>
      <w:r w:rsidR="00B81AD3" w:rsidRPr="00312271">
        <w:rPr>
          <w:color w:val="auto"/>
        </w:rPr>
        <w:t xml:space="preserve"> </w:t>
      </w:r>
      <w:r w:rsidRPr="00312271">
        <w:rPr>
          <w:color w:val="auto"/>
        </w:rPr>
        <w:t xml:space="preserve">declarar improcedente, por falta de legitimidad para obrar pasiva, la denuncia interpuesta por la señora Castro contra </w:t>
      </w:r>
      <w:r w:rsidRPr="00312271">
        <w:rPr>
          <w:rFonts w:eastAsiaTheme="minorEastAsia"/>
          <w:color w:val="auto"/>
        </w:rPr>
        <w:t xml:space="preserve">Interbank, </w:t>
      </w:r>
      <w:r w:rsidRPr="00312271">
        <w:rPr>
          <w:color w:val="auto"/>
        </w:rPr>
        <w:t xml:space="preserve">por presunta infracción a los artículos 18° y 19° </w:t>
      </w:r>
      <w:r w:rsidRPr="00312271">
        <w:rPr>
          <w:color w:val="auto"/>
          <w:lang w:val="es-ES"/>
        </w:rPr>
        <w:t>del Código</w:t>
      </w:r>
      <w:r w:rsidRPr="00312271">
        <w:rPr>
          <w:bCs/>
          <w:color w:val="auto"/>
        </w:rPr>
        <w:t xml:space="preserve">, </w:t>
      </w:r>
      <w:r w:rsidRPr="00312271">
        <w:rPr>
          <w:color w:val="auto"/>
        </w:rPr>
        <w:t>en el extremo referido a que la entidad bancaria se habría negado injustificadamente a otorgar a la denunciante la cobertura de la póliza del Seguro de Desgravamen por la invalidez total y permanente con menoscabo de 96.50% que padece</w:t>
      </w:r>
      <w:r w:rsidRPr="00312271">
        <w:rPr>
          <w:bCs/>
          <w:color w:val="auto"/>
        </w:rPr>
        <w:t>; toda vez que el proveedor denunciado ostentó la condición de comercializador de seguros al momento de la contratación de la póliza materia de denuncia</w:t>
      </w:r>
      <w:r w:rsidRPr="00312271">
        <w:rPr>
          <w:color w:val="auto"/>
          <w:lang w:val="es"/>
        </w:rPr>
        <w:t>.</w:t>
      </w:r>
    </w:p>
    <w:p w14:paraId="0935F935" w14:textId="77777777" w:rsidR="003E2B14" w:rsidRPr="00312271" w:rsidRDefault="003E2B14" w:rsidP="00390054">
      <w:pPr>
        <w:pStyle w:val="Prrafodelista"/>
        <w:spacing w:line="240" w:lineRule="auto"/>
        <w:ind w:left="0"/>
        <w:rPr>
          <w:b/>
          <w:bCs/>
          <w:color w:val="auto"/>
        </w:rPr>
      </w:pPr>
    </w:p>
    <w:p w14:paraId="76A61275" w14:textId="77777777" w:rsidR="003E2B14" w:rsidRPr="00312271" w:rsidRDefault="003E2B14" w:rsidP="00390054">
      <w:pPr>
        <w:pStyle w:val="Prrafodelista"/>
        <w:spacing w:line="240" w:lineRule="auto"/>
        <w:ind w:left="0"/>
        <w:rPr>
          <w:b/>
          <w:color w:val="auto"/>
        </w:rPr>
      </w:pPr>
      <w:r w:rsidRPr="00312271">
        <w:rPr>
          <w:b/>
          <w:bCs/>
          <w:color w:val="auto"/>
        </w:rPr>
        <w:t>Sobre el deber de idoneidad</w:t>
      </w:r>
    </w:p>
    <w:p w14:paraId="5C1F1926" w14:textId="77777777" w:rsidR="003E2B14" w:rsidRPr="00312271" w:rsidRDefault="003E2B14" w:rsidP="00390054">
      <w:pPr>
        <w:pStyle w:val="Prrafodelista"/>
        <w:spacing w:line="240" w:lineRule="auto"/>
        <w:ind w:left="567"/>
        <w:rPr>
          <w:color w:val="auto"/>
        </w:rPr>
      </w:pPr>
    </w:p>
    <w:p w14:paraId="3014B061" w14:textId="77777777" w:rsidR="003E2B14" w:rsidRPr="00312271" w:rsidRDefault="003E2B14" w:rsidP="000B4039">
      <w:pPr>
        <w:pStyle w:val="Prrafodelista"/>
        <w:numPr>
          <w:ilvl w:val="0"/>
          <w:numId w:val="2"/>
        </w:numPr>
        <w:spacing w:line="240" w:lineRule="auto"/>
        <w:ind w:left="567" w:hanging="567"/>
        <w:jc w:val="both"/>
        <w:rPr>
          <w:b/>
          <w:color w:val="auto"/>
        </w:rPr>
      </w:pPr>
      <w:r w:rsidRPr="00312271">
        <w:rPr>
          <w:color w:val="auto"/>
        </w:rPr>
        <w:t>El artículo 18º del Código establece que la idoneidad es la correspondencia entre lo que un consumidor espera y lo que efectivamente recibe</w:t>
      </w:r>
      <w:r w:rsidRPr="00312271">
        <w:rPr>
          <w:rStyle w:val="Refdenotaalpie"/>
          <w:color w:val="auto"/>
        </w:rPr>
        <w:footnoteReference w:id="9"/>
      </w:r>
      <w:r w:rsidRPr="00312271">
        <w:rPr>
          <w:color w:val="auto"/>
        </w:rPr>
        <w:t>.</w:t>
      </w:r>
    </w:p>
    <w:p w14:paraId="24BF5075" w14:textId="77777777" w:rsidR="003E2B14" w:rsidRPr="00312271" w:rsidRDefault="003E2B14" w:rsidP="00390054">
      <w:pPr>
        <w:pStyle w:val="Prrafodelista"/>
        <w:spacing w:line="240" w:lineRule="auto"/>
        <w:ind w:left="567"/>
        <w:rPr>
          <w:b/>
          <w:color w:val="auto"/>
        </w:rPr>
      </w:pPr>
    </w:p>
    <w:p w14:paraId="5A7E5C76" w14:textId="77777777" w:rsidR="003E2B14" w:rsidRPr="00312271" w:rsidRDefault="003E2B14" w:rsidP="000B4039">
      <w:pPr>
        <w:pStyle w:val="Prrafodelista"/>
        <w:numPr>
          <w:ilvl w:val="0"/>
          <w:numId w:val="2"/>
        </w:numPr>
        <w:spacing w:line="240" w:lineRule="auto"/>
        <w:ind w:left="567" w:hanging="567"/>
        <w:jc w:val="both"/>
        <w:rPr>
          <w:b/>
          <w:color w:val="auto"/>
        </w:rPr>
      </w:pPr>
      <w:r w:rsidRPr="00312271">
        <w:rPr>
          <w:color w:val="auto"/>
        </w:rPr>
        <w:t>Por su parte, el artículo 19º del Código establece que los proveedores son responsables por la calidad e idoneidad de los productos y servicios que ofrecen en el mercado</w:t>
      </w:r>
      <w:r w:rsidRPr="00312271">
        <w:rPr>
          <w:rStyle w:val="Refdenotaalpie"/>
          <w:color w:val="auto"/>
        </w:rPr>
        <w:footnoteReference w:id="10"/>
      </w:r>
      <w:r w:rsidRPr="00312271">
        <w:rPr>
          <w:color w:val="auto"/>
        </w:rPr>
        <w:t xml:space="preserve">. En aplicación de esta norma, los proveedores tienen el deber de entregar los productos y prestar los servicios al consumidor en las condiciones ofertadas o previsibles, </w:t>
      </w:r>
      <w:r w:rsidRPr="00312271">
        <w:rPr>
          <w:color w:val="auto"/>
        </w:rPr>
        <w:lastRenderedPageBreak/>
        <w:t>atendiendo a la naturaleza de estos, la regulación que sobre el particular se haya establecido y, en general, a la información brindada por el proveedor o puesta a disposición.</w:t>
      </w:r>
    </w:p>
    <w:p w14:paraId="3CAE1167" w14:textId="77777777" w:rsidR="003E2B14" w:rsidRPr="00312271" w:rsidRDefault="003E2B14" w:rsidP="00390054">
      <w:pPr>
        <w:pStyle w:val="Prrafodelista"/>
        <w:spacing w:line="240" w:lineRule="auto"/>
        <w:ind w:left="567"/>
        <w:rPr>
          <w:color w:val="auto"/>
        </w:rPr>
      </w:pPr>
    </w:p>
    <w:p w14:paraId="7CDE83E4" w14:textId="77777777" w:rsidR="003E2B14" w:rsidRPr="00312271" w:rsidRDefault="003E2B14" w:rsidP="000B4039">
      <w:pPr>
        <w:pStyle w:val="Prrafodelista"/>
        <w:numPr>
          <w:ilvl w:val="0"/>
          <w:numId w:val="2"/>
        </w:numPr>
        <w:spacing w:line="240" w:lineRule="auto"/>
        <w:ind w:left="567" w:hanging="567"/>
        <w:jc w:val="both"/>
        <w:rPr>
          <w:color w:val="auto"/>
        </w:rPr>
      </w:pPr>
      <w:r w:rsidRPr="00312271">
        <w:rPr>
          <w:color w:val="auto"/>
        </w:rPr>
        <w:t>En su denuncia, la señora Castro cuestionó que la compañía aseguradora se habría negado injustificadamente a otorgarle la cobertura de la póliza del Seguro de Desgravamen por la invalidez total y permanente con menoscabo de 96.50% que padece.</w:t>
      </w:r>
    </w:p>
    <w:p w14:paraId="7F76BC1C" w14:textId="77777777" w:rsidR="003E2B14" w:rsidRPr="00312271" w:rsidRDefault="003E2B14" w:rsidP="00390054">
      <w:pPr>
        <w:spacing w:after="0" w:line="240" w:lineRule="auto"/>
        <w:ind w:left="567"/>
        <w:contextualSpacing/>
        <w:rPr>
          <w:rFonts w:ascii="Arial" w:hAnsi="Arial" w:cs="Arial"/>
          <w:color w:val="auto"/>
        </w:rPr>
      </w:pPr>
    </w:p>
    <w:p w14:paraId="091B68CC" w14:textId="77777777" w:rsidR="003E2B14" w:rsidRPr="00312271" w:rsidRDefault="003E2B14" w:rsidP="000B4039">
      <w:pPr>
        <w:pStyle w:val="Prrafodelista"/>
        <w:numPr>
          <w:ilvl w:val="0"/>
          <w:numId w:val="2"/>
        </w:numPr>
        <w:spacing w:line="240" w:lineRule="auto"/>
        <w:ind w:left="567" w:hanging="567"/>
        <w:jc w:val="both"/>
        <w:rPr>
          <w:color w:val="auto"/>
        </w:rPr>
      </w:pPr>
      <w:r w:rsidRPr="00312271">
        <w:rPr>
          <w:color w:val="auto"/>
        </w:rPr>
        <w:t xml:space="preserve">En este punto, es preciso señalar que el artículo 15° del Reglamento para la Gestión y Pago de Siniestros, aprobado por la Resolución SBS </w:t>
      </w:r>
      <w:proofErr w:type="spellStart"/>
      <w:r w:rsidRPr="00312271">
        <w:rPr>
          <w:color w:val="auto"/>
        </w:rPr>
        <w:t>N°</w:t>
      </w:r>
      <w:proofErr w:type="spellEnd"/>
      <w:r w:rsidRPr="00312271">
        <w:rPr>
          <w:color w:val="auto"/>
        </w:rPr>
        <w:t xml:space="preserve"> 3202-2013</w:t>
      </w:r>
      <w:r w:rsidRPr="00312271">
        <w:rPr>
          <w:rStyle w:val="Refdenotaalpie"/>
          <w:color w:val="auto"/>
        </w:rPr>
        <w:footnoteReference w:id="11"/>
      </w:r>
      <w:r w:rsidRPr="00312271">
        <w:rPr>
          <w:color w:val="auto"/>
        </w:rPr>
        <w:t xml:space="preserve"> (en adelante, Reglamento para la Gestión y Pago de Siniestros), establece que las compañías aseguradoras se encuentran obligadas a fundamentar y detallar los motivos que sustentan el rechazo de las solicitudes de cobertura presentadas por los asegurados.</w:t>
      </w:r>
    </w:p>
    <w:p w14:paraId="7B901FDD" w14:textId="77777777" w:rsidR="003E2B14" w:rsidRPr="00312271" w:rsidRDefault="003E2B14" w:rsidP="00390054">
      <w:pPr>
        <w:pStyle w:val="Prrafodelista"/>
        <w:spacing w:line="240" w:lineRule="auto"/>
        <w:ind w:left="567"/>
        <w:rPr>
          <w:rFonts w:eastAsia="Times New Roman"/>
          <w:color w:val="auto"/>
        </w:rPr>
      </w:pPr>
    </w:p>
    <w:p w14:paraId="6323659B" w14:textId="77777777" w:rsidR="003E2B14" w:rsidRPr="00312271" w:rsidRDefault="003E2B14" w:rsidP="000B4039">
      <w:pPr>
        <w:pStyle w:val="Prrafodelista"/>
        <w:numPr>
          <w:ilvl w:val="0"/>
          <w:numId w:val="2"/>
        </w:numPr>
        <w:spacing w:line="240" w:lineRule="auto"/>
        <w:ind w:left="567" w:hanging="567"/>
        <w:jc w:val="both"/>
        <w:rPr>
          <w:rFonts w:eastAsia="Times New Roman"/>
          <w:color w:val="auto"/>
        </w:rPr>
      </w:pPr>
      <w:r w:rsidRPr="00312271">
        <w:rPr>
          <w:color w:val="auto"/>
        </w:rPr>
        <w:t xml:space="preserve">En el presente caso, mediante la Carta GOT-SIN-11134-2024 </w:t>
      </w:r>
      <w:r w:rsidRPr="00312271">
        <w:rPr>
          <w:rFonts w:eastAsiaTheme="minorEastAsia"/>
          <w:color w:val="auto"/>
        </w:rPr>
        <w:t>del 25 de junio de 2024</w:t>
      </w:r>
      <w:r w:rsidRPr="00312271">
        <w:rPr>
          <w:rStyle w:val="Refdenotaalpie"/>
          <w:color w:val="auto"/>
        </w:rPr>
        <w:footnoteReference w:id="12"/>
      </w:r>
      <w:r w:rsidRPr="00312271">
        <w:rPr>
          <w:color w:val="auto"/>
        </w:rPr>
        <w:t>, Interseguro negó a la denunciante la cobertura del Seguro de Desgravamen, señalando lo siguiente:</w:t>
      </w:r>
    </w:p>
    <w:p w14:paraId="5FFDE31E" w14:textId="77777777" w:rsidR="003E2B14" w:rsidRPr="00312271" w:rsidRDefault="003E2B14" w:rsidP="00390054">
      <w:pPr>
        <w:pStyle w:val="Prrafodelista"/>
        <w:spacing w:line="240" w:lineRule="auto"/>
        <w:ind w:left="567"/>
        <w:rPr>
          <w:rFonts w:eastAsia="Times New Roman"/>
          <w:color w:val="auto"/>
        </w:rPr>
      </w:pPr>
    </w:p>
    <w:p w14:paraId="29FEE0BF" w14:textId="77777777" w:rsidR="003E2B14" w:rsidRPr="00312271" w:rsidRDefault="003E2B14" w:rsidP="000B4039">
      <w:pPr>
        <w:pStyle w:val="Prrafodelista"/>
        <w:numPr>
          <w:ilvl w:val="0"/>
          <w:numId w:val="11"/>
        </w:numPr>
        <w:spacing w:line="240" w:lineRule="auto"/>
        <w:ind w:left="1134" w:hanging="567"/>
        <w:jc w:val="both"/>
        <w:rPr>
          <w:rFonts w:eastAsia="Times New Roman"/>
          <w:color w:val="auto"/>
        </w:rPr>
      </w:pPr>
      <w:r w:rsidRPr="00312271">
        <w:rPr>
          <w:rFonts w:eastAsia="Times New Roman"/>
          <w:color w:val="auto"/>
        </w:rPr>
        <w:t>De la revisión del historial médico que acompaña la solicitud de cobertura, se ha acreditado que en un informe médico de fecha 12 de marzo de 2024 se anotó que la asegurada padecía de glaucoma desde hace diez (10) años, es decir, antes de la contratación del Seguro de Desgravamen.</w:t>
      </w:r>
    </w:p>
    <w:p w14:paraId="3200D9FA" w14:textId="77777777" w:rsidR="003E2B14" w:rsidRPr="00312271" w:rsidRDefault="003E2B14" w:rsidP="00390054">
      <w:pPr>
        <w:pStyle w:val="Prrafodelista"/>
        <w:spacing w:line="240" w:lineRule="auto"/>
        <w:ind w:left="1134"/>
        <w:rPr>
          <w:rFonts w:eastAsia="Times New Roman"/>
          <w:color w:val="auto"/>
        </w:rPr>
      </w:pPr>
    </w:p>
    <w:p w14:paraId="65B71672" w14:textId="77777777" w:rsidR="003E2B14" w:rsidRPr="00312271" w:rsidRDefault="003E2B14" w:rsidP="000B4039">
      <w:pPr>
        <w:pStyle w:val="Prrafodelista"/>
        <w:numPr>
          <w:ilvl w:val="0"/>
          <w:numId w:val="11"/>
        </w:numPr>
        <w:spacing w:line="240" w:lineRule="auto"/>
        <w:ind w:left="1134" w:hanging="567"/>
        <w:jc w:val="both"/>
        <w:rPr>
          <w:rFonts w:eastAsia="Times New Roman"/>
          <w:color w:val="auto"/>
        </w:rPr>
      </w:pPr>
      <w:r w:rsidRPr="00312271">
        <w:rPr>
          <w:rFonts w:eastAsia="Times New Roman"/>
          <w:color w:val="auto"/>
        </w:rPr>
        <w:t>De conformidad a lo establecido en el artículo 6° de las Condiciones Generales de la póliza del Seguro de Desgravamen, establece que el seguro no cubre los riesgos asegurados cuando ocurre a consecuencia de enfermedades preexistentes o accidentes producidos con anterioridad al inicio de la póliza y que sean de conocimiento del asegurado a la fecha de contratación.</w:t>
      </w:r>
    </w:p>
    <w:p w14:paraId="3BE51052" w14:textId="77777777" w:rsidR="003E2B14" w:rsidRPr="00312271" w:rsidRDefault="003E2B14" w:rsidP="00390054">
      <w:pPr>
        <w:pStyle w:val="Prrafodelista"/>
        <w:spacing w:line="240" w:lineRule="auto"/>
        <w:ind w:left="1134"/>
        <w:rPr>
          <w:rFonts w:eastAsia="Times New Roman"/>
          <w:color w:val="auto"/>
        </w:rPr>
      </w:pPr>
    </w:p>
    <w:p w14:paraId="5DAFEBC2" w14:textId="77777777" w:rsidR="003E2B14" w:rsidRPr="00312271" w:rsidRDefault="003E2B14" w:rsidP="000B4039">
      <w:pPr>
        <w:pStyle w:val="Prrafodelista"/>
        <w:numPr>
          <w:ilvl w:val="0"/>
          <w:numId w:val="11"/>
        </w:numPr>
        <w:spacing w:line="240" w:lineRule="auto"/>
        <w:ind w:left="1134" w:hanging="567"/>
        <w:jc w:val="both"/>
        <w:rPr>
          <w:rFonts w:eastAsia="Times New Roman"/>
          <w:color w:val="auto"/>
        </w:rPr>
      </w:pPr>
      <w:r w:rsidRPr="00312271">
        <w:rPr>
          <w:rFonts w:eastAsia="Times New Roman"/>
          <w:color w:val="auto"/>
        </w:rPr>
        <w:t xml:space="preserve">Al momento de la contratación del Seguro de Desgravamen, la señora Castro ya tenía conocimiento del padecimiento de tales enfermedades. Así, al configurarse </w:t>
      </w:r>
      <w:r w:rsidRPr="00312271">
        <w:rPr>
          <w:rFonts w:eastAsia="Times New Roman"/>
          <w:color w:val="auto"/>
        </w:rPr>
        <w:lastRenderedPageBreak/>
        <w:t>el supuesto de exclusión previsto en las condiciones de la póliza, se le informó que su solicitud carecía de cobertura.</w:t>
      </w:r>
    </w:p>
    <w:p w14:paraId="40F466BD" w14:textId="77777777" w:rsidR="003E2B14" w:rsidRPr="00312271" w:rsidRDefault="003E2B14" w:rsidP="00390054">
      <w:pPr>
        <w:pStyle w:val="Prrafodelista"/>
        <w:spacing w:line="240" w:lineRule="auto"/>
        <w:ind w:left="567"/>
        <w:rPr>
          <w:rFonts w:eastAsia="Times New Roman"/>
          <w:color w:val="auto"/>
        </w:rPr>
      </w:pPr>
    </w:p>
    <w:p w14:paraId="7B1644C3" w14:textId="14995BBA" w:rsidR="003E2B14" w:rsidRPr="00312271" w:rsidRDefault="003E2B14" w:rsidP="000B4039">
      <w:pPr>
        <w:pStyle w:val="Prrafodelista"/>
        <w:numPr>
          <w:ilvl w:val="0"/>
          <w:numId w:val="2"/>
        </w:numPr>
        <w:spacing w:line="240" w:lineRule="auto"/>
        <w:ind w:left="567" w:hanging="567"/>
        <w:jc w:val="both"/>
        <w:rPr>
          <w:rFonts w:eastAsia="Times New Roman"/>
          <w:color w:val="auto"/>
        </w:rPr>
      </w:pPr>
      <w:r w:rsidRPr="00312271">
        <w:rPr>
          <w:color w:val="auto"/>
        </w:rPr>
        <w:t xml:space="preserve">En base a lo expuesto, corresponde a esta </w:t>
      </w:r>
      <w:r w:rsidR="00045B7E" w:rsidRPr="00312271">
        <w:rPr>
          <w:color w:val="auto"/>
        </w:rPr>
        <w:t>Comisión</w:t>
      </w:r>
      <w:r w:rsidRPr="00312271">
        <w:rPr>
          <w:color w:val="auto"/>
        </w:rPr>
        <w:t xml:space="preserve"> determinar si el rechazo de Interseguro a la solicitud de cobertura del Seguro de Desgravamen, presentada por la señora Castro, se encontró justificado. Para ello analizará lo siguiente:</w:t>
      </w:r>
    </w:p>
    <w:p w14:paraId="2058E075" w14:textId="77777777" w:rsidR="003E2B14" w:rsidRPr="00312271" w:rsidRDefault="003E2B14" w:rsidP="00390054">
      <w:pPr>
        <w:pStyle w:val="Prrafodelista"/>
        <w:spacing w:line="240" w:lineRule="auto"/>
        <w:ind w:left="567"/>
        <w:rPr>
          <w:rFonts w:eastAsia="Times New Roman"/>
          <w:color w:val="auto"/>
        </w:rPr>
      </w:pPr>
    </w:p>
    <w:p w14:paraId="0CA7A679" w14:textId="77777777" w:rsidR="003E2B14" w:rsidRPr="00312271" w:rsidRDefault="003E2B14" w:rsidP="000B4039">
      <w:pPr>
        <w:numPr>
          <w:ilvl w:val="3"/>
          <w:numId w:val="4"/>
        </w:numPr>
        <w:tabs>
          <w:tab w:val="left" w:pos="1701"/>
        </w:tabs>
        <w:spacing w:after="0" w:line="240" w:lineRule="auto"/>
        <w:ind w:left="1134" w:hanging="567"/>
        <w:contextualSpacing/>
        <w:jc w:val="both"/>
        <w:rPr>
          <w:rFonts w:ascii="Arial" w:hAnsi="Arial" w:cs="Arial"/>
          <w:color w:val="auto"/>
        </w:rPr>
      </w:pPr>
      <w:r w:rsidRPr="00312271">
        <w:rPr>
          <w:rFonts w:ascii="Arial" w:hAnsi="Arial" w:cs="Arial"/>
          <w:color w:val="auto"/>
        </w:rPr>
        <w:t>Primero, desarrollar qué es la preexistencia y si esta se encontraba contemplada como una causal de exclusión en la póliza materia de denuncia.</w:t>
      </w:r>
    </w:p>
    <w:p w14:paraId="16AA2BC1" w14:textId="77777777" w:rsidR="003E2B14" w:rsidRPr="00312271" w:rsidRDefault="003E2B14" w:rsidP="00390054">
      <w:pPr>
        <w:tabs>
          <w:tab w:val="left" w:pos="1701"/>
        </w:tabs>
        <w:spacing w:after="0" w:line="240" w:lineRule="auto"/>
        <w:ind w:left="1134"/>
        <w:contextualSpacing/>
        <w:rPr>
          <w:rFonts w:ascii="Arial" w:hAnsi="Arial" w:cs="Arial"/>
          <w:color w:val="auto"/>
        </w:rPr>
      </w:pPr>
    </w:p>
    <w:p w14:paraId="195D3CA5" w14:textId="77777777" w:rsidR="003E2B14" w:rsidRPr="00312271" w:rsidRDefault="003E2B14" w:rsidP="000B4039">
      <w:pPr>
        <w:numPr>
          <w:ilvl w:val="3"/>
          <w:numId w:val="4"/>
        </w:numPr>
        <w:tabs>
          <w:tab w:val="left" w:pos="1701"/>
        </w:tabs>
        <w:spacing w:after="0" w:line="240" w:lineRule="auto"/>
        <w:ind w:left="1134" w:hanging="567"/>
        <w:contextualSpacing/>
        <w:jc w:val="both"/>
        <w:rPr>
          <w:rFonts w:ascii="Arial" w:hAnsi="Arial" w:cs="Arial"/>
          <w:color w:val="auto"/>
        </w:rPr>
      </w:pPr>
      <w:r w:rsidRPr="00312271">
        <w:rPr>
          <w:rFonts w:ascii="Arial" w:hAnsi="Arial" w:cs="Arial"/>
          <w:color w:val="auto"/>
        </w:rPr>
        <w:t>Segundo, verificar si esta exclusión fue puesta en conocimiento de la denunciante al momento de la contratación del Seguro de Desgravamen.</w:t>
      </w:r>
    </w:p>
    <w:p w14:paraId="28EC3BE4" w14:textId="77777777" w:rsidR="003E2B14" w:rsidRPr="00312271" w:rsidRDefault="003E2B14" w:rsidP="00390054">
      <w:pPr>
        <w:pStyle w:val="Prrafodelista"/>
        <w:spacing w:line="240" w:lineRule="auto"/>
        <w:ind w:left="1134"/>
        <w:rPr>
          <w:color w:val="auto"/>
        </w:rPr>
      </w:pPr>
    </w:p>
    <w:p w14:paraId="09C26B47" w14:textId="77777777" w:rsidR="003E2B14" w:rsidRPr="00312271" w:rsidRDefault="003E2B14" w:rsidP="000B4039">
      <w:pPr>
        <w:numPr>
          <w:ilvl w:val="3"/>
          <w:numId w:val="4"/>
        </w:numPr>
        <w:tabs>
          <w:tab w:val="left" w:pos="1701"/>
        </w:tabs>
        <w:spacing w:after="0" w:line="240" w:lineRule="auto"/>
        <w:ind w:left="1134" w:hanging="567"/>
        <w:contextualSpacing/>
        <w:jc w:val="both"/>
        <w:rPr>
          <w:rFonts w:ascii="Arial" w:hAnsi="Arial" w:cs="Arial"/>
          <w:color w:val="auto"/>
        </w:rPr>
      </w:pPr>
      <w:r w:rsidRPr="00312271">
        <w:rPr>
          <w:rFonts w:ascii="Arial" w:hAnsi="Arial" w:cs="Arial"/>
          <w:color w:val="auto"/>
        </w:rPr>
        <w:t>Tercero, analizar si la enfermedad que padecía la asegurada calificaba como una enfermedad preexistente.</w:t>
      </w:r>
    </w:p>
    <w:p w14:paraId="029A4748" w14:textId="77777777" w:rsidR="003E2B14" w:rsidRPr="00312271" w:rsidRDefault="003E2B14" w:rsidP="00390054">
      <w:pPr>
        <w:pStyle w:val="Prrafodelista"/>
        <w:spacing w:line="240" w:lineRule="auto"/>
        <w:ind w:left="567"/>
        <w:rPr>
          <w:bCs/>
          <w:color w:val="auto"/>
        </w:rPr>
      </w:pPr>
    </w:p>
    <w:p w14:paraId="73AD4961" w14:textId="77777777" w:rsidR="003E2B14" w:rsidRPr="00312271" w:rsidRDefault="003E2B14" w:rsidP="000B4039">
      <w:pPr>
        <w:pStyle w:val="Prrafodelista"/>
        <w:numPr>
          <w:ilvl w:val="0"/>
          <w:numId w:val="12"/>
        </w:numPr>
        <w:spacing w:line="240" w:lineRule="auto"/>
        <w:ind w:left="567" w:hanging="567"/>
        <w:jc w:val="both"/>
        <w:rPr>
          <w:bCs/>
          <w:color w:val="auto"/>
        </w:rPr>
      </w:pPr>
      <w:r w:rsidRPr="00312271">
        <w:rPr>
          <w:b/>
          <w:bCs/>
          <w:i/>
          <w:iCs/>
          <w:color w:val="auto"/>
        </w:rPr>
        <w:t>De la preexistencia como causal de exclusión de cobertura</w:t>
      </w:r>
    </w:p>
    <w:p w14:paraId="59E4FF3B" w14:textId="77777777" w:rsidR="003E2B14" w:rsidRPr="00312271" w:rsidRDefault="003E2B14" w:rsidP="00390054">
      <w:pPr>
        <w:pStyle w:val="Prrafodelista"/>
        <w:spacing w:line="240" w:lineRule="auto"/>
        <w:ind w:left="567"/>
        <w:rPr>
          <w:color w:val="auto"/>
        </w:rPr>
      </w:pPr>
    </w:p>
    <w:p w14:paraId="4120680E" w14:textId="77777777" w:rsidR="003E2B14" w:rsidRPr="00312271" w:rsidRDefault="003E2B14" w:rsidP="000B4039">
      <w:pPr>
        <w:pStyle w:val="Prrafodelista"/>
        <w:numPr>
          <w:ilvl w:val="0"/>
          <w:numId w:val="2"/>
        </w:numPr>
        <w:spacing w:line="240" w:lineRule="auto"/>
        <w:ind w:left="567" w:hanging="567"/>
        <w:jc w:val="both"/>
        <w:textAlignment w:val="baseline"/>
        <w:rPr>
          <w:color w:val="auto"/>
        </w:rPr>
      </w:pPr>
      <w:r w:rsidRPr="00312271">
        <w:rPr>
          <w:color w:val="auto"/>
        </w:rPr>
        <w:t xml:space="preserve">Sobre este punto, resulta necesario determinar lo que se entiende por “preexistencia”. Así, la Ley </w:t>
      </w:r>
      <w:proofErr w:type="spellStart"/>
      <w:r w:rsidRPr="00312271">
        <w:rPr>
          <w:color w:val="auto"/>
        </w:rPr>
        <w:t>N°</w:t>
      </w:r>
      <w:proofErr w:type="spellEnd"/>
      <w:r w:rsidRPr="00312271">
        <w:rPr>
          <w:color w:val="auto"/>
        </w:rPr>
        <w:t xml:space="preserve"> 29561</w:t>
      </w:r>
      <w:r w:rsidRPr="00312271">
        <w:rPr>
          <w:color w:val="auto"/>
          <w:vertAlign w:val="superscript"/>
        </w:rPr>
        <w:footnoteReference w:id="13"/>
      </w:r>
      <w:r w:rsidRPr="00312271">
        <w:rPr>
          <w:color w:val="auto"/>
        </w:rPr>
        <w:t xml:space="preserve"> —vigente desde el 18 de julio de 2010— la define </w:t>
      </w:r>
      <w:r w:rsidRPr="00312271">
        <w:rPr>
          <w:iCs/>
          <w:color w:val="auto"/>
          <w:u w:val="single"/>
        </w:rPr>
        <w:t>condición de alteración del estado de salud</w:t>
      </w:r>
      <w:r w:rsidRPr="00312271">
        <w:rPr>
          <w:iCs/>
          <w:color w:val="auto"/>
        </w:rPr>
        <w:t xml:space="preserve"> diagnosticada por un profesional médico colegiado, conocida por el titular o dependiente y no resuelta en el momento previo a la presentación de la declaración jurada de salud</w:t>
      </w:r>
      <w:r w:rsidRPr="00312271">
        <w:rPr>
          <w:rStyle w:val="Refdenotaalpie"/>
          <w:color w:val="auto"/>
        </w:rPr>
        <w:footnoteReference w:id="14"/>
      </w:r>
      <w:r w:rsidRPr="00312271">
        <w:rPr>
          <w:iCs/>
          <w:color w:val="auto"/>
        </w:rPr>
        <w:t xml:space="preserve">. </w:t>
      </w:r>
    </w:p>
    <w:p w14:paraId="1344B0F6" w14:textId="77777777" w:rsidR="003E2B14" w:rsidRPr="00312271" w:rsidRDefault="003E2B14" w:rsidP="00390054">
      <w:pPr>
        <w:spacing w:after="0" w:line="240" w:lineRule="auto"/>
        <w:ind w:left="567"/>
        <w:contextualSpacing/>
        <w:rPr>
          <w:rFonts w:ascii="Arial" w:hAnsi="Arial" w:cs="Arial"/>
          <w:color w:val="auto"/>
        </w:rPr>
      </w:pPr>
    </w:p>
    <w:p w14:paraId="4D4598F8"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iCs/>
          <w:color w:val="auto"/>
        </w:rPr>
      </w:pPr>
      <w:r w:rsidRPr="00312271">
        <w:rPr>
          <w:rFonts w:ascii="Arial" w:hAnsi="Arial" w:cs="Arial"/>
          <w:color w:val="auto"/>
        </w:rPr>
        <w:t xml:space="preserve">En la misma línea, el artículo 118° de Ley </w:t>
      </w:r>
      <w:proofErr w:type="spellStart"/>
      <w:r w:rsidRPr="00312271">
        <w:rPr>
          <w:rFonts w:ascii="Arial" w:hAnsi="Arial" w:cs="Arial"/>
          <w:color w:val="auto"/>
        </w:rPr>
        <w:t>N°</w:t>
      </w:r>
      <w:proofErr w:type="spellEnd"/>
      <w:r w:rsidRPr="00312271">
        <w:rPr>
          <w:rFonts w:ascii="Arial" w:hAnsi="Arial" w:cs="Arial"/>
          <w:color w:val="auto"/>
        </w:rPr>
        <w:t xml:space="preserve"> 29946, Ley del Contrato de Seguro</w:t>
      </w:r>
      <w:r w:rsidRPr="00312271">
        <w:rPr>
          <w:rFonts w:ascii="Arial" w:hAnsi="Arial" w:cs="Arial"/>
          <w:color w:val="auto"/>
          <w:vertAlign w:val="superscript"/>
        </w:rPr>
        <w:footnoteReference w:id="15"/>
      </w:r>
      <w:r w:rsidRPr="00312271">
        <w:rPr>
          <w:rFonts w:ascii="Arial" w:hAnsi="Arial" w:cs="Arial"/>
          <w:color w:val="auto"/>
        </w:rPr>
        <w:t xml:space="preserve"> (en adelante, Ley del Contrato de Seguro), define la preexistencia como </w:t>
      </w:r>
      <w:r w:rsidRPr="00312271">
        <w:rPr>
          <w:rFonts w:ascii="Arial" w:hAnsi="Arial" w:cs="Arial"/>
          <w:iCs/>
          <w:color w:val="auto"/>
          <w:u w:val="single"/>
        </w:rPr>
        <w:t xml:space="preserve">cualquier condición de alteración del estado de salud </w:t>
      </w:r>
      <w:r w:rsidRPr="00312271">
        <w:rPr>
          <w:rFonts w:ascii="Arial" w:hAnsi="Arial" w:cs="Arial"/>
          <w:iCs/>
          <w:color w:val="auto"/>
        </w:rPr>
        <w:t>diagnosticada por un profesional médico colegiado, conocida por el titular o dependiente y no resuelta en el momento previo a la presentación de la declaración jurada de salud.</w:t>
      </w:r>
    </w:p>
    <w:p w14:paraId="020A4680" w14:textId="77777777" w:rsidR="003E2B14" w:rsidRPr="00312271" w:rsidRDefault="003E2B14" w:rsidP="00390054">
      <w:pPr>
        <w:spacing w:after="0" w:line="240" w:lineRule="auto"/>
        <w:ind w:left="567"/>
        <w:contextualSpacing/>
        <w:rPr>
          <w:rFonts w:ascii="Arial" w:hAnsi="Arial" w:cs="Arial"/>
          <w:color w:val="auto"/>
        </w:rPr>
      </w:pPr>
    </w:p>
    <w:p w14:paraId="5F3F5F42"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rPr>
        <w:t xml:space="preserve">De la revisión de ambas normas, se puede afirmar que para que una </w:t>
      </w:r>
      <w:r w:rsidRPr="00312271">
        <w:rPr>
          <w:rFonts w:ascii="Arial" w:hAnsi="Arial" w:cs="Arial"/>
          <w:i/>
          <w:color w:val="auto"/>
        </w:rPr>
        <w:t>preexistencia</w:t>
      </w:r>
      <w:r w:rsidRPr="00312271">
        <w:rPr>
          <w:rFonts w:ascii="Arial" w:hAnsi="Arial" w:cs="Arial"/>
          <w:color w:val="auto"/>
        </w:rPr>
        <w:t xml:space="preserve"> sea considera como tal, deben concurrir los siguientes requisitos:</w:t>
      </w:r>
    </w:p>
    <w:p w14:paraId="1D36611D" w14:textId="77777777" w:rsidR="003E2B14" w:rsidRPr="00312271" w:rsidRDefault="003E2B14" w:rsidP="00390054">
      <w:pPr>
        <w:spacing w:after="0" w:line="240" w:lineRule="auto"/>
        <w:ind w:left="567"/>
        <w:contextualSpacing/>
        <w:rPr>
          <w:rFonts w:ascii="Arial" w:hAnsi="Arial" w:cs="Arial"/>
          <w:color w:val="auto"/>
        </w:rPr>
      </w:pPr>
    </w:p>
    <w:p w14:paraId="4A3862DC" w14:textId="77777777" w:rsidR="003E2B14" w:rsidRPr="00312271" w:rsidRDefault="003E2B14" w:rsidP="000B4039">
      <w:pPr>
        <w:numPr>
          <w:ilvl w:val="0"/>
          <w:numId w:val="5"/>
        </w:numPr>
        <w:tabs>
          <w:tab w:val="left" w:pos="1134"/>
        </w:tabs>
        <w:spacing w:after="0" w:line="240" w:lineRule="auto"/>
        <w:ind w:left="1134" w:hanging="567"/>
        <w:contextualSpacing/>
        <w:jc w:val="both"/>
        <w:rPr>
          <w:rFonts w:ascii="Arial" w:hAnsi="Arial" w:cs="Arial"/>
          <w:color w:val="auto"/>
        </w:rPr>
      </w:pPr>
      <w:r w:rsidRPr="00312271">
        <w:rPr>
          <w:rFonts w:ascii="Arial" w:hAnsi="Arial" w:cs="Arial"/>
          <w:color w:val="auto"/>
        </w:rPr>
        <w:t>alteración del estado de salud;</w:t>
      </w:r>
    </w:p>
    <w:p w14:paraId="70357D24" w14:textId="77777777" w:rsidR="003E2B14" w:rsidRPr="00312271" w:rsidRDefault="003E2B14" w:rsidP="000B4039">
      <w:pPr>
        <w:numPr>
          <w:ilvl w:val="0"/>
          <w:numId w:val="5"/>
        </w:numPr>
        <w:tabs>
          <w:tab w:val="left" w:pos="1134"/>
        </w:tabs>
        <w:spacing w:after="0" w:line="240" w:lineRule="auto"/>
        <w:ind w:left="1134" w:hanging="567"/>
        <w:contextualSpacing/>
        <w:jc w:val="both"/>
        <w:rPr>
          <w:rFonts w:ascii="Arial" w:hAnsi="Arial" w:cs="Arial"/>
          <w:color w:val="auto"/>
        </w:rPr>
      </w:pPr>
      <w:r w:rsidRPr="00312271">
        <w:rPr>
          <w:rFonts w:ascii="Arial" w:hAnsi="Arial" w:cs="Arial"/>
          <w:color w:val="auto"/>
        </w:rPr>
        <w:t>diagnosticada por un profesional médico colegiado;</w:t>
      </w:r>
    </w:p>
    <w:p w14:paraId="4F0ECB82" w14:textId="77777777" w:rsidR="003E2B14" w:rsidRPr="00312271" w:rsidRDefault="003E2B14" w:rsidP="000B4039">
      <w:pPr>
        <w:numPr>
          <w:ilvl w:val="0"/>
          <w:numId w:val="5"/>
        </w:numPr>
        <w:tabs>
          <w:tab w:val="left" w:pos="1134"/>
        </w:tabs>
        <w:spacing w:after="0" w:line="240" w:lineRule="auto"/>
        <w:ind w:left="1134" w:hanging="567"/>
        <w:contextualSpacing/>
        <w:jc w:val="both"/>
        <w:rPr>
          <w:rFonts w:ascii="Arial" w:hAnsi="Arial" w:cs="Arial"/>
          <w:color w:val="auto"/>
        </w:rPr>
      </w:pPr>
      <w:r w:rsidRPr="00312271">
        <w:rPr>
          <w:rFonts w:ascii="Arial" w:hAnsi="Arial" w:cs="Arial"/>
          <w:color w:val="auto"/>
        </w:rPr>
        <w:t>conocida por el titular o dependiente; y,</w:t>
      </w:r>
    </w:p>
    <w:p w14:paraId="05A216C4" w14:textId="77777777" w:rsidR="003E2B14" w:rsidRPr="00312271" w:rsidRDefault="003E2B14" w:rsidP="000B4039">
      <w:pPr>
        <w:numPr>
          <w:ilvl w:val="0"/>
          <w:numId w:val="5"/>
        </w:numPr>
        <w:tabs>
          <w:tab w:val="left" w:pos="1134"/>
        </w:tabs>
        <w:spacing w:after="0" w:line="240" w:lineRule="auto"/>
        <w:ind w:left="1134" w:hanging="567"/>
        <w:contextualSpacing/>
        <w:jc w:val="both"/>
        <w:rPr>
          <w:rFonts w:ascii="Arial" w:hAnsi="Arial" w:cs="Arial"/>
          <w:color w:val="auto"/>
        </w:rPr>
      </w:pPr>
      <w:r w:rsidRPr="00312271">
        <w:rPr>
          <w:rFonts w:ascii="Arial" w:hAnsi="Arial" w:cs="Arial"/>
          <w:color w:val="auto"/>
        </w:rPr>
        <w:t>no resuelta en el momento previo a la presentación de la declaración jurada de salud.</w:t>
      </w:r>
    </w:p>
    <w:p w14:paraId="36501D31" w14:textId="77777777" w:rsidR="003E2B14" w:rsidRPr="00312271" w:rsidRDefault="003E2B14" w:rsidP="00390054">
      <w:pPr>
        <w:tabs>
          <w:tab w:val="left" w:pos="1134"/>
        </w:tabs>
        <w:spacing w:after="0" w:line="240" w:lineRule="auto"/>
        <w:ind w:left="1134"/>
        <w:contextualSpacing/>
        <w:rPr>
          <w:rFonts w:ascii="Arial" w:hAnsi="Arial" w:cs="Arial"/>
          <w:color w:val="auto"/>
        </w:rPr>
      </w:pPr>
    </w:p>
    <w:p w14:paraId="3A7CBF49"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rPr>
        <w:t xml:space="preserve">Así, la definición de </w:t>
      </w:r>
      <w:r w:rsidRPr="00312271">
        <w:rPr>
          <w:rFonts w:ascii="Arial" w:hAnsi="Arial" w:cs="Arial"/>
          <w:i/>
          <w:color w:val="auto"/>
        </w:rPr>
        <w:t>condición de salud preexistent</w:t>
      </w:r>
      <w:r w:rsidRPr="00312271">
        <w:rPr>
          <w:rFonts w:ascii="Arial" w:hAnsi="Arial" w:cs="Arial"/>
          <w:color w:val="auto"/>
        </w:rPr>
        <w:t xml:space="preserve">e o </w:t>
      </w:r>
      <w:r w:rsidRPr="00312271">
        <w:rPr>
          <w:rFonts w:ascii="Arial" w:hAnsi="Arial" w:cs="Arial"/>
          <w:i/>
          <w:color w:val="auto"/>
        </w:rPr>
        <w:t>preexistencia</w:t>
      </w:r>
      <w:r w:rsidRPr="00312271">
        <w:rPr>
          <w:rFonts w:ascii="Arial" w:hAnsi="Arial" w:cs="Arial"/>
          <w:color w:val="auto"/>
        </w:rPr>
        <w:t xml:space="preserve"> tiene como premisa el diagnóstico —o la puesta en conocimiento— de una condición de salud anterior a la celebración del contrato de seguro y que no fue declarada, en forma oportuna, por el asegurado a la compañía aseguradora. </w:t>
      </w:r>
      <w:bookmarkStart w:id="4" w:name="h.gjygjod0t9lb" w:colFirst="0" w:colLast="0"/>
      <w:bookmarkEnd w:id="4"/>
    </w:p>
    <w:p w14:paraId="5EC32F3B" w14:textId="77777777" w:rsidR="003E2B14" w:rsidRPr="00312271" w:rsidRDefault="003E2B14" w:rsidP="00390054">
      <w:pPr>
        <w:spacing w:after="0" w:line="240" w:lineRule="auto"/>
        <w:ind w:left="567"/>
        <w:contextualSpacing/>
        <w:rPr>
          <w:rFonts w:ascii="Arial" w:hAnsi="Arial" w:cs="Arial"/>
          <w:color w:val="auto"/>
        </w:rPr>
      </w:pPr>
    </w:p>
    <w:p w14:paraId="00F7D0DD"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rPr>
        <w:t xml:space="preserve">De acuerdo con lo dispuesto por el referido dispositivo legal, una preexistencia constituye una enfermedad o afectación a la salud que ha sido diagnosticada por un profesional médico colegiado, que es conocida por el titular o dependiente y que no se encuentra resuelta en el momento previo a la presentación de la declaración jurada de salud por parte del asegurado. </w:t>
      </w:r>
    </w:p>
    <w:p w14:paraId="3E146D60" w14:textId="77777777" w:rsidR="003E2B14" w:rsidRPr="00312271" w:rsidRDefault="003E2B14" w:rsidP="00390054">
      <w:pPr>
        <w:pStyle w:val="Prrafodelista"/>
        <w:spacing w:line="240" w:lineRule="auto"/>
        <w:ind w:left="567"/>
        <w:rPr>
          <w:color w:val="auto"/>
        </w:rPr>
      </w:pPr>
    </w:p>
    <w:p w14:paraId="30B4D378"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rPr>
        <w:t>Cabe resaltar que la declaración de salud forma parte de los documentos que el asegurado suscribe durante los actos que conforman la contratación del seguro; sin embargo, su suscripción no resulta de exigencia obligatoria por parte de las compañías aseguradoras.</w:t>
      </w:r>
    </w:p>
    <w:p w14:paraId="24216E80" w14:textId="77777777" w:rsidR="003E2B14" w:rsidRPr="00312271" w:rsidRDefault="003E2B14" w:rsidP="00390054">
      <w:pPr>
        <w:pStyle w:val="Prrafodelista"/>
        <w:tabs>
          <w:tab w:val="left" w:pos="720"/>
        </w:tabs>
        <w:spacing w:line="240" w:lineRule="auto"/>
        <w:ind w:left="567"/>
        <w:rPr>
          <w:color w:val="auto"/>
        </w:rPr>
      </w:pPr>
    </w:p>
    <w:p w14:paraId="3198D80D"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rPr>
        <w:t xml:space="preserve">En ese sentido, luego de entender que es una preexistencia, debe indicarse que en </w:t>
      </w:r>
      <w:r w:rsidRPr="00312271">
        <w:rPr>
          <w:rFonts w:ascii="Arial" w:hAnsi="Arial" w:cs="Arial"/>
          <w:color w:val="auto"/>
          <w:lang w:val="es-ES"/>
        </w:rPr>
        <w:t>el artículo 26° de la Ley del Contrato de Seguro</w:t>
      </w:r>
      <w:r w:rsidRPr="00312271">
        <w:rPr>
          <w:rStyle w:val="Refdenotaalpie"/>
          <w:rFonts w:ascii="Arial" w:hAnsi="Arial" w:cs="Arial"/>
          <w:color w:val="auto"/>
        </w:rPr>
        <w:footnoteReference w:id="16"/>
      </w:r>
      <w:r w:rsidRPr="00312271">
        <w:rPr>
          <w:rFonts w:ascii="Arial" w:hAnsi="Arial" w:cs="Arial"/>
          <w:color w:val="auto"/>
          <w:lang w:val="es-ES"/>
        </w:rPr>
        <w:t xml:space="preserve">, se señala que </w:t>
      </w:r>
      <w:r w:rsidRPr="00312271">
        <w:rPr>
          <w:rFonts w:ascii="Arial" w:hAnsi="Arial" w:cs="Arial"/>
          <w:color w:val="auto"/>
        </w:rPr>
        <w:t>el asegurador está obligado a entregar al contratante una póliza debidamente firmada por el representante de la empresa, con redacción clara, en caracteres legibles</w:t>
      </w:r>
      <w:r w:rsidRPr="00312271">
        <w:rPr>
          <w:rFonts w:ascii="Arial" w:hAnsi="Arial" w:cs="Arial"/>
          <w:color w:val="auto"/>
          <w:lang w:val="es-ES"/>
        </w:rPr>
        <w:t>. Asimismo, el artículo 137° de la mencionada ley</w:t>
      </w:r>
      <w:r w:rsidRPr="00312271">
        <w:rPr>
          <w:rStyle w:val="Refdenotaalpie"/>
          <w:rFonts w:ascii="Arial" w:hAnsi="Arial" w:cs="Arial"/>
          <w:color w:val="auto"/>
        </w:rPr>
        <w:footnoteReference w:id="17"/>
      </w:r>
      <w:r w:rsidRPr="00312271">
        <w:rPr>
          <w:rFonts w:ascii="Arial" w:hAnsi="Arial" w:cs="Arial"/>
          <w:color w:val="auto"/>
          <w:lang w:val="es-ES"/>
        </w:rPr>
        <w:t xml:space="preserve">, señala lo siguiente </w:t>
      </w:r>
      <w:r w:rsidRPr="00312271">
        <w:rPr>
          <w:rFonts w:ascii="Arial" w:hAnsi="Arial" w:cs="Arial"/>
          <w:color w:val="auto"/>
        </w:rPr>
        <w:t>no son oponibles al asegurado los contenidos contractuales que no le hayan sido informados en el certificado de seguro.</w:t>
      </w:r>
    </w:p>
    <w:p w14:paraId="4FA5435D" w14:textId="77777777" w:rsidR="003E2B14" w:rsidRPr="00312271" w:rsidRDefault="003E2B14" w:rsidP="00390054">
      <w:pPr>
        <w:spacing w:after="0" w:line="240" w:lineRule="auto"/>
        <w:ind w:left="567"/>
        <w:contextualSpacing/>
        <w:textAlignment w:val="baseline"/>
        <w:rPr>
          <w:rFonts w:ascii="Arial" w:hAnsi="Arial" w:cs="Arial"/>
          <w:color w:val="auto"/>
        </w:rPr>
      </w:pPr>
    </w:p>
    <w:p w14:paraId="12161C0F"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rPr>
        <w:t>Por tanto, de conformidad a los artículos citados, se advierte que las empresas aseguradoras tienen la obligación de entregar al contratante del seguro copia de la póliza, la cual debe contener la información necesaria para que este pueda saber los términos del seguro, pues de no estar contenido en dicho documento no pueden ser oponibles al asegurado.</w:t>
      </w:r>
    </w:p>
    <w:p w14:paraId="753F13AF" w14:textId="77777777" w:rsidR="003E2B14" w:rsidRPr="00312271" w:rsidRDefault="003E2B14" w:rsidP="00390054">
      <w:pPr>
        <w:pStyle w:val="Prrafodelista"/>
        <w:spacing w:line="240" w:lineRule="auto"/>
        <w:ind w:left="567"/>
        <w:rPr>
          <w:color w:val="auto"/>
        </w:rPr>
      </w:pPr>
    </w:p>
    <w:p w14:paraId="0FE30F2C" w14:textId="77777777" w:rsidR="003E2B14" w:rsidRPr="00312271" w:rsidRDefault="003E2B14" w:rsidP="000B4039">
      <w:pPr>
        <w:pStyle w:val="Prrafodelista"/>
        <w:numPr>
          <w:ilvl w:val="0"/>
          <w:numId w:val="13"/>
        </w:numPr>
        <w:spacing w:line="240" w:lineRule="auto"/>
        <w:ind w:left="567" w:hanging="567"/>
        <w:jc w:val="both"/>
        <w:rPr>
          <w:rFonts w:eastAsia="Times New Roman"/>
          <w:b/>
          <w:bCs/>
          <w:i/>
          <w:iCs/>
          <w:color w:val="auto"/>
        </w:rPr>
      </w:pPr>
      <w:r w:rsidRPr="00312271">
        <w:rPr>
          <w:rFonts w:eastAsia="Times New Roman"/>
          <w:b/>
          <w:bCs/>
          <w:i/>
          <w:iCs/>
          <w:color w:val="auto"/>
        </w:rPr>
        <w:lastRenderedPageBreak/>
        <w:t>Aplicación al caso en concreto</w:t>
      </w:r>
    </w:p>
    <w:p w14:paraId="14C9C25C" w14:textId="77777777" w:rsidR="003E2B14" w:rsidRPr="00312271" w:rsidRDefault="003E2B14" w:rsidP="00390054">
      <w:pPr>
        <w:pStyle w:val="Prrafodelista"/>
        <w:spacing w:line="240" w:lineRule="auto"/>
        <w:ind w:left="567"/>
        <w:rPr>
          <w:rFonts w:eastAsia="Times New Roman"/>
          <w:color w:val="auto"/>
        </w:rPr>
      </w:pPr>
    </w:p>
    <w:p w14:paraId="1B31FFD1" w14:textId="4A1F80DB" w:rsidR="003E2B14" w:rsidRPr="00312271" w:rsidRDefault="003E2B14" w:rsidP="000B4039">
      <w:pPr>
        <w:pStyle w:val="Prrafodelista"/>
        <w:numPr>
          <w:ilvl w:val="0"/>
          <w:numId w:val="2"/>
        </w:numPr>
        <w:spacing w:line="240" w:lineRule="auto"/>
        <w:ind w:left="567" w:hanging="567"/>
        <w:jc w:val="both"/>
        <w:textAlignment w:val="baseline"/>
        <w:rPr>
          <w:bCs/>
          <w:color w:val="auto"/>
        </w:rPr>
      </w:pPr>
      <w:r w:rsidRPr="00312271">
        <w:rPr>
          <w:color w:val="auto"/>
        </w:rPr>
        <w:t>En el presente caso, obran en el expediente las Condiciones Generales de</w:t>
      </w:r>
      <w:r w:rsidR="00261EE9">
        <w:rPr>
          <w:color w:val="auto"/>
        </w:rPr>
        <w:t xml:space="preserve"> la Póliza del</w:t>
      </w:r>
      <w:r w:rsidRPr="00312271">
        <w:rPr>
          <w:color w:val="auto"/>
        </w:rPr>
        <w:t xml:space="preserve"> Seguro de Desgravamen contratad</w:t>
      </w:r>
      <w:r w:rsidR="00261EE9">
        <w:rPr>
          <w:color w:val="auto"/>
        </w:rPr>
        <w:t>a</w:t>
      </w:r>
      <w:r w:rsidRPr="00312271">
        <w:rPr>
          <w:color w:val="auto"/>
        </w:rPr>
        <w:t xml:space="preserve"> por la señora Castro el 29 de noviembre de 2023</w:t>
      </w:r>
      <w:r w:rsidRPr="00312271">
        <w:rPr>
          <w:rStyle w:val="Refdenotaalpie"/>
          <w:bCs/>
          <w:color w:val="auto"/>
        </w:rPr>
        <w:footnoteReference w:id="18"/>
      </w:r>
      <w:r w:rsidRPr="00312271">
        <w:rPr>
          <w:bCs/>
          <w:color w:val="auto"/>
        </w:rPr>
        <w:t>, en cuyo numeral 8 del artículo 6° se estableció como una de las exclusiones de cobertura –entre otr</w:t>
      </w:r>
      <w:r w:rsidR="00261EE9">
        <w:rPr>
          <w:bCs/>
          <w:color w:val="auto"/>
        </w:rPr>
        <w:t>as</w:t>
      </w:r>
      <w:r w:rsidRPr="00312271">
        <w:rPr>
          <w:bCs/>
          <w:color w:val="auto"/>
        </w:rPr>
        <w:t>– las enfermedades preexistentes o accidentes producidos con anterioridad al inicio de la póliza, y que sean de conocimiento del asegurado a la fecha de contratación del seguro</w:t>
      </w:r>
      <w:r w:rsidRPr="00312271">
        <w:rPr>
          <w:rStyle w:val="Refdenotaalpie"/>
          <w:bCs/>
          <w:color w:val="auto"/>
        </w:rPr>
        <w:footnoteReference w:id="19"/>
      </w:r>
      <w:r w:rsidRPr="00312271">
        <w:rPr>
          <w:bCs/>
          <w:color w:val="auto"/>
        </w:rPr>
        <w:t xml:space="preserve">. </w:t>
      </w:r>
    </w:p>
    <w:p w14:paraId="682FB7D6" w14:textId="77777777" w:rsidR="003E2B14" w:rsidRPr="00312271" w:rsidRDefault="003E2B14" w:rsidP="00390054">
      <w:pPr>
        <w:pStyle w:val="Prrafodelista"/>
        <w:spacing w:line="240" w:lineRule="auto"/>
        <w:ind w:left="567"/>
        <w:rPr>
          <w:rFonts w:eastAsia="Times New Roman"/>
          <w:color w:val="auto"/>
        </w:rPr>
      </w:pPr>
    </w:p>
    <w:p w14:paraId="09AC6E74" w14:textId="08D0E897" w:rsidR="003E2B14" w:rsidRPr="00312271" w:rsidRDefault="003E2B14" w:rsidP="000B4039">
      <w:pPr>
        <w:pStyle w:val="Prrafodelista"/>
        <w:numPr>
          <w:ilvl w:val="0"/>
          <w:numId w:val="2"/>
        </w:numPr>
        <w:spacing w:line="240" w:lineRule="auto"/>
        <w:ind w:left="567" w:hanging="567"/>
        <w:jc w:val="both"/>
        <w:rPr>
          <w:rFonts w:eastAsia="Times New Roman"/>
          <w:color w:val="auto"/>
        </w:rPr>
      </w:pPr>
      <w:r w:rsidRPr="00312271">
        <w:rPr>
          <w:rStyle w:val="normaltextrun"/>
          <w:color w:val="auto"/>
          <w:shd w:val="clear" w:color="auto" w:fill="FFFFFF"/>
        </w:rPr>
        <w:t xml:space="preserve">En este punto, es importante </w:t>
      </w:r>
      <w:r w:rsidRPr="00312271">
        <w:rPr>
          <w:color w:val="auto"/>
        </w:rPr>
        <w:t>precisar</w:t>
      </w:r>
      <w:r w:rsidRPr="00312271">
        <w:rPr>
          <w:rStyle w:val="normaltextrun"/>
          <w:color w:val="auto"/>
          <w:shd w:val="clear" w:color="auto" w:fill="FFFFFF"/>
        </w:rPr>
        <w:t xml:space="preserve"> que, no existe controversia sobre el hecho de que la parte denunciante tenía conocimiento tanto de las “Condiciones Particulares” y de las “Condiciones Generales” de la Póliza del Seguro de Desgravamen, toda vez que ello no fue cuestionado por la señora Castro, ni tampoco fue un hecho denunciado</w:t>
      </w:r>
      <w:r w:rsidR="00D260BE">
        <w:rPr>
          <w:rStyle w:val="normaltextrun"/>
          <w:color w:val="auto"/>
          <w:shd w:val="clear" w:color="auto" w:fill="FFFFFF"/>
        </w:rPr>
        <w:t>.</w:t>
      </w:r>
    </w:p>
    <w:p w14:paraId="37160639" w14:textId="77777777" w:rsidR="003E2B14" w:rsidRPr="00312271" w:rsidRDefault="003E2B14" w:rsidP="00390054">
      <w:pPr>
        <w:pStyle w:val="Prrafodelista"/>
        <w:spacing w:line="240" w:lineRule="auto"/>
        <w:ind w:left="567"/>
        <w:rPr>
          <w:bCs/>
          <w:color w:val="auto"/>
        </w:rPr>
      </w:pPr>
    </w:p>
    <w:p w14:paraId="62F98761"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rPr>
        <w:t>Ahora bien, teniendo en cuenta la definición de preexistencia, y teniendo en consideración que dicha figura constituía una causal de exclusión de cobertura establecida en los documentos contractuales del Seguro de Desgravamen, este Despacho verificará si la enfermedad que generó la invalidez de la señora Castro fue diagnosticada con anterioridad a la contratación del mencionado seguro, ello con la finalidad de evidenciar si esta calificaba como preexistente.</w:t>
      </w:r>
    </w:p>
    <w:p w14:paraId="19CB89CE" w14:textId="77777777" w:rsidR="003E2B14" w:rsidRPr="00312271" w:rsidRDefault="003E2B14" w:rsidP="00390054">
      <w:pPr>
        <w:pStyle w:val="Prrafodelista"/>
        <w:spacing w:line="240" w:lineRule="auto"/>
        <w:ind w:left="567"/>
        <w:rPr>
          <w:color w:val="auto"/>
        </w:rPr>
      </w:pPr>
    </w:p>
    <w:p w14:paraId="30725717"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rPr>
        <w:t xml:space="preserve">Al respecto, obra en el expediente el Dictamen de evaluación y calificación de invalidez </w:t>
      </w:r>
      <w:proofErr w:type="spellStart"/>
      <w:r w:rsidRPr="00312271">
        <w:rPr>
          <w:rFonts w:ascii="Arial" w:hAnsi="Arial" w:cs="Arial"/>
          <w:color w:val="auto"/>
        </w:rPr>
        <w:t>N°</w:t>
      </w:r>
      <w:proofErr w:type="spellEnd"/>
      <w:r w:rsidRPr="00312271">
        <w:rPr>
          <w:rFonts w:ascii="Arial" w:hAnsi="Arial" w:cs="Arial"/>
          <w:color w:val="auto"/>
        </w:rPr>
        <w:t xml:space="preserve"> 00872-2024</w:t>
      </w:r>
      <w:r w:rsidRPr="00312271">
        <w:rPr>
          <w:rStyle w:val="Refdenotaalpie"/>
          <w:rFonts w:ascii="Arial" w:hAnsi="Arial" w:cs="Arial"/>
          <w:color w:val="auto"/>
        </w:rPr>
        <w:footnoteReference w:id="20"/>
      </w:r>
      <w:r w:rsidRPr="00312271">
        <w:rPr>
          <w:rFonts w:ascii="Arial" w:hAnsi="Arial" w:cs="Arial"/>
          <w:color w:val="auto"/>
        </w:rPr>
        <w:t>, emitido por el COMAFP el 27 de marzo de 2024, en donde se señaló que la señora Castro tenía los siguientes diagnósticos: a) glaucoma (H40); b) otras cataratas (H26); y, c) otros trastornos de los discos intervertebrales (M51). Asimismo, en el mismo dictamen, se precisó que el porcentaje de invalidez total y permanente de la denunciante era del 96.50%, el mismo que se encontraba concentrado en la enfermedad con código H53.4, relacionado con defectos del campo visual.</w:t>
      </w:r>
    </w:p>
    <w:p w14:paraId="2D83CA20" w14:textId="77777777" w:rsidR="003E2B14" w:rsidRPr="00312271" w:rsidRDefault="003E2B14" w:rsidP="00390054">
      <w:pPr>
        <w:spacing w:after="0" w:line="240" w:lineRule="auto"/>
        <w:ind w:left="567"/>
        <w:contextualSpacing/>
        <w:textAlignment w:val="baseline"/>
        <w:rPr>
          <w:rFonts w:ascii="Arial" w:hAnsi="Arial" w:cs="Arial"/>
          <w:color w:val="auto"/>
        </w:rPr>
      </w:pPr>
    </w:p>
    <w:p w14:paraId="33EDED04"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rPr>
        <w:t xml:space="preserve">Respecto </w:t>
      </w:r>
      <w:r w:rsidRPr="00312271">
        <w:rPr>
          <w:rFonts w:ascii="Arial" w:hAnsi="Arial" w:cs="Arial"/>
          <w:color w:val="auto"/>
          <w:shd w:val="clear" w:color="auto" w:fill="FFFFFF"/>
        </w:rPr>
        <w:t xml:space="preserve">a la definición de </w:t>
      </w:r>
      <w:r w:rsidRPr="00312271">
        <w:rPr>
          <w:rFonts w:ascii="Arial" w:hAnsi="Arial" w:cs="Arial"/>
          <w:b/>
          <w:bCs/>
          <w:color w:val="auto"/>
          <w:shd w:val="clear" w:color="auto" w:fill="FFFFFF"/>
        </w:rPr>
        <w:t>glaucoma</w:t>
      </w:r>
      <w:r w:rsidRPr="00312271">
        <w:rPr>
          <w:rFonts w:ascii="Arial" w:hAnsi="Arial" w:cs="Arial"/>
          <w:color w:val="auto"/>
          <w:shd w:val="clear" w:color="auto" w:fill="FFFFFF"/>
        </w:rPr>
        <w:t xml:space="preserve">, resulta relevante remitirse a lo señalado por la </w:t>
      </w:r>
      <w:r w:rsidRPr="00312271">
        <w:rPr>
          <w:rFonts w:ascii="Arial" w:hAnsi="Arial" w:cs="Arial"/>
          <w:color w:val="auto"/>
          <w:shd w:val="clear" w:color="auto" w:fill="FFFFFF"/>
          <w:lang w:val="es-ES"/>
        </w:rPr>
        <w:t>Biblioteca Nacional de Medicina de Estados Unidos</w:t>
      </w:r>
      <w:r w:rsidRPr="00312271">
        <w:rPr>
          <w:rFonts w:ascii="Arial" w:hAnsi="Arial" w:cs="Arial"/>
          <w:color w:val="auto"/>
          <w:shd w:val="clear" w:color="auto" w:fill="FFFFFF"/>
        </w:rPr>
        <w:t xml:space="preserve"> de América</w:t>
      </w:r>
      <w:r w:rsidRPr="00312271">
        <w:rPr>
          <w:rStyle w:val="Refdenotaalpie"/>
          <w:rFonts w:ascii="Arial" w:hAnsi="Arial" w:cs="Arial"/>
          <w:color w:val="auto"/>
        </w:rPr>
        <w:footnoteReference w:id="21"/>
      </w:r>
      <w:r w:rsidRPr="00312271">
        <w:rPr>
          <w:rFonts w:ascii="Arial" w:hAnsi="Arial" w:cs="Arial"/>
          <w:color w:val="auto"/>
          <w:shd w:val="clear" w:color="auto" w:fill="FFFFFF"/>
        </w:rPr>
        <w:t xml:space="preserve"> (en adelante, MedlinePlus), que indica que es grupo de afecciones oculares que pueden dañar al nervio óptico, y que es causado con frecuencia por el aumento de la presión en el ojo (presión intraocular); señalándose como su principal causa el bloqueo o retardo de la evacuación del humor vítreo entre el iris y la córnea.</w:t>
      </w:r>
    </w:p>
    <w:p w14:paraId="49AA7F8E" w14:textId="77777777" w:rsidR="003E2B14" w:rsidRPr="00312271" w:rsidRDefault="003E2B14" w:rsidP="00390054">
      <w:pPr>
        <w:spacing w:after="0" w:line="240" w:lineRule="auto"/>
        <w:ind w:left="567"/>
        <w:contextualSpacing/>
        <w:textAlignment w:val="baseline"/>
        <w:rPr>
          <w:rFonts w:ascii="Arial" w:hAnsi="Arial" w:cs="Arial"/>
          <w:color w:val="auto"/>
        </w:rPr>
      </w:pPr>
    </w:p>
    <w:p w14:paraId="2CEC40E8"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shd w:val="clear" w:color="auto" w:fill="FFFFFF"/>
        </w:rPr>
        <w:lastRenderedPageBreak/>
        <w:t>De igual forma, conforme a la literatura médica especializada</w:t>
      </w:r>
      <w:r w:rsidRPr="00312271">
        <w:rPr>
          <w:rStyle w:val="Refdenotaalpie"/>
          <w:rFonts w:ascii="Arial" w:hAnsi="Arial" w:cs="Arial"/>
          <w:color w:val="auto"/>
        </w:rPr>
        <w:footnoteReference w:id="22"/>
      </w:r>
      <w:r w:rsidRPr="00312271">
        <w:rPr>
          <w:rFonts w:ascii="Arial" w:hAnsi="Arial" w:cs="Arial"/>
          <w:color w:val="auto"/>
          <w:shd w:val="clear" w:color="auto" w:fill="FFFFFF"/>
        </w:rPr>
        <w:t xml:space="preserve">, el código de diagnóstico H53.4 se encuentra referido a un defecto localizado en el campo visual bordeado por un área de visión normal, que ocurre con una variedad de enfermedades oculares (por ejemplo, enfermedades de la retina y </w:t>
      </w:r>
      <w:r w:rsidRPr="00312271">
        <w:rPr>
          <w:rFonts w:ascii="Arial" w:hAnsi="Arial" w:cs="Arial"/>
          <w:b/>
          <w:bCs/>
          <w:color w:val="auto"/>
          <w:shd w:val="clear" w:color="auto" w:fill="FFFFFF"/>
        </w:rPr>
        <w:t>glaucoma</w:t>
      </w:r>
      <w:r w:rsidRPr="00312271">
        <w:rPr>
          <w:rFonts w:ascii="Arial" w:hAnsi="Arial" w:cs="Arial"/>
          <w:color w:val="auto"/>
          <w:shd w:val="clear" w:color="auto" w:fill="FFFFFF"/>
        </w:rPr>
        <w:t>), así como enfermedades del nervio óptico y otras afecciones.</w:t>
      </w:r>
    </w:p>
    <w:p w14:paraId="7E82C158" w14:textId="77777777" w:rsidR="003E2B14" w:rsidRPr="00312271" w:rsidRDefault="003E2B14" w:rsidP="00390054">
      <w:pPr>
        <w:pStyle w:val="Prrafodelista"/>
        <w:spacing w:line="240" w:lineRule="auto"/>
        <w:ind w:left="567"/>
        <w:rPr>
          <w:color w:val="auto"/>
        </w:rPr>
      </w:pPr>
    </w:p>
    <w:p w14:paraId="79404E97"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rPr>
        <w:t>Por otro lado, en el apartado “</w:t>
      </w:r>
      <w:r w:rsidRPr="00312271">
        <w:rPr>
          <w:rFonts w:ascii="Arial" w:hAnsi="Arial" w:cs="Arial"/>
          <w:i/>
          <w:iCs/>
          <w:color w:val="auto"/>
        </w:rPr>
        <w:t xml:space="preserve">4. Documentos </w:t>
      </w:r>
      <w:proofErr w:type="spellStart"/>
      <w:r w:rsidRPr="00312271">
        <w:rPr>
          <w:rFonts w:ascii="Arial" w:hAnsi="Arial" w:cs="Arial"/>
          <w:i/>
          <w:iCs/>
          <w:color w:val="auto"/>
        </w:rPr>
        <w:t>sustentatorios</w:t>
      </w:r>
      <w:proofErr w:type="spellEnd"/>
      <w:r w:rsidRPr="00312271">
        <w:rPr>
          <w:rFonts w:ascii="Arial" w:hAnsi="Arial" w:cs="Arial"/>
          <w:i/>
          <w:iCs/>
          <w:color w:val="auto"/>
        </w:rPr>
        <w:t xml:space="preserve"> de la decisión</w:t>
      </w:r>
      <w:r w:rsidRPr="00312271">
        <w:rPr>
          <w:rFonts w:ascii="Arial" w:hAnsi="Arial" w:cs="Arial"/>
          <w:color w:val="auto"/>
        </w:rPr>
        <w:t xml:space="preserve">” del Dictamen de evaluación y calificación de invalidez </w:t>
      </w:r>
      <w:proofErr w:type="spellStart"/>
      <w:r w:rsidRPr="00312271">
        <w:rPr>
          <w:rFonts w:ascii="Arial" w:hAnsi="Arial" w:cs="Arial"/>
          <w:color w:val="auto"/>
        </w:rPr>
        <w:t>N°</w:t>
      </w:r>
      <w:proofErr w:type="spellEnd"/>
      <w:r w:rsidRPr="00312271">
        <w:rPr>
          <w:rFonts w:ascii="Arial" w:hAnsi="Arial" w:cs="Arial"/>
          <w:color w:val="auto"/>
        </w:rPr>
        <w:t xml:space="preserve"> 00872-2024</w:t>
      </w:r>
      <w:r w:rsidRPr="00312271">
        <w:rPr>
          <w:rStyle w:val="Refdenotaalpie"/>
          <w:rFonts w:ascii="Arial" w:hAnsi="Arial" w:cs="Arial"/>
          <w:color w:val="auto"/>
        </w:rPr>
        <w:footnoteReference w:id="23"/>
      </w:r>
      <w:r w:rsidRPr="00312271">
        <w:rPr>
          <w:rFonts w:ascii="Arial" w:hAnsi="Arial" w:cs="Arial"/>
          <w:color w:val="auto"/>
        </w:rPr>
        <w:t>, se aprecia que uno de los documentos que tuvo a la vista el COMAFP para determinar el nivel de invalidez de la denunciante fue el “Formato de evaluación médico”, de fecha 19 de marzo de 2021, donde se dejó constancia de lo siguiente:</w:t>
      </w:r>
    </w:p>
    <w:p w14:paraId="3314005A" w14:textId="77777777" w:rsidR="003E2B14" w:rsidRPr="00312271" w:rsidRDefault="003E2B14" w:rsidP="00390054">
      <w:pPr>
        <w:spacing w:after="0" w:line="240" w:lineRule="auto"/>
        <w:ind w:left="567"/>
        <w:contextualSpacing/>
        <w:textAlignment w:val="baseline"/>
        <w:rPr>
          <w:rFonts w:ascii="Arial" w:eastAsiaTheme="minorEastAsia" w:hAnsi="Arial" w:cs="Arial"/>
          <w:color w:val="auto"/>
        </w:rPr>
      </w:pPr>
    </w:p>
    <w:p w14:paraId="215E3C29" w14:textId="77777777" w:rsidR="003E2B14" w:rsidRPr="00312271" w:rsidRDefault="003E2B14" w:rsidP="000B4039">
      <w:pPr>
        <w:pStyle w:val="Prrafodelista"/>
        <w:numPr>
          <w:ilvl w:val="0"/>
          <w:numId w:val="14"/>
        </w:numPr>
        <w:spacing w:line="240" w:lineRule="auto"/>
        <w:ind w:left="1134" w:hanging="567"/>
        <w:jc w:val="both"/>
        <w:textAlignment w:val="baseline"/>
        <w:rPr>
          <w:color w:val="auto"/>
        </w:rPr>
      </w:pPr>
      <w:r w:rsidRPr="00312271">
        <w:rPr>
          <w:rFonts w:eastAsiaTheme="minorEastAsia"/>
          <w:color w:val="auto"/>
        </w:rPr>
        <w:t>La señora Castro señaló que fue diagnosticada de glaucoma por el centro médico Instituto Oftalmosalud S.A.C. (en adelante, Oftalmosalud) hace diez (10) años, y que fue intervenida en ambos ojos en noviembre de 2017 y mayo de 2018.</w:t>
      </w:r>
    </w:p>
    <w:p w14:paraId="3736C4F7" w14:textId="77777777" w:rsidR="003E2B14" w:rsidRPr="00312271" w:rsidRDefault="003E2B14" w:rsidP="00390054">
      <w:pPr>
        <w:pStyle w:val="Prrafodelista"/>
        <w:spacing w:line="240" w:lineRule="auto"/>
        <w:ind w:left="1134"/>
        <w:textAlignment w:val="baseline"/>
        <w:rPr>
          <w:color w:val="auto"/>
        </w:rPr>
      </w:pPr>
    </w:p>
    <w:p w14:paraId="4B2F09ED" w14:textId="77777777" w:rsidR="003E2B14" w:rsidRPr="00312271" w:rsidRDefault="003E2B14" w:rsidP="000B4039">
      <w:pPr>
        <w:pStyle w:val="Prrafodelista"/>
        <w:numPr>
          <w:ilvl w:val="0"/>
          <w:numId w:val="14"/>
        </w:numPr>
        <w:spacing w:line="240" w:lineRule="auto"/>
        <w:ind w:left="1134" w:hanging="567"/>
        <w:jc w:val="both"/>
        <w:textAlignment w:val="baseline"/>
        <w:rPr>
          <w:color w:val="auto"/>
        </w:rPr>
      </w:pPr>
      <w:r w:rsidRPr="00312271">
        <w:rPr>
          <w:rFonts w:eastAsiaTheme="minorEastAsia"/>
          <w:color w:val="auto"/>
        </w:rPr>
        <w:t>La denunciante señaló que tiene diagnóstico de lumbalgia y cervicalgia asociadas a hernias desde el año 2014, habiendo recibido como tratamientos analgésicos, terapias, y recomendaciones.</w:t>
      </w:r>
    </w:p>
    <w:p w14:paraId="669CACE6" w14:textId="77777777" w:rsidR="003E2B14" w:rsidRPr="00312271" w:rsidRDefault="003E2B14" w:rsidP="00390054">
      <w:pPr>
        <w:pStyle w:val="Prrafodelista"/>
        <w:spacing w:line="240" w:lineRule="auto"/>
        <w:ind w:left="1134"/>
        <w:textAlignment w:val="baseline"/>
        <w:rPr>
          <w:color w:val="auto"/>
        </w:rPr>
      </w:pPr>
    </w:p>
    <w:p w14:paraId="23A1F1A9" w14:textId="77777777" w:rsidR="003E2B14" w:rsidRPr="00312271" w:rsidRDefault="003E2B14" w:rsidP="000B4039">
      <w:pPr>
        <w:pStyle w:val="Prrafodelista"/>
        <w:numPr>
          <w:ilvl w:val="0"/>
          <w:numId w:val="14"/>
        </w:numPr>
        <w:spacing w:line="240" w:lineRule="auto"/>
        <w:ind w:left="1134" w:hanging="567"/>
        <w:jc w:val="both"/>
        <w:textAlignment w:val="baseline"/>
        <w:rPr>
          <w:color w:val="auto"/>
        </w:rPr>
      </w:pPr>
      <w:r w:rsidRPr="00312271">
        <w:rPr>
          <w:rFonts w:eastAsiaTheme="minorEastAsia"/>
          <w:color w:val="auto"/>
        </w:rPr>
        <w:t>La denunciante padecía: a) ceguera del ojo izquierdo; b) glaucoma muy avanzado en ambos ojos a predominio izquierdo; c) ametropía; y, d) presbicia; dejándose constancia de que el pronóstico del glaucoma era malo por lo avanzado de la enfermedad, y que la presión intraocular debía descender para que la enfermedad no progrese.</w:t>
      </w:r>
    </w:p>
    <w:p w14:paraId="16C0AEC6" w14:textId="77777777" w:rsidR="003E2B14" w:rsidRPr="00312271" w:rsidRDefault="003E2B14" w:rsidP="00390054">
      <w:pPr>
        <w:spacing w:after="0" w:line="240" w:lineRule="auto"/>
        <w:ind w:left="567"/>
        <w:contextualSpacing/>
        <w:textAlignment w:val="baseline"/>
        <w:rPr>
          <w:rFonts w:ascii="Arial" w:hAnsi="Arial" w:cs="Arial"/>
          <w:color w:val="auto"/>
        </w:rPr>
      </w:pPr>
    </w:p>
    <w:p w14:paraId="78FD9541"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color w:val="auto"/>
        </w:rPr>
      </w:pPr>
      <w:r w:rsidRPr="00312271">
        <w:rPr>
          <w:rFonts w:ascii="Arial" w:hAnsi="Arial" w:cs="Arial"/>
          <w:color w:val="auto"/>
        </w:rPr>
        <w:t>Del medio probatorio mostrado en el numeral anterior, se acredita que a la señora Castro señaló, por sus propias declaraciones y que fueron recogidas en el año 2021, que se le diagnosticaron enfermedades relacionadas con la visión (</w:t>
      </w:r>
      <w:r w:rsidRPr="00312271">
        <w:rPr>
          <w:rFonts w:ascii="Arial" w:hAnsi="Arial" w:cs="Arial"/>
          <w:b/>
          <w:bCs/>
          <w:color w:val="auto"/>
        </w:rPr>
        <w:t>glaucoma</w:t>
      </w:r>
      <w:r w:rsidRPr="00312271">
        <w:rPr>
          <w:rFonts w:ascii="Arial" w:hAnsi="Arial" w:cs="Arial"/>
          <w:color w:val="auto"/>
        </w:rPr>
        <w:t>) desde, al menos, el año 2011.</w:t>
      </w:r>
    </w:p>
    <w:p w14:paraId="3353C8B6" w14:textId="77777777" w:rsidR="003E2B14" w:rsidRPr="00312271" w:rsidRDefault="003E2B14" w:rsidP="00390054">
      <w:pPr>
        <w:spacing w:after="0" w:line="240" w:lineRule="auto"/>
        <w:ind w:left="567"/>
        <w:contextualSpacing/>
        <w:textAlignment w:val="baseline"/>
        <w:rPr>
          <w:rFonts w:ascii="Arial" w:hAnsi="Arial" w:cs="Arial"/>
          <w:color w:val="auto"/>
        </w:rPr>
      </w:pPr>
    </w:p>
    <w:p w14:paraId="3047CFC0"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bCs/>
          <w:color w:val="auto"/>
        </w:rPr>
      </w:pPr>
      <w:r w:rsidRPr="00312271">
        <w:rPr>
          <w:rStyle w:val="normaltextrun"/>
          <w:rFonts w:ascii="Arial" w:hAnsi="Arial" w:cs="Arial"/>
          <w:color w:val="auto"/>
        </w:rPr>
        <w:t xml:space="preserve">En ese sentido, teniendo en cuenta que </w:t>
      </w:r>
      <w:r w:rsidRPr="00312271">
        <w:rPr>
          <w:rFonts w:ascii="Arial" w:hAnsi="Arial" w:cs="Arial"/>
          <w:color w:val="auto"/>
        </w:rPr>
        <w:t xml:space="preserve">el </w:t>
      </w:r>
      <w:r w:rsidRPr="00312271">
        <w:rPr>
          <w:rFonts w:ascii="Arial" w:hAnsi="Arial" w:cs="Arial"/>
          <w:bCs/>
          <w:iCs/>
          <w:color w:val="auto"/>
        </w:rPr>
        <w:t xml:space="preserve">Seguro de Desgramen fue contratado por la señora Castro el 29 de noviembre de 2023; y, </w:t>
      </w:r>
      <w:r w:rsidRPr="00312271">
        <w:rPr>
          <w:rStyle w:val="normaltextrun"/>
          <w:rFonts w:ascii="Arial" w:hAnsi="Arial" w:cs="Arial"/>
          <w:color w:val="auto"/>
        </w:rPr>
        <w:t>habiendo quedado acreditado que las enfermedades</w:t>
      </w:r>
      <w:r w:rsidRPr="00312271">
        <w:rPr>
          <w:rFonts w:ascii="Arial" w:eastAsia="Times New Roman" w:hAnsi="Arial" w:cs="Arial"/>
          <w:color w:val="auto"/>
          <w:lang w:val="es-ES"/>
        </w:rPr>
        <w:t xml:space="preserve"> </w:t>
      </w:r>
      <w:r w:rsidRPr="00312271">
        <w:rPr>
          <w:rStyle w:val="normaltextrun"/>
          <w:rFonts w:ascii="Arial" w:hAnsi="Arial" w:cs="Arial"/>
          <w:color w:val="auto"/>
        </w:rPr>
        <w:t>que causaron la invalidez de la denunciante fueron diagnosticadas con anterioridad a la contratación del referido seguro (desde el año 2011), este Despacho considera que la negativa para otorgar la cobertura solicitada por la denunciante fue justificada.</w:t>
      </w:r>
    </w:p>
    <w:p w14:paraId="4DF9C63A" w14:textId="77777777" w:rsidR="003E2B14" w:rsidRPr="00312271" w:rsidRDefault="003E2B14" w:rsidP="00390054">
      <w:pPr>
        <w:spacing w:after="0" w:line="240" w:lineRule="auto"/>
        <w:ind w:left="567"/>
        <w:contextualSpacing/>
        <w:textAlignment w:val="baseline"/>
        <w:rPr>
          <w:rFonts w:ascii="Arial" w:hAnsi="Arial" w:cs="Arial"/>
          <w:bCs/>
          <w:color w:val="auto"/>
        </w:rPr>
      </w:pPr>
    </w:p>
    <w:p w14:paraId="023671DF" w14:textId="77777777" w:rsidR="003E2B14" w:rsidRPr="00312271" w:rsidRDefault="003E2B14" w:rsidP="000B4039">
      <w:pPr>
        <w:numPr>
          <w:ilvl w:val="0"/>
          <w:numId w:val="2"/>
        </w:numPr>
        <w:spacing w:after="0" w:line="240" w:lineRule="auto"/>
        <w:ind w:left="567" w:hanging="567"/>
        <w:contextualSpacing/>
        <w:jc w:val="both"/>
        <w:textAlignment w:val="baseline"/>
        <w:rPr>
          <w:rFonts w:ascii="Arial" w:hAnsi="Arial" w:cs="Arial"/>
          <w:bCs/>
          <w:color w:val="auto"/>
        </w:rPr>
      </w:pPr>
      <w:r w:rsidRPr="00312271">
        <w:rPr>
          <w:rFonts w:ascii="Arial" w:eastAsia="Times New Roman" w:hAnsi="Arial" w:cs="Arial"/>
          <w:color w:val="auto"/>
          <w:lang w:val="es-ES"/>
        </w:rPr>
        <w:t>Para una mejor comprensión de lo señalado, se ha elaborado la línea de tiempo siguiente:</w:t>
      </w:r>
    </w:p>
    <w:p w14:paraId="7DBB2078" w14:textId="77777777" w:rsidR="003E2B14" w:rsidRPr="00312271" w:rsidRDefault="003E2B14" w:rsidP="00390054">
      <w:pPr>
        <w:pStyle w:val="Prrafodelista"/>
        <w:spacing w:line="240" w:lineRule="auto"/>
        <w:ind w:left="567"/>
        <w:textAlignment w:val="baseline"/>
        <w:rPr>
          <w:rFonts w:eastAsia="Times New Roman"/>
          <w:color w:val="auto"/>
          <w:lang w:val="es-ES"/>
        </w:rPr>
      </w:pPr>
    </w:p>
    <w:p w14:paraId="0ED99F19" w14:textId="77777777" w:rsidR="003E2B14" w:rsidRPr="00312271" w:rsidRDefault="003E2B14" w:rsidP="00390054">
      <w:pPr>
        <w:pStyle w:val="TextoNumerado"/>
        <w:ind w:left="567" w:firstLine="0"/>
        <w:jc w:val="center"/>
        <w:rPr>
          <w:b/>
          <w:color w:val="auto"/>
          <w:sz w:val="18"/>
          <w:szCs w:val="18"/>
          <w:u w:val="single"/>
          <w:shd w:val="clear" w:color="auto" w:fill="FFFFFF"/>
          <w:lang w:val="es-ES"/>
        </w:rPr>
      </w:pPr>
      <w:r w:rsidRPr="00312271">
        <w:rPr>
          <w:rFonts w:eastAsia="Calibri"/>
          <w:noProof/>
          <w:color w:val="auto"/>
        </w:rPr>
        <w:lastRenderedPageBreak/>
        <w:drawing>
          <wp:anchor distT="0" distB="0" distL="114300" distR="114300" simplePos="0" relativeHeight="251658240" behindDoc="0" locked="0" layoutInCell="1" allowOverlap="1" wp14:anchorId="0058C72F" wp14:editId="68DE01FB">
            <wp:simplePos x="0" y="0"/>
            <wp:positionH relativeFrom="margin">
              <wp:align>right</wp:align>
            </wp:positionH>
            <wp:positionV relativeFrom="paragraph">
              <wp:posOffset>200025</wp:posOffset>
            </wp:positionV>
            <wp:extent cx="5318760" cy="1356360"/>
            <wp:effectExtent l="0" t="0" r="15240" b="0"/>
            <wp:wrapSquare wrapText="bothSides"/>
            <wp:docPr id="2099489587" name="Diagrama 209948958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page">
              <wp14:pctWidth>0</wp14:pctWidth>
            </wp14:sizeRelH>
            <wp14:sizeRelV relativeFrom="page">
              <wp14:pctHeight>0</wp14:pctHeight>
            </wp14:sizeRelV>
          </wp:anchor>
        </w:drawing>
      </w:r>
      <w:r w:rsidRPr="00312271">
        <w:rPr>
          <w:b/>
          <w:color w:val="auto"/>
          <w:sz w:val="18"/>
          <w:szCs w:val="18"/>
          <w:u w:val="single"/>
          <w:shd w:val="clear" w:color="auto" w:fill="FFFFFF"/>
          <w:lang w:val="es-ES"/>
        </w:rPr>
        <w:t xml:space="preserve">Línea de tiempo </w:t>
      </w:r>
      <w:proofErr w:type="spellStart"/>
      <w:r w:rsidRPr="00312271">
        <w:rPr>
          <w:b/>
          <w:color w:val="auto"/>
          <w:sz w:val="18"/>
          <w:szCs w:val="18"/>
          <w:u w:val="single"/>
          <w:shd w:val="clear" w:color="auto" w:fill="FFFFFF"/>
          <w:lang w:val="es-ES"/>
        </w:rPr>
        <w:t>N°</w:t>
      </w:r>
      <w:proofErr w:type="spellEnd"/>
      <w:r w:rsidRPr="00312271">
        <w:rPr>
          <w:b/>
          <w:color w:val="auto"/>
          <w:sz w:val="18"/>
          <w:szCs w:val="18"/>
          <w:u w:val="single"/>
          <w:shd w:val="clear" w:color="auto" w:fill="FFFFFF"/>
          <w:lang w:val="es-ES"/>
        </w:rPr>
        <w:t xml:space="preserve"> 1</w:t>
      </w:r>
    </w:p>
    <w:p w14:paraId="4DB94418" w14:textId="77777777" w:rsidR="003E2B14" w:rsidRPr="00312271" w:rsidRDefault="003E2B14" w:rsidP="00390054">
      <w:pPr>
        <w:autoSpaceDE w:val="0"/>
        <w:autoSpaceDN w:val="0"/>
        <w:adjustRightInd w:val="0"/>
        <w:spacing w:after="0" w:line="240" w:lineRule="auto"/>
        <w:ind w:left="567"/>
        <w:contextualSpacing/>
        <w:rPr>
          <w:rFonts w:ascii="Arial" w:hAnsi="Arial" w:cs="Arial"/>
          <w:color w:val="auto"/>
        </w:rPr>
      </w:pPr>
    </w:p>
    <w:p w14:paraId="57762788" w14:textId="77777777" w:rsidR="003E2B14" w:rsidRPr="00312271" w:rsidRDefault="003E2B14" w:rsidP="000B4039">
      <w:pPr>
        <w:numPr>
          <w:ilvl w:val="0"/>
          <w:numId w:val="2"/>
        </w:numPr>
        <w:autoSpaceDE w:val="0"/>
        <w:autoSpaceDN w:val="0"/>
        <w:adjustRightInd w:val="0"/>
        <w:spacing w:after="0" w:line="240" w:lineRule="auto"/>
        <w:ind w:left="567" w:hanging="567"/>
        <w:contextualSpacing/>
        <w:jc w:val="both"/>
        <w:rPr>
          <w:rFonts w:ascii="Arial" w:hAnsi="Arial" w:cs="Arial"/>
          <w:color w:val="auto"/>
        </w:rPr>
      </w:pPr>
      <w:r w:rsidRPr="00312271">
        <w:rPr>
          <w:rFonts w:ascii="Arial" w:hAnsi="Arial" w:cs="Arial"/>
          <w:color w:val="auto"/>
        </w:rPr>
        <w:t>En base a lo desarrollado, se verificó que la compañía aseguradora rechazó de forma justificada la cobertura del Seguro de Desgravamen, al haberse acreditado que las enfermedades que generaron la invalidez de la denunciante eran preexistentes a la contratación del mencionado seguro.</w:t>
      </w:r>
    </w:p>
    <w:p w14:paraId="6AD76BF0" w14:textId="77777777" w:rsidR="003E2B14" w:rsidRPr="00312271" w:rsidRDefault="003E2B14" w:rsidP="00390054">
      <w:pPr>
        <w:pStyle w:val="Prrafodelista"/>
        <w:spacing w:line="240" w:lineRule="auto"/>
        <w:ind w:left="567"/>
        <w:rPr>
          <w:rFonts w:eastAsia="Times New Roman"/>
          <w:color w:val="auto"/>
        </w:rPr>
      </w:pPr>
    </w:p>
    <w:p w14:paraId="6554C6BA" w14:textId="2E46981C" w:rsidR="003E2B14" w:rsidRPr="00312271" w:rsidRDefault="003E2B14" w:rsidP="000B4039">
      <w:pPr>
        <w:pStyle w:val="Prrafodelista"/>
        <w:numPr>
          <w:ilvl w:val="0"/>
          <w:numId w:val="2"/>
        </w:numPr>
        <w:spacing w:line="240" w:lineRule="auto"/>
        <w:ind w:left="567" w:hanging="567"/>
        <w:jc w:val="both"/>
        <w:rPr>
          <w:color w:val="auto"/>
        </w:rPr>
      </w:pPr>
      <w:r w:rsidRPr="00312271">
        <w:rPr>
          <w:rFonts w:eastAsia="Times New Roman"/>
          <w:color w:val="auto"/>
        </w:rPr>
        <w:t xml:space="preserve">En consecuencia, de acuerdo con los fundamentos expuestos y los medios probatorios analizados, </w:t>
      </w:r>
      <w:r w:rsidR="00B81AD3" w:rsidRPr="00312271">
        <w:rPr>
          <w:rFonts w:eastAsia="Times New Roman"/>
          <w:color w:val="auto"/>
        </w:rPr>
        <w:t xml:space="preserve">acogiendo la recomendación efectuada por la Secretaría Técnica en el Informe Final de Instrucción </w:t>
      </w:r>
      <w:proofErr w:type="spellStart"/>
      <w:r w:rsidR="00B81AD3" w:rsidRPr="00312271">
        <w:rPr>
          <w:rFonts w:eastAsia="Times New Roman"/>
          <w:color w:val="auto"/>
        </w:rPr>
        <w:t>N°</w:t>
      </w:r>
      <w:proofErr w:type="spellEnd"/>
      <w:r w:rsidR="00B81AD3" w:rsidRPr="00312271">
        <w:rPr>
          <w:rFonts w:eastAsia="Times New Roman"/>
          <w:color w:val="auto"/>
        </w:rPr>
        <w:t xml:space="preserve"> 1691-2025/CC1-ST, esta Comisión considera que corresponde</w:t>
      </w:r>
      <w:r w:rsidR="00B81AD3" w:rsidRPr="00312271">
        <w:rPr>
          <w:color w:val="auto"/>
        </w:rPr>
        <w:t xml:space="preserve"> </w:t>
      </w:r>
      <w:r w:rsidRPr="00312271">
        <w:rPr>
          <w:rFonts w:eastAsia="Times New Roman"/>
          <w:color w:val="auto"/>
        </w:rPr>
        <w:t xml:space="preserve">declarar infundada la denuncia interpuesta por la señora Castro contra Interseguro, </w:t>
      </w:r>
      <w:r w:rsidRPr="00312271">
        <w:rPr>
          <w:color w:val="auto"/>
        </w:rPr>
        <w:t>por presunta infracción de los artículos 18° y 19° del Código</w:t>
      </w:r>
      <w:r w:rsidRPr="00312271">
        <w:rPr>
          <w:rFonts w:eastAsia="Times New Roman"/>
          <w:color w:val="auto"/>
        </w:rPr>
        <w:t xml:space="preserve">, </w:t>
      </w:r>
      <w:r w:rsidRPr="00312271">
        <w:rPr>
          <w:color w:val="auto"/>
        </w:rPr>
        <w:t>en la medida que ha quedado acreditado que la compañía aseguradora se negó justificadamente a otorgar a la denunciante la cobertura de la póliza del Seguro de Desgravamen por la invalidez total y permanente con menoscabo de 96.50% que padece.</w:t>
      </w:r>
    </w:p>
    <w:p w14:paraId="2ECA6C5D" w14:textId="77777777" w:rsidR="00D91C63" w:rsidRPr="00312271" w:rsidRDefault="00D91C63" w:rsidP="00390054">
      <w:pPr>
        <w:spacing w:after="0" w:line="240" w:lineRule="auto"/>
        <w:ind w:right="-1"/>
        <w:contextualSpacing/>
        <w:jc w:val="both"/>
        <w:rPr>
          <w:rFonts w:ascii="Arial" w:eastAsia="Arial" w:hAnsi="Arial" w:cs="Arial"/>
          <w:b/>
          <w:color w:val="auto"/>
        </w:rPr>
      </w:pPr>
    </w:p>
    <w:p w14:paraId="2EC9785F" w14:textId="77777777" w:rsidR="0042504C" w:rsidRPr="00312271" w:rsidRDefault="0042504C" w:rsidP="00390054">
      <w:pPr>
        <w:pStyle w:val="Sinespaciado"/>
        <w:contextualSpacing/>
        <w:jc w:val="both"/>
        <w:rPr>
          <w:color w:val="auto"/>
          <w:lang w:val="es-ES_tradnl"/>
        </w:rPr>
      </w:pPr>
      <w:r w:rsidRPr="00312271">
        <w:rPr>
          <w:b/>
          <w:bCs/>
          <w:color w:val="auto"/>
        </w:rPr>
        <w:t>Sobre las medidas correctivas y las costas y costos del procedimiento</w:t>
      </w:r>
    </w:p>
    <w:p w14:paraId="021B9747" w14:textId="77777777" w:rsidR="0042504C" w:rsidRPr="00312271" w:rsidRDefault="0042504C" w:rsidP="00390054">
      <w:pPr>
        <w:pStyle w:val="Sinespaciado"/>
        <w:contextualSpacing/>
        <w:jc w:val="both"/>
        <w:rPr>
          <w:color w:val="auto"/>
        </w:rPr>
      </w:pPr>
    </w:p>
    <w:p w14:paraId="77872C32" w14:textId="354EAAB5" w:rsidR="0042504C" w:rsidRPr="00312271" w:rsidRDefault="0042504C" w:rsidP="000B4039">
      <w:pPr>
        <w:pStyle w:val="Prrafodelista"/>
        <w:numPr>
          <w:ilvl w:val="0"/>
          <w:numId w:val="2"/>
        </w:numPr>
        <w:spacing w:line="240" w:lineRule="auto"/>
        <w:ind w:left="567" w:hanging="567"/>
        <w:jc w:val="both"/>
        <w:rPr>
          <w:color w:val="auto"/>
          <w:lang w:val="es-ES_tradnl"/>
        </w:rPr>
      </w:pPr>
      <w:r w:rsidRPr="00312271">
        <w:rPr>
          <w:color w:val="auto"/>
        </w:rPr>
        <w:t xml:space="preserve">En la medida en que no se ha verificado responsabilidad administrativa de </w:t>
      </w:r>
      <w:r w:rsidR="00B81AD3" w:rsidRPr="00312271">
        <w:rPr>
          <w:color w:val="auto"/>
        </w:rPr>
        <w:t>Interseguro</w:t>
      </w:r>
      <w:r w:rsidRPr="00312271">
        <w:rPr>
          <w:color w:val="auto"/>
        </w:rPr>
        <w:t xml:space="preserve">, corresponde denegar las medidas correctivas solicitadas por </w:t>
      </w:r>
      <w:r w:rsidR="00B81AD3" w:rsidRPr="00312271">
        <w:rPr>
          <w:color w:val="auto"/>
        </w:rPr>
        <w:t>la señora Castro</w:t>
      </w:r>
      <w:r w:rsidR="00E8161F" w:rsidRPr="00312271">
        <w:rPr>
          <w:color w:val="auto"/>
        </w:rPr>
        <w:t xml:space="preserve"> </w:t>
      </w:r>
      <w:r w:rsidRPr="00312271">
        <w:rPr>
          <w:color w:val="auto"/>
        </w:rPr>
        <w:t>en el escrito de denuncia, así como las costas y los costos del procedimiento.</w:t>
      </w:r>
    </w:p>
    <w:p w14:paraId="09E5ED28" w14:textId="77777777" w:rsidR="00E67580" w:rsidRPr="00312271" w:rsidRDefault="00E67580" w:rsidP="00390054">
      <w:pPr>
        <w:spacing w:after="0" w:line="240" w:lineRule="auto"/>
        <w:ind w:right="-1"/>
        <w:contextualSpacing/>
        <w:jc w:val="both"/>
        <w:rPr>
          <w:rFonts w:ascii="Arial" w:eastAsia="Arial" w:hAnsi="Arial" w:cs="Arial"/>
          <w:b/>
          <w:color w:val="auto"/>
        </w:rPr>
      </w:pPr>
    </w:p>
    <w:p w14:paraId="7D1875A8" w14:textId="01F3AF93" w:rsidR="00286F67" w:rsidRPr="00312271" w:rsidRDefault="00286F67" w:rsidP="00390054">
      <w:pPr>
        <w:spacing w:after="0" w:line="240" w:lineRule="auto"/>
        <w:ind w:right="-1"/>
        <w:contextualSpacing/>
        <w:jc w:val="both"/>
        <w:rPr>
          <w:rFonts w:ascii="Arial" w:eastAsia="Arial" w:hAnsi="Arial" w:cs="Arial"/>
          <w:b/>
          <w:color w:val="auto"/>
        </w:rPr>
      </w:pPr>
      <w:r w:rsidRPr="00312271">
        <w:rPr>
          <w:rFonts w:ascii="Arial" w:eastAsia="Arial" w:hAnsi="Arial" w:cs="Arial"/>
          <w:b/>
          <w:color w:val="auto"/>
        </w:rPr>
        <w:t>RESUELVE</w:t>
      </w:r>
    </w:p>
    <w:p w14:paraId="6C62C196" w14:textId="03C41EA3" w:rsidR="006471AC" w:rsidRPr="00312271" w:rsidRDefault="006471AC" w:rsidP="00390054">
      <w:pPr>
        <w:pStyle w:val="Prrafodelista"/>
        <w:spacing w:line="240" w:lineRule="auto"/>
        <w:ind w:left="0"/>
        <w:jc w:val="both"/>
        <w:rPr>
          <w:bCs/>
          <w:color w:val="auto"/>
        </w:rPr>
      </w:pPr>
    </w:p>
    <w:p w14:paraId="091C160F" w14:textId="3CD35966" w:rsidR="00FC2313" w:rsidRPr="00312271" w:rsidRDefault="00B137F6" w:rsidP="00390054">
      <w:pPr>
        <w:pStyle w:val="Sinespaciado"/>
        <w:contextualSpacing/>
        <w:jc w:val="both"/>
        <w:rPr>
          <w:b/>
          <w:bCs/>
          <w:color w:val="auto"/>
          <w:lang w:val="es-ES"/>
        </w:rPr>
      </w:pPr>
      <w:r w:rsidRPr="00312271">
        <w:rPr>
          <w:b/>
          <w:bCs/>
          <w:color w:val="auto"/>
          <w:lang w:val="es-ES"/>
        </w:rPr>
        <w:t>PRIMERO</w:t>
      </w:r>
      <w:r w:rsidR="00C62ED9" w:rsidRPr="00312271">
        <w:rPr>
          <w:b/>
          <w:bCs/>
          <w:color w:val="auto"/>
          <w:lang w:val="es-ES"/>
        </w:rPr>
        <w:t xml:space="preserve">: </w:t>
      </w:r>
      <w:r w:rsidR="006B67A2" w:rsidRPr="00312271">
        <w:rPr>
          <w:rFonts w:eastAsia="Times New Roman"/>
          <w:color w:val="auto"/>
          <w:lang w:eastAsia="es-ES"/>
        </w:rPr>
        <w:t xml:space="preserve">declarar improcedente, </w:t>
      </w:r>
      <w:r w:rsidR="006B67A2" w:rsidRPr="00312271">
        <w:rPr>
          <w:rFonts w:eastAsia="Times New Roman"/>
          <w:bCs/>
          <w:color w:val="auto"/>
          <w:lang w:val="es-ES" w:eastAsia="es-ES"/>
        </w:rPr>
        <w:t>por falta de legitimidad para obrar pasiva</w:t>
      </w:r>
      <w:r w:rsidR="006B67A2" w:rsidRPr="00312271">
        <w:rPr>
          <w:rFonts w:eastAsia="Times New Roman"/>
          <w:color w:val="auto"/>
          <w:lang w:eastAsia="es-ES"/>
        </w:rPr>
        <w:t xml:space="preserve">, la denuncia interpuesta por </w:t>
      </w:r>
      <w:r w:rsidR="006B67A2" w:rsidRPr="00312271">
        <w:rPr>
          <w:bCs/>
          <w:color w:val="auto"/>
        </w:rPr>
        <w:t xml:space="preserve">la </w:t>
      </w:r>
      <w:r w:rsidR="006B67A2" w:rsidRPr="00312271">
        <w:rPr>
          <w:color w:val="auto"/>
        </w:rPr>
        <w:t xml:space="preserve">señora Nancy Dionelly Castro Urrunaga </w:t>
      </w:r>
      <w:r w:rsidR="006B67A2" w:rsidRPr="00312271">
        <w:rPr>
          <w:rFonts w:eastAsia="Times New Roman"/>
          <w:color w:val="auto"/>
          <w:lang w:eastAsia="es-ES"/>
        </w:rPr>
        <w:t xml:space="preserve">contra </w:t>
      </w:r>
      <w:r w:rsidR="006B67A2" w:rsidRPr="00312271">
        <w:rPr>
          <w:color w:val="auto"/>
        </w:rPr>
        <w:t>Banco Internacional del Perú S.A.A. – Interbank</w:t>
      </w:r>
      <w:r w:rsidR="006B67A2" w:rsidRPr="00312271">
        <w:rPr>
          <w:rFonts w:eastAsia="Times New Roman"/>
          <w:color w:val="auto"/>
          <w:lang w:eastAsia="es-ES"/>
        </w:rPr>
        <w:t xml:space="preserve">, por </w:t>
      </w:r>
      <w:r w:rsidR="00156147">
        <w:rPr>
          <w:rFonts w:eastAsia="Times New Roman"/>
          <w:color w:val="auto"/>
          <w:lang w:eastAsia="es-ES"/>
        </w:rPr>
        <w:t xml:space="preserve">presunta </w:t>
      </w:r>
      <w:r w:rsidR="006B67A2" w:rsidRPr="00312271">
        <w:rPr>
          <w:rFonts w:eastAsia="Times New Roman"/>
          <w:color w:val="auto"/>
          <w:lang w:eastAsia="es-ES"/>
        </w:rPr>
        <w:t xml:space="preserve">infracción a </w:t>
      </w:r>
      <w:r w:rsidR="006B67A2" w:rsidRPr="00312271">
        <w:rPr>
          <w:rFonts w:eastAsiaTheme="minorEastAsia"/>
          <w:color w:val="auto"/>
        </w:rPr>
        <w:t xml:space="preserve">los artículos 18° y 19° </w:t>
      </w:r>
      <w:r w:rsidR="006B67A2" w:rsidRPr="00312271">
        <w:rPr>
          <w:rFonts w:eastAsia="Times New Roman"/>
          <w:bCs/>
          <w:color w:val="auto"/>
          <w:lang w:val="es-ES" w:eastAsia="es-ES"/>
        </w:rPr>
        <w:t xml:space="preserve">de la Ley </w:t>
      </w:r>
      <w:proofErr w:type="spellStart"/>
      <w:r w:rsidR="006B67A2" w:rsidRPr="00312271">
        <w:rPr>
          <w:rFonts w:eastAsia="Times New Roman"/>
          <w:bCs/>
          <w:color w:val="auto"/>
          <w:lang w:val="es-ES" w:eastAsia="es-ES"/>
        </w:rPr>
        <w:t>N°</w:t>
      </w:r>
      <w:proofErr w:type="spellEnd"/>
      <w:r w:rsidR="006B67A2" w:rsidRPr="00312271">
        <w:rPr>
          <w:rFonts w:eastAsia="Times New Roman"/>
          <w:bCs/>
          <w:color w:val="auto"/>
          <w:lang w:val="es-ES" w:eastAsia="es-ES"/>
        </w:rPr>
        <w:t xml:space="preserve"> 29571, Código de Protección y Defensa del Consumidor</w:t>
      </w:r>
      <w:r w:rsidR="006B67A2" w:rsidRPr="00312271">
        <w:rPr>
          <w:rFonts w:eastAsia="Times New Roman"/>
          <w:color w:val="auto"/>
          <w:lang w:eastAsia="es-ES"/>
        </w:rPr>
        <w:t xml:space="preserve">, </w:t>
      </w:r>
      <w:r w:rsidR="006B67A2" w:rsidRPr="00312271">
        <w:rPr>
          <w:color w:val="auto"/>
        </w:rPr>
        <w:t xml:space="preserve">en el extremo referido a que </w:t>
      </w:r>
      <w:r w:rsidR="006B67A2" w:rsidRPr="00312271">
        <w:rPr>
          <w:bCs/>
          <w:color w:val="auto"/>
        </w:rPr>
        <w:t xml:space="preserve">la entidad bancaria </w:t>
      </w:r>
      <w:r w:rsidR="006B67A2" w:rsidRPr="00312271">
        <w:rPr>
          <w:color w:val="auto"/>
        </w:rPr>
        <w:t>se habría negado injustificadamente a otorgar a la denunciante la cobertura de la Póliza del Seguro de Desgravamen por la invalidez total y permanente con menoscabo de 96.50% que padece</w:t>
      </w:r>
      <w:r w:rsidR="00132D15">
        <w:rPr>
          <w:color w:val="auto"/>
        </w:rPr>
        <w:t>, al no ser titular de la conducta infractora</w:t>
      </w:r>
      <w:r w:rsidR="00FC2313" w:rsidRPr="00312271">
        <w:rPr>
          <w:color w:val="auto"/>
          <w:lang w:val="es-ES"/>
        </w:rPr>
        <w:t>.</w:t>
      </w:r>
    </w:p>
    <w:p w14:paraId="7500A3D4" w14:textId="77777777" w:rsidR="00FC2313" w:rsidRPr="00312271" w:rsidRDefault="00FC2313" w:rsidP="00390054">
      <w:pPr>
        <w:pStyle w:val="Sinespaciado"/>
        <w:contextualSpacing/>
        <w:jc w:val="both"/>
        <w:rPr>
          <w:b/>
          <w:bCs/>
          <w:color w:val="auto"/>
          <w:lang w:val="es-ES"/>
        </w:rPr>
      </w:pPr>
    </w:p>
    <w:p w14:paraId="4506521E" w14:textId="5A6A84BD" w:rsidR="00D70542" w:rsidRPr="00312271" w:rsidRDefault="00FC2313" w:rsidP="00390054">
      <w:pPr>
        <w:pStyle w:val="Sinespaciado"/>
        <w:contextualSpacing/>
        <w:jc w:val="both"/>
        <w:rPr>
          <w:b/>
          <w:bCs/>
          <w:color w:val="auto"/>
          <w:lang w:val="es-ES"/>
        </w:rPr>
      </w:pPr>
      <w:r w:rsidRPr="00312271">
        <w:rPr>
          <w:b/>
          <w:bCs/>
          <w:color w:val="auto"/>
          <w:lang w:val="es-ES"/>
        </w:rPr>
        <w:t xml:space="preserve">SEGUNDO: </w:t>
      </w:r>
      <w:r w:rsidR="00D70542" w:rsidRPr="00312271">
        <w:rPr>
          <w:rStyle w:val="markedcontent"/>
          <w:color w:val="auto"/>
        </w:rPr>
        <w:t xml:space="preserve">declarar infundada </w:t>
      </w:r>
      <w:r w:rsidR="002A19CD" w:rsidRPr="00312271">
        <w:rPr>
          <w:rFonts w:eastAsiaTheme="minorEastAsia"/>
          <w:color w:val="auto"/>
        </w:rPr>
        <w:t xml:space="preserve">la denuncia interpuesta por </w:t>
      </w:r>
      <w:r w:rsidR="002A19CD" w:rsidRPr="00312271">
        <w:rPr>
          <w:color w:val="auto"/>
        </w:rPr>
        <w:t xml:space="preserve">la señora Nancy Dionelly Castro Urrunaga </w:t>
      </w:r>
      <w:r w:rsidR="002A19CD" w:rsidRPr="00312271">
        <w:rPr>
          <w:rFonts w:eastAsiaTheme="minorEastAsia"/>
          <w:color w:val="auto"/>
        </w:rPr>
        <w:t xml:space="preserve">contra </w:t>
      </w:r>
      <w:r w:rsidR="002A19CD" w:rsidRPr="00312271">
        <w:rPr>
          <w:rFonts w:eastAsiaTheme="minorEastAsia"/>
          <w:bCs/>
          <w:color w:val="auto"/>
        </w:rPr>
        <w:t xml:space="preserve">Interseguro Compañía de </w:t>
      </w:r>
      <w:r w:rsidR="002A19CD" w:rsidRPr="00312271">
        <w:rPr>
          <w:rFonts w:eastAsiaTheme="minorEastAsia"/>
          <w:color w:val="auto"/>
        </w:rPr>
        <w:t xml:space="preserve">Seguros S.A., por presunta infracción a los artículos 18° y 19° de la Ley </w:t>
      </w:r>
      <w:proofErr w:type="spellStart"/>
      <w:r w:rsidR="002A19CD" w:rsidRPr="00312271">
        <w:rPr>
          <w:rFonts w:eastAsiaTheme="minorEastAsia"/>
          <w:color w:val="auto"/>
        </w:rPr>
        <w:t>N°</w:t>
      </w:r>
      <w:proofErr w:type="spellEnd"/>
      <w:r w:rsidR="002A19CD" w:rsidRPr="00312271">
        <w:rPr>
          <w:rFonts w:eastAsiaTheme="minorEastAsia"/>
          <w:color w:val="auto"/>
        </w:rPr>
        <w:t xml:space="preserve"> 29571, Código de Protección y Defensa del Consumidor, </w:t>
      </w:r>
      <w:r w:rsidR="002A19CD" w:rsidRPr="00312271">
        <w:rPr>
          <w:color w:val="auto"/>
        </w:rPr>
        <w:t xml:space="preserve">en la medida que ha quedado acreditado que la compañía aseguradora se negó justificadamente </w:t>
      </w:r>
      <w:r w:rsidR="002A19CD" w:rsidRPr="00312271">
        <w:rPr>
          <w:color w:val="auto"/>
        </w:rPr>
        <w:lastRenderedPageBreak/>
        <w:t>a otorgar a la denunciante la cobertura de la Póliza del Seguro de Desgravamen por la invalidez total y permanente con menoscabo de 96.50% que padece</w:t>
      </w:r>
      <w:r w:rsidR="00D70542" w:rsidRPr="00312271">
        <w:rPr>
          <w:color w:val="auto"/>
        </w:rPr>
        <w:t>.</w:t>
      </w:r>
    </w:p>
    <w:p w14:paraId="0B4BFDC3" w14:textId="77777777" w:rsidR="00D70542" w:rsidRPr="00312271" w:rsidRDefault="00D70542" w:rsidP="00390054">
      <w:pPr>
        <w:pStyle w:val="Sinespaciado"/>
        <w:contextualSpacing/>
        <w:jc w:val="both"/>
        <w:rPr>
          <w:b/>
          <w:bCs/>
          <w:color w:val="auto"/>
          <w:lang w:val="es-ES"/>
        </w:rPr>
      </w:pPr>
    </w:p>
    <w:p w14:paraId="2A22B546" w14:textId="44290D6B" w:rsidR="00D70542" w:rsidRPr="00312271" w:rsidRDefault="00FC2313" w:rsidP="00390054">
      <w:pPr>
        <w:pStyle w:val="Sinespaciado"/>
        <w:contextualSpacing/>
        <w:jc w:val="both"/>
        <w:rPr>
          <w:rFonts w:eastAsia="Times New Roman"/>
          <w:b/>
          <w:bCs/>
          <w:color w:val="auto"/>
        </w:rPr>
      </w:pPr>
      <w:r w:rsidRPr="00312271">
        <w:rPr>
          <w:b/>
          <w:bCs/>
          <w:color w:val="auto"/>
          <w:lang w:val="es-ES"/>
        </w:rPr>
        <w:t>TERCERO</w:t>
      </w:r>
      <w:r w:rsidR="00D70542" w:rsidRPr="00312271">
        <w:rPr>
          <w:b/>
          <w:bCs/>
          <w:color w:val="auto"/>
          <w:lang w:val="es-ES"/>
        </w:rPr>
        <w:t>:</w:t>
      </w:r>
      <w:r w:rsidR="00D70542" w:rsidRPr="00312271">
        <w:rPr>
          <w:color w:val="auto"/>
        </w:rPr>
        <w:t xml:space="preserve"> </w:t>
      </w:r>
      <w:r w:rsidR="00D70542" w:rsidRPr="00312271">
        <w:rPr>
          <w:color w:val="auto"/>
          <w:lang w:val="es-ES"/>
        </w:rPr>
        <w:t xml:space="preserve">denegar las medidas correctivas solicitadas por </w:t>
      </w:r>
      <w:r w:rsidR="00B81AD3" w:rsidRPr="00312271">
        <w:rPr>
          <w:color w:val="auto"/>
          <w:lang w:val="es-ES"/>
        </w:rPr>
        <w:t xml:space="preserve">la </w:t>
      </w:r>
      <w:r w:rsidR="00390054" w:rsidRPr="00312271">
        <w:rPr>
          <w:color w:val="auto"/>
        </w:rPr>
        <w:t>señora Nancy Dionelly Castro Urrunaga</w:t>
      </w:r>
      <w:r w:rsidR="00D70542" w:rsidRPr="00312271">
        <w:rPr>
          <w:color w:val="auto"/>
        </w:rPr>
        <w:t>,</w:t>
      </w:r>
      <w:r w:rsidR="00D70542" w:rsidRPr="00312271">
        <w:rPr>
          <w:bCs/>
          <w:color w:val="auto"/>
        </w:rPr>
        <w:t xml:space="preserve"> así como las costas y los costos del procedimiento</w:t>
      </w:r>
      <w:r w:rsidR="00D70542" w:rsidRPr="00312271">
        <w:rPr>
          <w:color w:val="auto"/>
          <w:lang w:val="es-ES"/>
        </w:rPr>
        <w:t>.</w:t>
      </w:r>
    </w:p>
    <w:p w14:paraId="2765D75F" w14:textId="77777777" w:rsidR="00D70542" w:rsidRPr="00312271" w:rsidRDefault="00D70542" w:rsidP="00390054">
      <w:pPr>
        <w:spacing w:after="0" w:line="240" w:lineRule="auto"/>
        <w:contextualSpacing/>
        <w:jc w:val="both"/>
        <w:textAlignment w:val="baseline"/>
        <w:rPr>
          <w:rFonts w:ascii="Arial" w:eastAsia="Times New Roman" w:hAnsi="Arial" w:cs="Arial"/>
          <w:b/>
          <w:bCs/>
          <w:color w:val="auto"/>
        </w:rPr>
      </w:pPr>
    </w:p>
    <w:p w14:paraId="51711520" w14:textId="29BE71AA" w:rsidR="00D1553F" w:rsidRPr="00312271" w:rsidRDefault="00FC2313" w:rsidP="00390054">
      <w:pPr>
        <w:spacing w:after="0" w:line="240" w:lineRule="auto"/>
        <w:contextualSpacing/>
        <w:jc w:val="both"/>
        <w:textAlignment w:val="baseline"/>
        <w:rPr>
          <w:rFonts w:ascii="Arial" w:eastAsia="Times New Roman" w:hAnsi="Arial" w:cs="Arial"/>
          <w:color w:val="auto"/>
        </w:rPr>
      </w:pPr>
      <w:r w:rsidRPr="00312271">
        <w:rPr>
          <w:rFonts w:ascii="Arial" w:eastAsia="Times New Roman" w:hAnsi="Arial" w:cs="Arial"/>
          <w:b/>
          <w:bCs/>
          <w:color w:val="auto"/>
        </w:rPr>
        <w:t>CUARTO</w:t>
      </w:r>
      <w:r w:rsidR="00D70542" w:rsidRPr="00312271">
        <w:rPr>
          <w:rFonts w:ascii="Arial" w:eastAsia="Times New Roman" w:hAnsi="Arial" w:cs="Arial"/>
          <w:b/>
          <w:bCs/>
          <w:color w:val="auto"/>
        </w:rPr>
        <w:t xml:space="preserve">: </w:t>
      </w:r>
      <w:r w:rsidR="00D1553F" w:rsidRPr="00312271">
        <w:rPr>
          <w:rFonts w:ascii="Arial" w:eastAsia="Times New Roman" w:hAnsi="Arial" w:cs="Arial"/>
          <w:color w:val="auto"/>
        </w:rPr>
        <w:t xml:space="preserve">informar a las partes que la presente resolución tiene vigencia desde el día de su notificación y no agota la vía administrativa. En tal sentido, de conformidad con lo dispuesto por el artículo 38° del Decreto Legislativo </w:t>
      </w:r>
      <w:proofErr w:type="spellStart"/>
      <w:r w:rsidR="00D1553F" w:rsidRPr="00312271">
        <w:rPr>
          <w:rFonts w:ascii="Arial" w:eastAsia="Times New Roman" w:hAnsi="Arial" w:cs="Arial"/>
          <w:color w:val="auto"/>
        </w:rPr>
        <w:t>Nº</w:t>
      </w:r>
      <w:proofErr w:type="spellEnd"/>
      <w:r w:rsidR="00D1553F" w:rsidRPr="00312271">
        <w:rPr>
          <w:rFonts w:ascii="Arial" w:eastAsia="Times New Roman" w:hAnsi="Arial" w:cs="Arial"/>
          <w:color w:val="auto"/>
        </w:rPr>
        <w:t xml:space="preserve"> 807, el único recurso impugnativo que puede interponerse contra lo dispuesto por la Comisión de Protección al Consumidor </w:t>
      </w:r>
      <w:proofErr w:type="spellStart"/>
      <w:r w:rsidR="00D1553F" w:rsidRPr="00312271">
        <w:rPr>
          <w:rFonts w:ascii="Arial" w:eastAsia="Times New Roman" w:hAnsi="Arial" w:cs="Arial"/>
          <w:color w:val="auto"/>
        </w:rPr>
        <w:t>N°</w:t>
      </w:r>
      <w:proofErr w:type="spellEnd"/>
      <w:r w:rsidR="00D1553F" w:rsidRPr="00312271">
        <w:rPr>
          <w:rFonts w:ascii="Arial" w:eastAsia="Times New Roman" w:hAnsi="Arial" w:cs="Arial"/>
          <w:color w:val="auto"/>
        </w:rPr>
        <w:t> 1 es el de apelación</w:t>
      </w:r>
      <w:r w:rsidR="00D1553F" w:rsidRPr="00312271">
        <w:rPr>
          <w:rFonts w:ascii="Arial" w:eastAsia="Times New Roman" w:hAnsi="Arial" w:cs="Arial"/>
          <w:color w:val="auto"/>
          <w:vertAlign w:val="superscript"/>
        </w:rPr>
        <w:footnoteReference w:id="24"/>
      </w:r>
      <w:r w:rsidR="00D1553F" w:rsidRPr="00312271">
        <w:rPr>
          <w:rFonts w:ascii="Arial" w:eastAsia="Times New Roman" w:hAnsi="Arial" w:cs="Arial"/>
          <w:color w:val="auto"/>
        </w:rPr>
        <w:t>, el cual debe ser presentado ante dicho órgano colegiado en un plazo no mayor de quince (15) días hábiles, contado a partir del día siguiente de su notificación</w:t>
      </w:r>
      <w:r w:rsidR="00D1553F" w:rsidRPr="00312271">
        <w:rPr>
          <w:rFonts w:ascii="Arial" w:eastAsia="Times New Roman" w:hAnsi="Arial" w:cs="Arial"/>
          <w:color w:val="auto"/>
          <w:vertAlign w:val="superscript"/>
        </w:rPr>
        <w:footnoteReference w:id="25"/>
      </w:r>
      <w:r w:rsidR="00D1553F" w:rsidRPr="00312271">
        <w:rPr>
          <w:rFonts w:ascii="Arial" w:eastAsia="Times New Roman" w:hAnsi="Arial" w:cs="Arial"/>
          <w:color w:val="auto"/>
        </w:rPr>
        <w:t xml:space="preserve">, ello de acuerdo </w:t>
      </w:r>
      <w:r w:rsidR="00586671" w:rsidRPr="00312271">
        <w:rPr>
          <w:rFonts w:ascii="Arial" w:eastAsia="Times New Roman" w:hAnsi="Arial" w:cs="Arial"/>
          <w:color w:val="auto"/>
        </w:rPr>
        <w:t xml:space="preserve">con </w:t>
      </w:r>
      <w:r w:rsidR="00D1553F" w:rsidRPr="00312271">
        <w:rPr>
          <w:rFonts w:ascii="Arial" w:eastAsia="Times New Roman" w:hAnsi="Arial" w:cs="Arial"/>
          <w:color w:val="auto"/>
        </w:rPr>
        <w:t xml:space="preserve">lo establecido en el artículo 218° del Texto Único Ordenado de la Ley </w:t>
      </w:r>
      <w:proofErr w:type="spellStart"/>
      <w:r w:rsidR="00D1553F" w:rsidRPr="00312271">
        <w:rPr>
          <w:rFonts w:ascii="Arial" w:eastAsia="Times New Roman" w:hAnsi="Arial" w:cs="Arial"/>
          <w:color w:val="auto"/>
        </w:rPr>
        <w:t>N°</w:t>
      </w:r>
      <w:proofErr w:type="spellEnd"/>
      <w:r w:rsidR="00D1553F" w:rsidRPr="00312271">
        <w:rPr>
          <w:rFonts w:ascii="Arial" w:eastAsia="Times New Roman" w:hAnsi="Arial" w:cs="Arial"/>
          <w:color w:val="auto"/>
        </w:rPr>
        <w:t> 27444, Ley del Procedimiento Administrativo General</w:t>
      </w:r>
      <w:r w:rsidR="00954062" w:rsidRPr="00312271">
        <w:rPr>
          <w:rFonts w:ascii="Arial" w:eastAsia="Times New Roman" w:hAnsi="Arial" w:cs="Arial"/>
          <w:color w:val="auto"/>
        </w:rPr>
        <w:t>, aprobado por Decreto</w:t>
      </w:r>
      <w:r w:rsidR="001A52C3" w:rsidRPr="00312271">
        <w:rPr>
          <w:rFonts w:ascii="Arial" w:eastAsia="Times New Roman" w:hAnsi="Arial" w:cs="Arial"/>
          <w:color w:val="auto"/>
        </w:rPr>
        <w:t xml:space="preserve"> Supremo </w:t>
      </w:r>
      <w:proofErr w:type="spellStart"/>
      <w:r w:rsidR="001A52C3" w:rsidRPr="00312271">
        <w:rPr>
          <w:rFonts w:ascii="Arial" w:eastAsia="Times New Roman" w:hAnsi="Arial" w:cs="Arial"/>
          <w:color w:val="auto"/>
        </w:rPr>
        <w:t>N°</w:t>
      </w:r>
      <w:proofErr w:type="spellEnd"/>
      <w:r w:rsidR="001A52C3" w:rsidRPr="00312271">
        <w:rPr>
          <w:rFonts w:ascii="Arial" w:eastAsia="Times New Roman" w:hAnsi="Arial" w:cs="Arial"/>
          <w:color w:val="auto"/>
        </w:rPr>
        <w:t xml:space="preserve"> 004-2019-JUS</w:t>
      </w:r>
      <w:r w:rsidR="00D1553F" w:rsidRPr="00312271">
        <w:rPr>
          <w:rFonts w:ascii="Arial" w:eastAsia="Times New Roman" w:hAnsi="Arial" w:cs="Arial"/>
          <w:color w:val="auto"/>
        </w:rPr>
        <w:t>; caso contrario, la resolución quedará consentida</w:t>
      </w:r>
      <w:r w:rsidR="00D1553F" w:rsidRPr="00312271">
        <w:rPr>
          <w:rFonts w:ascii="Arial" w:eastAsia="Times New Roman" w:hAnsi="Arial" w:cs="Arial"/>
          <w:color w:val="auto"/>
          <w:vertAlign w:val="superscript"/>
        </w:rPr>
        <w:footnoteReference w:id="26"/>
      </w:r>
      <w:r w:rsidR="00D1553F" w:rsidRPr="00312271">
        <w:rPr>
          <w:rFonts w:ascii="Arial" w:eastAsia="Times New Roman" w:hAnsi="Arial" w:cs="Arial"/>
          <w:color w:val="auto"/>
        </w:rPr>
        <w:t>.</w:t>
      </w:r>
    </w:p>
    <w:p w14:paraId="3AE3FCEC" w14:textId="77777777" w:rsidR="00044429" w:rsidRPr="00312271" w:rsidRDefault="00044429" w:rsidP="00390054">
      <w:pPr>
        <w:spacing w:after="0" w:line="240" w:lineRule="auto"/>
        <w:contextualSpacing/>
        <w:jc w:val="both"/>
        <w:textAlignment w:val="baseline"/>
        <w:rPr>
          <w:rFonts w:ascii="Arial" w:eastAsia="Times New Roman" w:hAnsi="Arial" w:cs="Arial"/>
          <w:color w:val="auto"/>
        </w:rPr>
      </w:pPr>
    </w:p>
    <w:p w14:paraId="3264FF6E" w14:textId="529BB7C0" w:rsidR="00CA3D6F" w:rsidRPr="00312271" w:rsidRDefault="00CA3D6F" w:rsidP="00390054">
      <w:pPr>
        <w:spacing w:after="0" w:line="240" w:lineRule="auto"/>
        <w:contextualSpacing/>
        <w:jc w:val="both"/>
        <w:rPr>
          <w:rFonts w:ascii="Arial" w:eastAsia="Arial" w:hAnsi="Arial" w:cs="Arial"/>
          <w:color w:val="auto"/>
        </w:rPr>
      </w:pPr>
    </w:p>
    <w:sectPr w:rsidR="00CA3D6F" w:rsidRPr="00312271" w:rsidSect="00271868">
      <w:headerReference w:type="default" r:id="rId17"/>
      <w:footerReference w:type="default" r:id="rId18"/>
      <w:pgSz w:w="11906" w:h="16838"/>
      <w:pgMar w:top="2269" w:right="1416"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7196" w14:textId="77777777" w:rsidR="00145192" w:rsidRDefault="00145192" w:rsidP="009A087F">
      <w:pPr>
        <w:spacing w:after="0" w:line="240" w:lineRule="auto"/>
      </w:pPr>
      <w:r>
        <w:separator/>
      </w:r>
    </w:p>
  </w:endnote>
  <w:endnote w:type="continuationSeparator" w:id="0">
    <w:p w14:paraId="02D922C3" w14:textId="77777777" w:rsidR="00145192" w:rsidRDefault="00145192" w:rsidP="009A087F">
      <w:pPr>
        <w:spacing w:after="0" w:line="240" w:lineRule="auto"/>
      </w:pPr>
      <w:r>
        <w:continuationSeparator/>
      </w:r>
    </w:p>
  </w:endnote>
  <w:endnote w:type="continuationNotice" w:id="1">
    <w:p w14:paraId="1C3BF43B" w14:textId="77777777" w:rsidR="00145192" w:rsidRDefault="001451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Liberation Sans Narrow">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EB26" w14:textId="68FBC2AE" w:rsidR="0024233D" w:rsidRPr="00055F55" w:rsidRDefault="0024233D" w:rsidP="00CE0DE5">
    <w:pPr>
      <w:pStyle w:val="Piedepgina"/>
      <w:rPr>
        <w:rFonts w:ascii="Arial" w:hAnsi="Arial" w:cs="Arial"/>
        <w:sz w:val="16"/>
        <w:szCs w:val="16"/>
      </w:rPr>
    </w:pPr>
  </w:p>
  <w:p w14:paraId="2316D20B" w14:textId="77777777" w:rsidR="0024233D" w:rsidRDefault="0024233D" w:rsidP="00397CEE">
    <w:pPr>
      <w:pStyle w:val="Piedepgina"/>
      <w:rPr>
        <w:rFonts w:ascii="Arial" w:hAnsi="Arial" w:cs="Arial"/>
        <w:sz w:val="16"/>
        <w:szCs w:val="16"/>
      </w:rPr>
    </w:pPr>
  </w:p>
  <w:sdt>
    <w:sdtPr>
      <w:rPr>
        <w:rFonts w:ascii="Arial" w:eastAsia="Arial" w:hAnsi="Arial" w:cs="Arial"/>
        <w:sz w:val="16"/>
        <w:szCs w:val="16"/>
      </w:rPr>
      <w:id w:val="-335916730"/>
      <w:docPartObj>
        <w:docPartGallery w:val="Page Numbers (Bottom of Page)"/>
        <w:docPartUnique/>
      </w:docPartObj>
    </w:sdtPr>
    <w:sdtContent>
      <w:p w14:paraId="20EBB51C" w14:textId="77777777" w:rsidR="00915CFD" w:rsidRDefault="00915CFD" w:rsidP="00646966">
        <w:pPr>
          <w:pStyle w:val="Piedepgina"/>
          <w:jc w:val="center"/>
          <w:rPr>
            <w:rFonts w:ascii="Arial" w:hAnsi="Arial" w:cs="Arial"/>
            <w:sz w:val="16"/>
            <w:szCs w:val="16"/>
          </w:rPr>
        </w:pPr>
      </w:p>
      <w:p w14:paraId="658881E0" w14:textId="77777777" w:rsidR="00915CFD" w:rsidRDefault="0024233D" w:rsidP="00915CFD">
        <w:pPr>
          <w:pStyle w:val="Piedepgina"/>
          <w:jc w:val="center"/>
          <w:rPr>
            <w:rFonts w:ascii="Arial" w:hAnsi="Arial" w:cs="Arial"/>
            <w:sz w:val="16"/>
            <w:szCs w:val="16"/>
          </w:rPr>
        </w:pPr>
        <w:r w:rsidRPr="00055F55">
          <w:rPr>
            <w:rFonts w:ascii="Arial" w:hAnsi="Arial" w:cs="Arial"/>
            <w:sz w:val="16"/>
            <w:szCs w:val="16"/>
          </w:rPr>
          <w:fldChar w:fldCharType="begin"/>
        </w:r>
        <w:r w:rsidRPr="00055F55">
          <w:rPr>
            <w:rFonts w:ascii="Arial" w:hAnsi="Arial" w:cs="Arial"/>
            <w:sz w:val="16"/>
            <w:szCs w:val="16"/>
          </w:rPr>
          <w:instrText>PAGE   \* MERGEFORMAT</w:instrText>
        </w:r>
        <w:r w:rsidRPr="00055F55">
          <w:rPr>
            <w:rFonts w:ascii="Arial" w:hAnsi="Arial" w:cs="Arial"/>
            <w:sz w:val="16"/>
            <w:szCs w:val="16"/>
          </w:rPr>
          <w:fldChar w:fldCharType="separate"/>
        </w:r>
        <w:r w:rsidR="009A71C8" w:rsidRPr="009A71C8">
          <w:rPr>
            <w:rFonts w:ascii="Arial" w:hAnsi="Arial" w:cs="Arial"/>
            <w:noProof/>
            <w:sz w:val="16"/>
            <w:szCs w:val="16"/>
            <w:lang w:val="es-ES"/>
          </w:rPr>
          <w:t>7</w:t>
        </w:r>
        <w:r w:rsidRPr="00055F55">
          <w:rPr>
            <w:rFonts w:ascii="Arial" w:hAnsi="Arial" w:cs="Arial"/>
            <w:sz w:val="16"/>
            <w:szCs w:val="16"/>
          </w:rPr>
          <w:fldChar w:fldCharType="end"/>
        </w:r>
      </w:p>
      <w:p w14:paraId="7E0A0A31" w14:textId="77777777" w:rsidR="00915CFD" w:rsidRDefault="00915CFD" w:rsidP="00915CFD">
        <w:pPr>
          <w:pStyle w:val="Piedepgina"/>
          <w:jc w:val="center"/>
          <w:rPr>
            <w:rFonts w:ascii="Arial" w:hAnsi="Arial" w:cs="Arial"/>
            <w:sz w:val="16"/>
            <w:szCs w:val="16"/>
          </w:rPr>
        </w:pPr>
      </w:p>
      <w:p w14:paraId="1162CF79" w14:textId="77777777" w:rsidR="00915CFD" w:rsidRDefault="00915CFD" w:rsidP="00915CFD">
        <w:pPr>
          <w:pStyle w:val="Piedepgina"/>
          <w:rPr>
            <w:rFonts w:ascii="Arial" w:hAnsi="Arial" w:cs="Arial"/>
            <w:sz w:val="16"/>
            <w:szCs w:val="16"/>
          </w:rPr>
        </w:pPr>
      </w:p>
      <w:p w14:paraId="16BE1386" w14:textId="77777777" w:rsidR="00915CFD" w:rsidRPr="00E54E8F" w:rsidRDefault="00915CFD" w:rsidP="00915CFD">
        <w:pPr>
          <w:pStyle w:val="Sinespaciado"/>
          <w:jc w:val="center"/>
          <w:rPr>
            <w:b/>
            <w:i/>
            <w:sz w:val="14"/>
            <w:szCs w:val="14"/>
          </w:rPr>
        </w:pPr>
        <w:r w:rsidRPr="00E54E8F">
          <w:rPr>
            <w:b/>
            <w:i/>
            <w:sz w:val="14"/>
            <w:szCs w:val="14"/>
          </w:rPr>
          <w:t>INSTITUTO NACIONAL DE DEFENSA DE LA COMPETENCIA Y DE LA PROTECCIÓN DE LA PROPIEDAD INTELECTUAL</w:t>
        </w:r>
      </w:p>
      <w:p w14:paraId="14FFC8DC" w14:textId="77777777" w:rsidR="00915CFD" w:rsidRPr="00E54E8F" w:rsidRDefault="00915CFD" w:rsidP="00915CFD">
        <w:pPr>
          <w:pStyle w:val="Sinespaciado"/>
          <w:jc w:val="center"/>
          <w:rPr>
            <w:sz w:val="14"/>
            <w:szCs w:val="14"/>
          </w:rPr>
        </w:pPr>
        <w:r w:rsidRPr="00E54E8F">
          <w:rPr>
            <w:sz w:val="14"/>
            <w:szCs w:val="14"/>
          </w:rPr>
          <w:t xml:space="preserve">Calle De la Prosa 104, San Borja, Lima 41 - Perú </w:t>
        </w:r>
        <w:proofErr w:type="spellStart"/>
        <w:r w:rsidRPr="00E54E8F">
          <w:rPr>
            <w:sz w:val="14"/>
            <w:szCs w:val="14"/>
          </w:rPr>
          <w:t>Telf</w:t>
        </w:r>
        <w:proofErr w:type="spellEnd"/>
        <w:r w:rsidRPr="00E54E8F">
          <w:rPr>
            <w:sz w:val="14"/>
            <w:szCs w:val="14"/>
          </w:rPr>
          <w:t>: 224 7800 / Fax: 224 0348</w:t>
        </w:r>
      </w:p>
      <w:p w14:paraId="375213CC" w14:textId="4A515B59" w:rsidR="0024233D" w:rsidRPr="00915CFD" w:rsidRDefault="00915CFD" w:rsidP="00915CFD">
        <w:pPr>
          <w:pStyle w:val="Sinespaciado"/>
          <w:jc w:val="center"/>
          <w:rPr>
            <w:sz w:val="14"/>
            <w:szCs w:val="14"/>
            <w:lang w:val="en-US"/>
          </w:rPr>
        </w:pPr>
        <w:r w:rsidRPr="00E54E8F">
          <w:rPr>
            <w:sz w:val="14"/>
            <w:szCs w:val="14"/>
            <w:lang w:val="en-US"/>
          </w:rPr>
          <w:t>E-mail: postmaster@indecopi.gob.pe / Web: www.indecopi.gob.pe</w:t>
        </w:r>
      </w:p>
    </w:sdtContent>
  </w:sdt>
  <w:p w14:paraId="2D380BB3" w14:textId="77777777" w:rsidR="0024233D" w:rsidRPr="00E50C0F" w:rsidRDefault="0024233D" w:rsidP="00646966">
    <w:pPr>
      <w:pStyle w:val="Piedepgina"/>
      <w:jc w:val="center"/>
      <w:rPr>
        <w:rFonts w:ascii="Arial" w:hAnsi="Arial" w:cs="Arial"/>
        <w:sz w:val="16"/>
        <w:szCs w:val="16"/>
        <w:lang w:val="en-US"/>
      </w:rPr>
    </w:pPr>
  </w:p>
  <w:p w14:paraId="41CA88BC" w14:textId="5088651F" w:rsidR="0095629F" w:rsidRDefault="0095629F" w:rsidP="0095629F">
    <w:pPr>
      <w:pStyle w:val="Piedepgina"/>
      <w:rPr>
        <w:rFonts w:ascii="Arial" w:hAnsi="Arial" w:cs="Arial"/>
        <w:sz w:val="16"/>
        <w:szCs w:val="16"/>
      </w:rPr>
    </w:pPr>
    <w:r w:rsidRPr="00055F55">
      <w:rPr>
        <w:rFonts w:ascii="Arial" w:hAnsi="Arial" w:cs="Arial"/>
        <w:sz w:val="16"/>
        <w:szCs w:val="16"/>
      </w:rPr>
      <w:t>M-CPC-05/0</w:t>
    </w:r>
    <w:r w:rsidR="004E1829">
      <w:rPr>
        <w:rFonts w:ascii="Arial" w:hAnsi="Arial" w:cs="Arial"/>
        <w:sz w:val="16"/>
        <w:szCs w:val="16"/>
      </w:rPr>
      <w:t>2</w:t>
    </w:r>
  </w:p>
  <w:p w14:paraId="08330A62" w14:textId="161200F7" w:rsidR="0024233D" w:rsidRPr="00055F55" w:rsidRDefault="0024233D">
    <w:pPr>
      <w:pStyle w:val="Piedepgina"/>
      <w:rPr>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7F2E1" w14:textId="77777777" w:rsidR="00145192" w:rsidRDefault="00145192" w:rsidP="009A087F">
      <w:pPr>
        <w:spacing w:after="0" w:line="240" w:lineRule="auto"/>
      </w:pPr>
      <w:r>
        <w:separator/>
      </w:r>
    </w:p>
  </w:footnote>
  <w:footnote w:type="continuationSeparator" w:id="0">
    <w:p w14:paraId="2E433F66" w14:textId="77777777" w:rsidR="00145192" w:rsidRDefault="00145192" w:rsidP="009A087F">
      <w:pPr>
        <w:spacing w:after="0" w:line="240" w:lineRule="auto"/>
      </w:pPr>
      <w:r>
        <w:continuationSeparator/>
      </w:r>
    </w:p>
  </w:footnote>
  <w:footnote w:type="continuationNotice" w:id="1">
    <w:p w14:paraId="165C2690" w14:textId="77777777" w:rsidR="00145192" w:rsidRDefault="00145192">
      <w:pPr>
        <w:spacing w:after="0" w:line="240" w:lineRule="auto"/>
      </w:pPr>
    </w:p>
  </w:footnote>
  <w:footnote w:id="2">
    <w:p w14:paraId="350C8C3E" w14:textId="77777777" w:rsidR="005708FF" w:rsidRPr="00390054" w:rsidRDefault="005708FF" w:rsidP="00390054">
      <w:pPr>
        <w:pStyle w:val="Textonotapie"/>
        <w:ind w:left="567" w:hanging="567"/>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t xml:space="preserve">Mediante Memorándum </w:t>
      </w:r>
      <w:proofErr w:type="spellStart"/>
      <w:r w:rsidRPr="00390054">
        <w:rPr>
          <w:rFonts w:ascii="Arial" w:hAnsi="Arial" w:cs="Arial"/>
          <w:sz w:val="16"/>
          <w:szCs w:val="16"/>
        </w:rPr>
        <w:t>N°</w:t>
      </w:r>
      <w:proofErr w:type="spellEnd"/>
      <w:r w:rsidRPr="00390054">
        <w:rPr>
          <w:rFonts w:ascii="Arial" w:hAnsi="Arial" w:cs="Arial"/>
          <w:sz w:val="16"/>
          <w:szCs w:val="16"/>
        </w:rPr>
        <w:t xml:space="preserve"> 000139-2025-PS2/INDECOPI del 30 de enero de 2025, el Órgano Resolutivo de Procedimientos Sumarísimos 2 remitió la presente denuncia a la Comisión de Protección al Consumidor 1 por razón de materia.</w:t>
      </w:r>
    </w:p>
    <w:p w14:paraId="3D6CF559" w14:textId="77777777" w:rsidR="005708FF" w:rsidRPr="00390054" w:rsidRDefault="005708FF" w:rsidP="00390054">
      <w:pPr>
        <w:pStyle w:val="Textonotapie"/>
        <w:ind w:left="567"/>
        <w:contextualSpacing/>
        <w:jc w:val="both"/>
        <w:rPr>
          <w:rFonts w:ascii="Arial" w:hAnsi="Arial" w:cs="Arial"/>
          <w:sz w:val="16"/>
          <w:szCs w:val="16"/>
        </w:rPr>
      </w:pPr>
    </w:p>
  </w:footnote>
  <w:footnote w:id="3">
    <w:p w14:paraId="180D3478" w14:textId="77777777" w:rsidR="005708FF" w:rsidRPr="00390054" w:rsidRDefault="005708FF" w:rsidP="00390054">
      <w:pPr>
        <w:pStyle w:val="Textonotapie"/>
        <w:ind w:left="567" w:hanging="567"/>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t>Publicado</w:t>
      </w:r>
      <w:r w:rsidRPr="00390054">
        <w:rPr>
          <w:rFonts w:ascii="Arial" w:hAnsi="Arial" w:cs="Arial"/>
          <w:b/>
          <w:sz w:val="16"/>
          <w:szCs w:val="16"/>
        </w:rPr>
        <w:t xml:space="preserve"> </w:t>
      </w:r>
      <w:r w:rsidRPr="00390054">
        <w:rPr>
          <w:rFonts w:ascii="Arial" w:hAnsi="Arial" w:cs="Arial"/>
          <w:sz w:val="16"/>
          <w:szCs w:val="16"/>
        </w:rPr>
        <w:t>el 2 de setiembre del 2010 en el Diario Oficial El Peruano, vigente desde el 2 de octubre del 2010 y modificado por Decreto Legislativo 1308.</w:t>
      </w:r>
    </w:p>
    <w:p w14:paraId="4DA2B0F7" w14:textId="77777777" w:rsidR="005708FF" w:rsidRPr="00390054" w:rsidRDefault="005708FF" w:rsidP="00390054">
      <w:pPr>
        <w:pStyle w:val="Textonotapie"/>
        <w:ind w:left="567"/>
        <w:contextualSpacing/>
        <w:jc w:val="both"/>
        <w:rPr>
          <w:rFonts w:ascii="Arial" w:hAnsi="Arial" w:cs="Arial"/>
          <w:sz w:val="16"/>
          <w:szCs w:val="16"/>
        </w:rPr>
      </w:pPr>
    </w:p>
  </w:footnote>
  <w:footnote w:id="4">
    <w:p w14:paraId="27FEE4F6" w14:textId="77777777" w:rsidR="003E2B14" w:rsidRPr="00390054" w:rsidRDefault="003E2B14" w:rsidP="00390054">
      <w:pPr>
        <w:pStyle w:val="Textonotapie"/>
        <w:tabs>
          <w:tab w:val="left" w:pos="567"/>
        </w:tabs>
        <w:ind w:left="567" w:hanging="567"/>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t xml:space="preserve">La legitimidad para obrar es una condición de la acción, es definida como “la idoneidad de una persona para actuar en el proceso, debido a su posición y, más exactamente, a su interés o a su oficio”. En: CARNELUTTI, Francesco. Sistema de Derecho Procesal Civil. La Composición del Proceso. Buenos Aires: </w:t>
      </w:r>
      <w:proofErr w:type="spellStart"/>
      <w:r w:rsidRPr="00390054">
        <w:rPr>
          <w:rFonts w:ascii="Arial" w:hAnsi="Arial" w:cs="Arial"/>
          <w:sz w:val="16"/>
          <w:szCs w:val="16"/>
        </w:rPr>
        <w:t>Uteha</w:t>
      </w:r>
      <w:proofErr w:type="spellEnd"/>
      <w:r w:rsidRPr="00390054">
        <w:rPr>
          <w:rFonts w:ascii="Arial" w:hAnsi="Arial" w:cs="Arial"/>
          <w:sz w:val="16"/>
          <w:szCs w:val="16"/>
        </w:rPr>
        <w:t xml:space="preserve"> Argentina, 1944, p. 30. </w:t>
      </w:r>
    </w:p>
    <w:p w14:paraId="78A26D02" w14:textId="77777777" w:rsidR="003E2B14" w:rsidRPr="00390054" w:rsidRDefault="003E2B14" w:rsidP="00390054">
      <w:pPr>
        <w:pStyle w:val="Textonotapie"/>
        <w:tabs>
          <w:tab w:val="left" w:pos="567"/>
        </w:tabs>
        <w:ind w:left="567" w:hanging="567"/>
        <w:contextualSpacing/>
        <w:jc w:val="both"/>
        <w:rPr>
          <w:rFonts w:ascii="Arial" w:hAnsi="Arial" w:cs="Arial"/>
          <w:sz w:val="16"/>
          <w:szCs w:val="16"/>
        </w:rPr>
      </w:pPr>
      <w:r w:rsidRPr="00390054">
        <w:rPr>
          <w:rFonts w:ascii="Arial" w:hAnsi="Arial" w:cs="Arial"/>
          <w:sz w:val="16"/>
          <w:szCs w:val="16"/>
        </w:rPr>
        <w:tab/>
        <w:t>Asimismo, se puede diferenciar entre legitimidad para obrar activa y pasiva. La primera, corresponde al denunciante, es decir, quien se encuentre en calidad de actor. En cuanto a la legitimidad para obrar pasiva, esta corresponde al denunciado, adversario o contradictor. El concepto de legitimidad está ligado al de capacidad procesal, siendo esta la aptitud del sujeto de derecho de actuar como parte en un proceso ejerciendo los derechos por sí mismo. En: MORALES GODO, Juan. Instituciones de Derecho Procesal. Lima: Palestra Editores. 2005, p.155.</w:t>
      </w:r>
    </w:p>
    <w:p w14:paraId="0A3CD60C" w14:textId="77777777" w:rsidR="003E2B14" w:rsidRPr="00390054" w:rsidRDefault="003E2B14" w:rsidP="00390054">
      <w:pPr>
        <w:pStyle w:val="Textonotapie"/>
        <w:tabs>
          <w:tab w:val="left" w:pos="567"/>
        </w:tabs>
        <w:ind w:left="567" w:hanging="567"/>
        <w:contextualSpacing/>
        <w:jc w:val="both"/>
        <w:rPr>
          <w:rFonts w:ascii="Arial" w:hAnsi="Arial" w:cs="Arial"/>
          <w:sz w:val="16"/>
          <w:szCs w:val="16"/>
        </w:rPr>
      </w:pPr>
    </w:p>
    <w:p w14:paraId="5AEC48A0" w14:textId="77777777" w:rsidR="003E2B14" w:rsidRPr="00390054" w:rsidRDefault="003E2B14" w:rsidP="00390054">
      <w:pPr>
        <w:pStyle w:val="Textonotapie"/>
        <w:tabs>
          <w:tab w:val="left" w:pos="567"/>
        </w:tabs>
        <w:ind w:left="567" w:hanging="567"/>
        <w:contextualSpacing/>
        <w:jc w:val="both"/>
        <w:rPr>
          <w:rFonts w:ascii="Arial" w:hAnsi="Arial" w:cs="Arial"/>
          <w:sz w:val="16"/>
          <w:szCs w:val="16"/>
        </w:rPr>
      </w:pPr>
      <w:r w:rsidRPr="00390054">
        <w:rPr>
          <w:rFonts w:ascii="Arial" w:hAnsi="Arial" w:cs="Arial"/>
          <w:sz w:val="16"/>
          <w:szCs w:val="16"/>
        </w:rPr>
        <w:tab/>
        <w:t>La Sala Especializada en Protección al Consumidor, en anteriores pronunciamientos, ha señalado que el sistema de protección al consumidor se encuentra dirigido a otorgar tutela en los supuestos que exista una relación de consumo e incluso en las etapas pre contractuales y en los servicios postventa que se pudieran generar como consecuencia de la interacción de las personas en el mercado; asimismo, el superior jerárquico indicó que para la aplicación del Código debe configurarse como presupuesto la existencia de una relación de consumo entre el prestador del producto o servicio prestado por un proveedor a favor de un consumidor o usuario final, a cambio de una retribución económica, pues de lo contrario se configuraría un supuesto de improcedencia de la denuncia.</w:t>
      </w:r>
    </w:p>
    <w:p w14:paraId="35AAF9CB" w14:textId="77777777" w:rsidR="003E2B14" w:rsidRPr="00390054" w:rsidRDefault="003E2B14" w:rsidP="00390054">
      <w:pPr>
        <w:pStyle w:val="Textonotapie"/>
        <w:tabs>
          <w:tab w:val="left" w:pos="567"/>
        </w:tabs>
        <w:ind w:left="567" w:hanging="567"/>
        <w:contextualSpacing/>
        <w:jc w:val="both"/>
        <w:rPr>
          <w:rFonts w:ascii="Arial" w:hAnsi="Arial" w:cs="Arial"/>
          <w:sz w:val="16"/>
          <w:szCs w:val="16"/>
        </w:rPr>
      </w:pPr>
    </w:p>
  </w:footnote>
  <w:footnote w:id="5">
    <w:p w14:paraId="7B3DA826" w14:textId="77777777" w:rsidR="003E2B14" w:rsidRPr="00390054" w:rsidRDefault="003E2B14" w:rsidP="00390054">
      <w:pPr>
        <w:pStyle w:val="Textonotapie"/>
        <w:tabs>
          <w:tab w:val="left" w:pos="567"/>
        </w:tabs>
        <w:contextualSpacing/>
        <w:jc w:val="both"/>
        <w:rPr>
          <w:rFonts w:ascii="Arial" w:hAnsi="Arial" w:cs="Arial"/>
          <w:sz w:val="16"/>
          <w:szCs w:val="16"/>
          <w:lang w:val="es-ES"/>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sz w:val="16"/>
          <w:szCs w:val="16"/>
          <w:lang w:val="es-ES"/>
        </w:rPr>
        <w:t>Ver en la pieza 23 del expediente electrónico.</w:t>
      </w:r>
    </w:p>
    <w:p w14:paraId="0768BDFB" w14:textId="77777777" w:rsidR="003E2B14" w:rsidRPr="00390054" w:rsidRDefault="003E2B14" w:rsidP="00390054">
      <w:pPr>
        <w:pStyle w:val="Textonotapie"/>
        <w:contextualSpacing/>
        <w:jc w:val="both"/>
        <w:rPr>
          <w:rFonts w:ascii="Arial" w:hAnsi="Arial" w:cs="Arial"/>
          <w:sz w:val="16"/>
          <w:szCs w:val="16"/>
          <w:lang w:val="es-ES"/>
        </w:rPr>
      </w:pPr>
    </w:p>
  </w:footnote>
  <w:footnote w:id="6">
    <w:p w14:paraId="584D098B" w14:textId="77777777" w:rsidR="003E2B14" w:rsidRPr="00390054" w:rsidRDefault="003E2B14" w:rsidP="00390054">
      <w:pPr>
        <w:pStyle w:val="Textonotapie"/>
        <w:tabs>
          <w:tab w:val="left" w:pos="567"/>
        </w:tabs>
        <w:contextualSpacing/>
        <w:jc w:val="both"/>
        <w:rPr>
          <w:rFonts w:ascii="Arial" w:hAnsi="Arial" w:cs="Arial"/>
          <w:sz w:val="16"/>
          <w:szCs w:val="16"/>
          <w:lang w:val="es-ES"/>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sz w:val="16"/>
          <w:szCs w:val="16"/>
          <w:lang w:val="es-ES"/>
        </w:rPr>
        <w:t>Ver en la pieza 23 del expediente electrónico.</w:t>
      </w:r>
    </w:p>
    <w:p w14:paraId="1E73FEA7" w14:textId="77777777" w:rsidR="003E2B14" w:rsidRPr="00390054" w:rsidRDefault="003E2B14" w:rsidP="00390054">
      <w:pPr>
        <w:pStyle w:val="Textonotapie"/>
        <w:contextualSpacing/>
        <w:jc w:val="both"/>
        <w:rPr>
          <w:rFonts w:ascii="Arial" w:hAnsi="Arial" w:cs="Arial"/>
          <w:sz w:val="16"/>
          <w:szCs w:val="16"/>
          <w:lang w:val="es-ES"/>
        </w:rPr>
      </w:pPr>
    </w:p>
  </w:footnote>
  <w:footnote w:id="7">
    <w:p w14:paraId="62FD0862" w14:textId="77777777" w:rsidR="003E2B14" w:rsidRPr="00390054" w:rsidRDefault="003E2B14" w:rsidP="00390054">
      <w:pPr>
        <w:pStyle w:val="Textonotapie"/>
        <w:ind w:left="567" w:hanging="567"/>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bCs/>
          <w:sz w:val="16"/>
          <w:szCs w:val="16"/>
        </w:rPr>
        <w:t xml:space="preserve">REGLAMENTO DE GESTIÓN DE CONDUCTA DE MERCADO DEL SISTEMA DE SEGUROS, aprobado por Resolución S.B.S. </w:t>
      </w:r>
      <w:proofErr w:type="spellStart"/>
      <w:r w:rsidRPr="00390054">
        <w:rPr>
          <w:rFonts w:ascii="Arial" w:hAnsi="Arial" w:cs="Arial"/>
          <w:b/>
          <w:bCs/>
          <w:sz w:val="16"/>
          <w:szCs w:val="16"/>
        </w:rPr>
        <w:t>N°</w:t>
      </w:r>
      <w:proofErr w:type="spellEnd"/>
      <w:r w:rsidRPr="00390054">
        <w:rPr>
          <w:rFonts w:ascii="Arial" w:hAnsi="Arial" w:cs="Arial"/>
          <w:b/>
          <w:bCs/>
          <w:sz w:val="16"/>
          <w:szCs w:val="16"/>
        </w:rPr>
        <w:t xml:space="preserve"> 4143-2019</w:t>
      </w:r>
    </w:p>
    <w:p w14:paraId="20378EE4" w14:textId="77777777" w:rsidR="003E2B14" w:rsidRPr="00390054" w:rsidRDefault="003E2B14" w:rsidP="00390054">
      <w:pPr>
        <w:pStyle w:val="Textonotapie"/>
        <w:ind w:left="567"/>
        <w:contextualSpacing/>
        <w:jc w:val="both"/>
        <w:rPr>
          <w:rFonts w:ascii="Arial" w:hAnsi="Arial" w:cs="Arial"/>
          <w:b/>
          <w:bCs/>
          <w:sz w:val="16"/>
          <w:szCs w:val="16"/>
        </w:rPr>
      </w:pPr>
      <w:r w:rsidRPr="00390054">
        <w:rPr>
          <w:rFonts w:ascii="Arial" w:hAnsi="Arial" w:cs="Arial"/>
          <w:b/>
          <w:bCs/>
          <w:sz w:val="16"/>
          <w:szCs w:val="16"/>
        </w:rPr>
        <w:t xml:space="preserve">Artículo 2. Definiciones </w:t>
      </w:r>
    </w:p>
    <w:p w14:paraId="0E717AE7"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Para efectos de lo dispuesto en el presente Reglamento deben considerarse las siguientes definiciones y referencias:</w:t>
      </w:r>
    </w:p>
    <w:p w14:paraId="32849AA1"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w:t>
      </w:r>
    </w:p>
    <w:p w14:paraId="242CDA7F"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5.</w:t>
      </w:r>
      <w:r w:rsidRPr="00390054">
        <w:rPr>
          <w:rFonts w:ascii="Arial" w:hAnsi="Arial" w:cs="Arial"/>
          <w:b/>
          <w:bCs/>
          <w:sz w:val="16"/>
          <w:szCs w:val="16"/>
        </w:rPr>
        <w:t xml:space="preserve"> Comercializador</w:t>
      </w:r>
      <w:r w:rsidRPr="00390054">
        <w:rPr>
          <w:rFonts w:ascii="Arial" w:hAnsi="Arial" w:cs="Arial"/>
          <w:sz w:val="16"/>
          <w:szCs w:val="16"/>
        </w:rPr>
        <w:t>: persona natural o jurídica con la que la empresa celebra un contrato de comercialización, con el objeto de que este se encargue de facilitar la contratación de un producto de seguros. También se consideran comercializadores a las empresas de operaciones múltiples (</w:t>
      </w:r>
      <w:proofErr w:type="spellStart"/>
      <w:r w:rsidRPr="00390054">
        <w:rPr>
          <w:rFonts w:ascii="Arial" w:hAnsi="Arial" w:cs="Arial"/>
          <w:sz w:val="16"/>
          <w:szCs w:val="16"/>
        </w:rPr>
        <w:t>bancaseguros</w:t>
      </w:r>
      <w:proofErr w:type="spellEnd"/>
      <w:r w:rsidRPr="00390054">
        <w:rPr>
          <w:rFonts w:ascii="Arial" w:hAnsi="Arial" w:cs="Arial"/>
          <w:sz w:val="16"/>
          <w:szCs w:val="16"/>
        </w:rPr>
        <w:t>) y a las empresas emisoras de dinero electrónico</w:t>
      </w:r>
    </w:p>
    <w:p w14:paraId="67C702F7" w14:textId="77777777" w:rsidR="003E2B14" w:rsidRPr="00390054" w:rsidRDefault="003E2B14" w:rsidP="00390054">
      <w:pPr>
        <w:pStyle w:val="Textonotapie"/>
        <w:ind w:left="567"/>
        <w:contextualSpacing/>
        <w:jc w:val="both"/>
        <w:rPr>
          <w:rFonts w:ascii="Arial" w:hAnsi="Arial" w:cs="Arial"/>
          <w:sz w:val="16"/>
          <w:szCs w:val="16"/>
        </w:rPr>
      </w:pPr>
    </w:p>
  </w:footnote>
  <w:footnote w:id="8">
    <w:p w14:paraId="58C9ACD9" w14:textId="77777777" w:rsidR="003E2B14" w:rsidRPr="00390054" w:rsidRDefault="003E2B14" w:rsidP="00390054">
      <w:pPr>
        <w:pStyle w:val="Textonotapie"/>
        <w:ind w:left="567" w:hanging="567"/>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bCs/>
          <w:sz w:val="16"/>
          <w:szCs w:val="16"/>
        </w:rPr>
        <w:t xml:space="preserve">REGLAMENTO DE COMERCIALIZACIÓN DE PRODUCTOS DE SEGUROS, aprobado por Resolución S.B.S. </w:t>
      </w:r>
      <w:proofErr w:type="spellStart"/>
      <w:r w:rsidRPr="00390054">
        <w:rPr>
          <w:rFonts w:ascii="Arial" w:hAnsi="Arial" w:cs="Arial"/>
          <w:b/>
          <w:bCs/>
          <w:sz w:val="16"/>
          <w:szCs w:val="16"/>
        </w:rPr>
        <w:t>N°</w:t>
      </w:r>
      <w:proofErr w:type="spellEnd"/>
      <w:r w:rsidRPr="00390054">
        <w:rPr>
          <w:rFonts w:ascii="Arial" w:hAnsi="Arial" w:cs="Arial"/>
          <w:b/>
          <w:bCs/>
          <w:sz w:val="16"/>
          <w:szCs w:val="16"/>
        </w:rPr>
        <w:t xml:space="preserve"> 1121-2017</w:t>
      </w:r>
    </w:p>
    <w:p w14:paraId="4BF8E8FB" w14:textId="77777777" w:rsidR="003E2B14" w:rsidRPr="00390054" w:rsidRDefault="003E2B14" w:rsidP="00390054">
      <w:pPr>
        <w:pStyle w:val="Textonotapie"/>
        <w:ind w:left="567"/>
        <w:contextualSpacing/>
        <w:jc w:val="both"/>
        <w:rPr>
          <w:rFonts w:ascii="Arial" w:hAnsi="Arial" w:cs="Arial"/>
          <w:b/>
          <w:bCs/>
          <w:sz w:val="16"/>
          <w:szCs w:val="16"/>
        </w:rPr>
      </w:pPr>
      <w:r w:rsidRPr="00390054">
        <w:rPr>
          <w:rFonts w:ascii="Arial" w:hAnsi="Arial" w:cs="Arial"/>
          <w:b/>
          <w:bCs/>
          <w:sz w:val="16"/>
          <w:szCs w:val="16"/>
        </w:rPr>
        <w:t xml:space="preserve">Artículo 4. Responsabilidad frente al contratante, asegurado y/o beneficiario </w:t>
      </w:r>
    </w:p>
    <w:p w14:paraId="270ED175"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 xml:space="preserve">Las empresas que utilicen cualquiera de las modalidades de comercialización reguladas por el Reglamento, son responsables directas de todos los actos de comercialización que se realicen en su representación durante el ejercicio de sus funciones, especialmente por las infracciones a las normas emitidas por la Superintendencia y por los perjuicios que se causen a los contratantes, asegurados y/o beneficiarios, como consecuencia de errores u omisiones, impericia o negligencia. </w:t>
      </w:r>
    </w:p>
    <w:p w14:paraId="7E863B09"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 xml:space="preserve">En ese sentido, las empresas mantienen la responsabilidad frente a los contratantes, asegurados y/o beneficiarios, así como ante la Superintendencia por la prestación de los servicios, la administración de los riesgos y el cumplimiento normativo relacionado con la comercialización de productos de seguros a que se refiere el presente Reglamento, sin perjuicio de los incentivos o penalidades contractuales aplicables a las modalidades de comercialización señaladas en el artículo 3, de ser el caso. </w:t>
      </w:r>
    </w:p>
    <w:p w14:paraId="7E93B7AF"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 xml:space="preserve">Asimismo, las empresas son responsables de que, a través de las distintas modalidades de comercialización, se explique adecuadamente a los contratantes potenciales y/o asegurados potenciales sobre los alcances de la cobertura del producto y sus características. Del mismo modo, son responsables de que durante el proceso de contratación del seguro, se verifique que el contratante o el asegurado completen la solicitud del seguro o la solicitud-certificado, según corresponda, y se brinde la información para la emisión de la póliza. </w:t>
      </w:r>
    </w:p>
    <w:p w14:paraId="03FAB8AD"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 xml:space="preserve">En el caso de </w:t>
      </w:r>
      <w:proofErr w:type="spellStart"/>
      <w:r w:rsidRPr="00390054">
        <w:rPr>
          <w:rFonts w:ascii="Arial" w:hAnsi="Arial" w:cs="Arial"/>
          <w:sz w:val="16"/>
          <w:szCs w:val="16"/>
        </w:rPr>
        <w:t>Bancaseguros</w:t>
      </w:r>
      <w:proofErr w:type="spellEnd"/>
      <w:r w:rsidRPr="00390054">
        <w:rPr>
          <w:rFonts w:ascii="Arial" w:hAnsi="Arial" w:cs="Arial"/>
          <w:sz w:val="16"/>
          <w:szCs w:val="16"/>
        </w:rPr>
        <w:t xml:space="preserve">, las empresas del sistema financiero asumen las responsabilidades que les competen, de acuerdo con las disposiciones correspondientes del presente Reglamento y las que resulten pertinentes de la Ley Complementaria a la Ley de Protección al Consumidor en Materia de Servicios Financieros - Ley </w:t>
      </w:r>
      <w:proofErr w:type="spellStart"/>
      <w:r w:rsidRPr="00390054">
        <w:rPr>
          <w:rFonts w:ascii="Arial" w:hAnsi="Arial" w:cs="Arial"/>
          <w:sz w:val="16"/>
          <w:szCs w:val="16"/>
        </w:rPr>
        <w:t>Nº</w:t>
      </w:r>
      <w:proofErr w:type="spellEnd"/>
      <w:r w:rsidRPr="00390054">
        <w:rPr>
          <w:rFonts w:ascii="Arial" w:hAnsi="Arial" w:cs="Arial"/>
          <w:sz w:val="16"/>
          <w:szCs w:val="16"/>
        </w:rPr>
        <w:t xml:space="preserve"> 28587 y sus normas modificatorias, así como del Reglamento de Transparencia de Información y Disposiciones Aplicables a la Contratación con Usuarios del Sistema Financiero, aprobado por Resolución SBS </w:t>
      </w:r>
      <w:proofErr w:type="spellStart"/>
      <w:r w:rsidRPr="00390054">
        <w:rPr>
          <w:rFonts w:ascii="Arial" w:hAnsi="Arial" w:cs="Arial"/>
          <w:sz w:val="16"/>
          <w:szCs w:val="16"/>
        </w:rPr>
        <w:t>N°</w:t>
      </w:r>
      <w:proofErr w:type="spellEnd"/>
      <w:r w:rsidRPr="00390054">
        <w:rPr>
          <w:rFonts w:ascii="Arial" w:hAnsi="Arial" w:cs="Arial"/>
          <w:sz w:val="16"/>
          <w:szCs w:val="16"/>
        </w:rPr>
        <w:t xml:space="preserve"> 8181-2012 y sus normas modificatorias. </w:t>
      </w:r>
    </w:p>
    <w:p w14:paraId="448B8151"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 xml:space="preserve">Las empresas de seguros son responsables de que la documentación generada por la comercialización de seguros, efectuada por ellas mismas y/o por comercializadores, se sujete a las disposiciones emitidas a través de la Resolución SBS </w:t>
      </w:r>
      <w:proofErr w:type="spellStart"/>
      <w:r w:rsidRPr="00390054">
        <w:rPr>
          <w:rFonts w:ascii="Arial" w:hAnsi="Arial" w:cs="Arial"/>
          <w:sz w:val="16"/>
          <w:szCs w:val="16"/>
        </w:rPr>
        <w:t>N°</w:t>
      </w:r>
      <w:proofErr w:type="spellEnd"/>
      <w:r w:rsidRPr="00390054">
        <w:rPr>
          <w:rFonts w:ascii="Arial" w:hAnsi="Arial" w:cs="Arial"/>
          <w:sz w:val="16"/>
          <w:szCs w:val="16"/>
        </w:rPr>
        <w:t xml:space="preserve"> 5860-2009, la cual incluye disposiciones sobre la conservación y sustitución de archivos mediante la tecnología de microformas, así como sobre los plazos de conservación de libros y documentos.</w:t>
      </w:r>
    </w:p>
    <w:p w14:paraId="36ECCA4E" w14:textId="77777777" w:rsidR="003E2B14" w:rsidRPr="00390054" w:rsidRDefault="003E2B14" w:rsidP="00390054">
      <w:pPr>
        <w:pStyle w:val="Textonotapie"/>
        <w:ind w:left="567"/>
        <w:contextualSpacing/>
        <w:jc w:val="both"/>
        <w:rPr>
          <w:rFonts w:ascii="Arial" w:hAnsi="Arial" w:cs="Arial"/>
          <w:sz w:val="16"/>
          <w:szCs w:val="16"/>
        </w:rPr>
      </w:pPr>
    </w:p>
  </w:footnote>
  <w:footnote w:id="9">
    <w:p w14:paraId="3519EFEC" w14:textId="77777777" w:rsidR="003E2B14" w:rsidRPr="00390054" w:rsidRDefault="003E2B14" w:rsidP="00390054">
      <w:pPr>
        <w:pStyle w:val="Textonotapie"/>
        <w:ind w:left="567" w:hanging="567"/>
        <w:contextualSpacing/>
        <w:jc w:val="both"/>
        <w:rPr>
          <w:rFonts w:ascii="Arial" w:hAnsi="Arial" w:cs="Arial"/>
          <w:b/>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sz w:val="16"/>
          <w:szCs w:val="16"/>
        </w:rPr>
        <w:t xml:space="preserve">LEY </w:t>
      </w:r>
      <w:proofErr w:type="spellStart"/>
      <w:r w:rsidRPr="00390054">
        <w:rPr>
          <w:rFonts w:ascii="Arial" w:hAnsi="Arial" w:cs="Arial"/>
          <w:b/>
          <w:sz w:val="16"/>
          <w:szCs w:val="16"/>
        </w:rPr>
        <w:t>Nº</w:t>
      </w:r>
      <w:proofErr w:type="spellEnd"/>
      <w:r w:rsidRPr="00390054">
        <w:rPr>
          <w:rFonts w:ascii="Arial" w:hAnsi="Arial" w:cs="Arial"/>
          <w:b/>
          <w:sz w:val="16"/>
          <w:szCs w:val="16"/>
        </w:rPr>
        <w:t xml:space="preserve"> 29571, CÓDIGO DE PROTECCIÓN Y DEFENSA DEL CONSUMIDOR, publicada el 2 de setiembre de 2010 y modificado por el Decreto Legislativo </w:t>
      </w:r>
      <w:proofErr w:type="spellStart"/>
      <w:r w:rsidRPr="00390054">
        <w:rPr>
          <w:rFonts w:ascii="Arial" w:hAnsi="Arial" w:cs="Arial"/>
          <w:b/>
          <w:sz w:val="16"/>
          <w:szCs w:val="16"/>
        </w:rPr>
        <w:t>Nº</w:t>
      </w:r>
      <w:proofErr w:type="spellEnd"/>
      <w:r w:rsidRPr="00390054">
        <w:rPr>
          <w:rFonts w:ascii="Arial" w:hAnsi="Arial" w:cs="Arial"/>
          <w:b/>
          <w:sz w:val="16"/>
          <w:szCs w:val="16"/>
        </w:rPr>
        <w:t xml:space="preserve"> 1308, publicado en el Diario Oficial El Peruano el 30 de diciembre de 2016. </w:t>
      </w:r>
    </w:p>
    <w:p w14:paraId="3F16058E"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b/>
          <w:sz w:val="16"/>
          <w:szCs w:val="16"/>
        </w:rPr>
        <w:t>Artículo 18.- Idoneidad</w:t>
      </w:r>
      <w:r w:rsidRPr="00390054">
        <w:rPr>
          <w:rFonts w:ascii="Arial" w:hAnsi="Arial" w:cs="Arial"/>
          <w:sz w:val="16"/>
          <w:szCs w:val="16"/>
        </w:rPr>
        <w:t xml:space="preserve"> </w:t>
      </w:r>
    </w:p>
    <w:p w14:paraId="4ADFE3BD"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A30AA9F"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w:t>
      </w:r>
    </w:p>
    <w:p w14:paraId="080E4AE4" w14:textId="77777777" w:rsidR="003E2B14" w:rsidRPr="00390054" w:rsidRDefault="003E2B14" w:rsidP="00390054">
      <w:pPr>
        <w:pStyle w:val="Textonotapie"/>
        <w:ind w:left="567"/>
        <w:contextualSpacing/>
        <w:jc w:val="both"/>
        <w:rPr>
          <w:rFonts w:ascii="Arial" w:hAnsi="Arial" w:cs="Arial"/>
          <w:sz w:val="16"/>
          <w:szCs w:val="16"/>
        </w:rPr>
      </w:pPr>
    </w:p>
  </w:footnote>
  <w:footnote w:id="10">
    <w:p w14:paraId="275BB7FD" w14:textId="77777777" w:rsidR="003E2B14" w:rsidRPr="00390054" w:rsidRDefault="003E2B14" w:rsidP="00390054">
      <w:pPr>
        <w:pStyle w:val="Textonotapie"/>
        <w:ind w:left="567" w:hanging="567"/>
        <w:contextualSpacing/>
        <w:jc w:val="both"/>
        <w:rPr>
          <w:rFonts w:ascii="Arial" w:hAnsi="Arial" w:cs="Arial"/>
          <w:b/>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sz w:val="16"/>
          <w:szCs w:val="16"/>
        </w:rPr>
        <w:t xml:space="preserve">LEY </w:t>
      </w:r>
      <w:proofErr w:type="spellStart"/>
      <w:r w:rsidRPr="00390054">
        <w:rPr>
          <w:rFonts w:ascii="Arial" w:hAnsi="Arial" w:cs="Arial"/>
          <w:b/>
          <w:sz w:val="16"/>
          <w:szCs w:val="16"/>
        </w:rPr>
        <w:t>Nº</w:t>
      </w:r>
      <w:proofErr w:type="spellEnd"/>
      <w:r w:rsidRPr="00390054">
        <w:rPr>
          <w:rFonts w:ascii="Arial" w:hAnsi="Arial" w:cs="Arial"/>
          <w:b/>
          <w:sz w:val="16"/>
          <w:szCs w:val="16"/>
        </w:rPr>
        <w:t xml:space="preserve"> 29571, CÓDIGO DE PROTECCIÓN Y DEFENSA DEL CONSUMIDOR, publicada el 2 de setiembre de 2010 y modificado por el Decreto Legislativo </w:t>
      </w:r>
      <w:proofErr w:type="spellStart"/>
      <w:r w:rsidRPr="00390054">
        <w:rPr>
          <w:rFonts w:ascii="Arial" w:hAnsi="Arial" w:cs="Arial"/>
          <w:b/>
          <w:sz w:val="16"/>
          <w:szCs w:val="16"/>
        </w:rPr>
        <w:t>Nº</w:t>
      </w:r>
      <w:proofErr w:type="spellEnd"/>
      <w:r w:rsidRPr="00390054">
        <w:rPr>
          <w:rFonts w:ascii="Arial" w:hAnsi="Arial" w:cs="Arial"/>
          <w:b/>
          <w:sz w:val="16"/>
          <w:szCs w:val="16"/>
        </w:rPr>
        <w:t xml:space="preserve"> 1308, publicado en el Diario Oficial El Peruano el 30 de diciembre de 2016. </w:t>
      </w:r>
    </w:p>
    <w:p w14:paraId="04AE305E"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b/>
          <w:sz w:val="16"/>
          <w:szCs w:val="16"/>
        </w:rPr>
        <w:t>Artículo 19.- Obligación de los proveedores</w:t>
      </w:r>
      <w:r w:rsidRPr="00390054">
        <w:rPr>
          <w:rFonts w:ascii="Arial" w:hAnsi="Arial" w:cs="Arial"/>
          <w:sz w:val="16"/>
          <w:szCs w:val="16"/>
        </w:rPr>
        <w:t xml:space="preserve"> </w:t>
      </w:r>
    </w:p>
    <w:p w14:paraId="29823641"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0368269F" w14:textId="77777777" w:rsidR="003E2B14" w:rsidRPr="00390054" w:rsidRDefault="003E2B14" w:rsidP="00390054">
      <w:pPr>
        <w:pStyle w:val="Textonotapie"/>
        <w:contextualSpacing/>
        <w:jc w:val="both"/>
        <w:rPr>
          <w:rFonts w:ascii="Arial" w:hAnsi="Arial" w:cs="Arial"/>
          <w:sz w:val="16"/>
          <w:szCs w:val="16"/>
        </w:rPr>
      </w:pPr>
    </w:p>
  </w:footnote>
  <w:footnote w:id="11">
    <w:p w14:paraId="4D9E4E6B" w14:textId="77777777" w:rsidR="003E2B14" w:rsidRPr="00390054" w:rsidRDefault="003E2B14" w:rsidP="00390054">
      <w:pPr>
        <w:spacing w:after="0" w:line="240" w:lineRule="auto"/>
        <w:ind w:left="567" w:hanging="567"/>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bCs/>
          <w:sz w:val="16"/>
          <w:szCs w:val="16"/>
        </w:rPr>
        <w:t xml:space="preserve">RESOLUCIÓN SBS </w:t>
      </w:r>
      <w:proofErr w:type="spellStart"/>
      <w:r w:rsidRPr="00390054">
        <w:rPr>
          <w:rFonts w:ascii="Arial" w:hAnsi="Arial" w:cs="Arial"/>
          <w:b/>
          <w:bCs/>
          <w:sz w:val="16"/>
          <w:szCs w:val="16"/>
        </w:rPr>
        <w:t>N°</w:t>
      </w:r>
      <w:proofErr w:type="spellEnd"/>
      <w:r w:rsidRPr="00390054">
        <w:rPr>
          <w:rFonts w:ascii="Arial" w:hAnsi="Arial" w:cs="Arial"/>
          <w:b/>
          <w:bCs/>
          <w:sz w:val="16"/>
          <w:szCs w:val="16"/>
        </w:rPr>
        <w:t xml:space="preserve"> 3202-2013, REGLAMENTO PARA LA GESTIÓN Y PAGO DE SINIESTROS.</w:t>
      </w:r>
    </w:p>
    <w:p w14:paraId="4D33429A" w14:textId="77777777" w:rsidR="003E2B14" w:rsidRPr="00390054" w:rsidRDefault="003E2B14" w:rsidP="00390054">
      <w:pPr>
        <w:spacing w:after="0" w:line="240" w:lineRule="auto"/>
        <w:ind w:left="567"/>
        <w:contextualSpacing/>
        <w:jc w:val="both"/>
        <w:rPr>
          <w:rFonts w:ascii="Arial" w:hAnsi="Arial" w:cs="Arial"/>
          <w:b/>
          <w:color w:val="auto"/>
          <w:sz w:val="16"/>
          <w:szCs w:val="16"/>
        </w:rPr>
      </w:pPr>
      <w:r w:rsidRPr="00390054">
        <w:rPr>
          <w:rFonts w:ascii="Arial" w:hAnsi="Arial" w:cs="Arial"/>
          <w:b/>
          <w:color w:val="auto"/>
          <w:sz w:val="16"/>
          <w:szCs w:val="16"/>
        </w:rPr>
        <w:t xml:space="preserve">Artículo 15.- Rechazo de siniestros </w:t>
      </w:r>
    </w:p>
    <w:p w14:paraId="428EDEB8" w14:textId="77777777" w:rsidR="003E2B14" w:rsidRPr="00390054" w:rsidRDefault="003E2B14" w:rsidP="00390054">
      <w:pPr>
        <w:spacing w:after="0" w:line="240" w:lineRule="auto"/>
        <w:ind w:left="567"/>
        <w:contextualSpacing/>
        <w:jc w:val="both"/>
        <w:rPr>
          <w:rFonts w:ascii="Arial" w:hAnsi="Arial" w:cs="Arial"/>
          <w:color w:val="auto"/>
          <w:sz w:val="16"/>
          <w:szCs w:val="16"/>
        </w:rPr>
      </w:pPr>
      <w:r w:rsidRPr="00390054">
        <w:rPr>
          <w:rFonts w:ascii="Arial" w:hAnsi="Arial" w:cs="Arial"/>
          <w:color w:val="auto"/>
          <w:sz w:val="16"/>
          <w:szCs w:val="16"/>
        </w:rPr>
        <w:t xml:space="preserve">El rechazo de un siniestro debe ser fundamentado por la empresa, debiendo contar con el respectivo sustento en el expediente del siniestro. Los expedientes de siniestros deben contar con los informes técnicos que se hubieran emitido, los informes de los ajustadores de siniestros, de ser el caso, y demás documentos que sustenten la decisión adoptada por la empresa. Dichos expedientes deben encontrarse a disposición de la Superintendencia, cuando ésta lo requiera. </w:t>
      </w:r>
    </w:p>
    <w:p w14:paraId="7E030B56" w14:textId="77777777" w:rsidR="003E2B14" w:rsidRPr="00390054" w:rsidRDefault="003E2B14" w:rsidP="00390054">
      <w:pPr>
        <w:spacing w:after="0" w:line="240" w:lineRule="auto"/>
        <w:ind w:left="567"/>
        <w:contextualSpacing/>
        <w:jc w:val="both"/>
        <w:rPr>
          <w:rFonts w:ascii="Arial" w:hAnsi="Arial" w:cs="Arial"/>
          <w:color w:val="auto"/>
          <w:sz w:val="16"/>
          <w:szCs w:val="16"/>
        </w:rPr>
      </w:pPr>
    </w:p>
    <w:p w14:paraId="55D6E1EB" w14:textId="77777777" w:rsidR="003E2B14" w:rsidRPr="00390054" w:rsidRDefault="003E2B14" w:rsidP="00390054">
      <w:pPr>
        <w:spacing w:after="0" w:line="240" w:lineRule="auto"/>
        <w:ind w:left="567"/>
        <w:contextualSpacing/>
        <w:jc w:val="both"/>
        <w:rPr>
          <w:rFonts w:ascii="Arial" w:hAnsi="Arial" w:cs="Arial"/>
          <w:color w:val="auto"/>
          <w:sz w:val="16"/>
          <w:szCs w:val="16"/>
        </w:rPr>
      </w:pPr>
      <w:r w:rsidRPr="00390054">
        <w:rPr>
          <w:rFonts w:ascii="Arial" w:hAnsi="Arial" w:cs="Arial"/>
          <w:color w:val="auto"/>
          <w:sz w:val="16"/>
          <w:szCs w:val="16"/>
        </w:rPr>
        <w:t xml:space="preserve">La empresa debe informar detalladamente, mediante comunicación cursada al asegurado o al beneficiario, según corresponda, a través de los mecanismos y en las direcciones pactadas en la póliza, los motivos que sustentan el rechazo del siniestro, adjuntando copia de los documentos tomados en cuenta para fundamentar su decisión, debidamente suscrita por el responsable del área encargada de evaluar los siniestros. Dicha comunicación debe ser elaborada y entregada al asegurado o al beneficiario dentro de los plazos establecidos en los artículos 8 u 11 del presente Reglamento, según corresponda. </w:t>
      </w:r>
    </w:p>
    <w:p w14:paraId="2FA5E1FE" w14:textId="77777777" w:rsidR="003E2B14" w:rsidRPr="00390054" w:rsidRDefault="003E2B14" w:rsidP="00390054">
      <w:pPr>
        <w:spacing w:after="0" w:line="240" w:lineRule="auto"/>
        <w:ind w:left="567"/>
        <w:contextualSpacing/>
        <w:jc w:val="both"/>
        <w:rPr>
          <w:rFonts w:ascii="Arial" w:hAnsi="Arial" w:cs="Arial"/>
          <w:color w:val="auto"/>
          <w:sz w:val="16"/>
          <w:szCs w:val="16"/>
        </w:rPr>
      </w:pPr>
      <w:r w:rsidRPr="00390054">
        <w:rPr>
          <w:rFonts w:ascii="Arial" w:hAnsi="Arial" w:cs="Arial"/>
          <w:color w:val="auto"/>
          <w:sz w:val="16"/>
          <w:szCs w:val="16"/>
        </w:rPr>
        <w:t xml:space="preserve">(...)”. </w:t>
      </w:r>
    </w:p>
    <w:p w14:paraId="09DB9D27" w14:textId="77777777" w:rsidR="003E2B14" w:rsidRPr="00390054" w:rsidRDefault="003E2B14" w:rsidP="00390054">
      <w:pPr>
        <w:pStyle w:val="Textonotapie"/>
        <w:contextualSpacing/>
        <w:jc w:val="both"/>
        <w:rPr>
          <w:rFonts w:ascii="Arial" w:hAnsi="Arial" w:cs="Arial"/>
          <w:sz w:val="16"/>
          <w:szCs w:val="16"/>
          <w:lang w:val="es-ES"/>
        </w:rPr>
      </w:pPr>
    </w:p>
  </w:footnote>
  <w:footnote w:id="12">
    <w:p w14:paraId="49288668" w14:textId="77777777" w:rsidR="003E2B14" w:rsidRPr="00390054" w:rsidRDefault="003E2B14" w:rsidP="00390054">
      <w:pPr>
        <w:pStyle w:val="Textonotapie"/>
        <w:tabs>
          <w:tab w:val="left" w:pos="567"/>
        </w:tabs>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t>Ver en la pieza 3 del expediente electrónico.</w:t>
      </w:r>
    </w:p>
    <w:p w14:paraId="32B92830" w14:textId="77777777" w:rsidR="003E2B14" w:rsidRPr="00390054" w:rsidRDefault="003E2B14" w:rsidP="00390054">
      <w:pPr>
        <w:pStyle w:val="Textonotapie"/>
        <w:contextualSpacing/>
        <w:jc w:val="both"/>
        <w:rPr>
          <w:rFonts w:ascii="Arial" w:hAnsi="Arial" w:cs="Arial"/>
          <w:sz w:val="16"/>
          <w:szCs w:val="16"/>
          <w:lang w:val="es-ES"/>
        </w:rPr>
      </w:pPr>
    </w:p>
  </w:footnote>
  <w:footnote w:id="13">
    <w:p w14:paraId="04477C34" w14:textId="77777777" w:rsidR="003E2B14" w:rsidRPr="00390054" w:rsidRDefault="003E2B14" w:rsidP="00390054">
      <w:pPr>
        <w:spacing w:after="0" w:line="240" w:lineRule="auto"/>
        <w:ind w:left="577" w:hanging="570"/>
        <w:contextualSpacing/>
        <w:jc w:val="both"/>
        <w:rPr>
          <w:rFonts w:ascii="Arial" w:hAnsi="Arial" w:cs="Arial"/>
          <w:color w:val="000000" w:themeColor="text1"/>
          <w:sz w:val="16"/>
          <w:szCs w:val="16"/>
        </w:rPr>
      </w:pPr>
      <w:r w:rsidRPr="00390054">
        <w:rPr>
          <w:rFonts w:ascii="Arial" w:hAnsi="Arial" w:cs="Arial"/>
          <w:color w:val="000000" w:themeColor="text1"/>
          <w:sz w:val="16"/>
          <w:szCs w:val="16"/>
          <w:vertAlign w:val="superscript"/>
        </w:rPr>
        <w:footnoteRef/>
      </w:r>
      <w:r w:rsidRPr="00390054">
        <w:rPr>
          <w:rFonts w:ascii="Arial" w:hAnsi="Arial" w:cs="Arial"/>
          <w:color w:val="000000" w:themeColor="text1"/>
          <w:sz w:val="16"/>
          <w:szCs w:val="16"/>
        </w:rPr>
        <w:t xml:space="preserve"> </w:t>
      </w:r>
      <w:r w:rsidRPr="00390054">
        <w:rPr>
          <w:rFonts w:ascii="Arial" w:hAnsi="Arial" w:cs="Arial"/>
          <w:color w:val="000000" w:themeColor="text1"/>
          <w:sz w:val="16"/>
          <w:szCs w:val="16"/>
        </w:rPr>
        <w:tab/>
        <w:t>Ley que establece la continuidad en la cobertura de preexistencias en el plan de salud de las entidades prestadoras de salud.</w:t>
      </w:r>
    </w:p>
    <w:p w14:paraId="4574844C" w14:textId="77777777" w:rsidR="003E2B14" w:rsidRPr="00390054" w:rsidRDefault="003E2B14" w:rsidP="00390054">
      <w:pPr>
        <w:spacing w:after="0" w:line="240" w:lineRule="auto"/>
        <w:ind w:left="577" w:hanging="570"/>
        <w:contextualSpacing/>
        <w:jc w:val="both"/>
        <w:rPr>
          <w:rFonts w:ascii="Arial" w:hAnsi="Arial" w:cs="Arial"/>
          <w:color w:val="000000" w:themeColor="text1"/>
          <w:sz w:val="16"/>
          <w:szCs w:val="16"/>
        </w:rPr>
      </w:pPr>
    </w:p>
  </w:footnote>
  <w:footnote w:id="14">
    <w:p w14:paraId="2204344C" w14:textId="77777777" w:rsidR="003E2B14" w:rsidRPr="00390054" w:rsidRDefault="003E2B14" w:rsidP="00390054">
      <w:pPr>
        <w:pStyle w:val="Textonotapie"/>
        <w:ind w:left="567" w:hanging="567"/>
        <w:contextualSpacing/>
        <w:jc w:val="both"/>
        <w:rPr>
          <w:rFonts w:ascii="Arial" w:hAnsi="Arial" w:cs="Arial"/>
          <w:b/>
          <w:bCs/>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sz w:val="16"/>
          <w:szCs w:val="16"/>
        </w:rPr>
        <w:t xml:space="preserve">LEY </w:t>
      </w:r>
      <w:proofErr w:type="spellStart"/>
      <w:r w:rsidRPr="00390054">
        <w:rPr>
          <w:rFonts w:ascii="Arial" w:hAnsi="Arial" w:cs="Arial"/>
          <w:b/>
          <w:sz w:val="16"/>
          <w:szCs w:val="16"/>
        </w:rPr>
        <w:t>Nº</w:t>
      </w:r>
      <w:proofErr w:type="spellEnd"/>
      <w:r w:rsidRPr="00390054">
        <w:rPr>
          <w:rFonts w:ascii="Arial" w:hAnsi="Arial" w:cs="Arial"/>
          <w:b/>
          <w:sz w:val="16"/>
          <w:szCs w:val="16"/>
        </w:rPr>
        <w:t xml:space="preserve"> 29561, </w:t>
      </w:r>
      <w:r w:rsidRPr="00390054">
        <w:rPr>
          <w:rFonts w:ascii="Arial" w:hAnsi="Arial" w:cs="Arial"/>
          <w:b/>
          <w:bCs/>
          <w:sz w:val="16"/>
          <w:szCs w:val="16"/>
        </w:rPr>
        <w:t>LEY QUE ESTABLECE LA CONTINUIDAD EN LA COBERTURA DE PREEXISTENCIAS EN EL PLAN DE SALUD DE LAS ENTIDADES</w:t>
      </w:r>
      <w:r w:rsidRPr="00390054">
        <w:rPr>
          <w:rFonts w:ascii="Arial" w:hAnsi="Arial" w:cs="Arial"/>
          <w:b/>
          <w:sz w:val="16"/>
          <w:szCs w:val="16"/>
        </w:rPr>
        <w:t xml:space="preserve"> </w:t>
      </w:r>
    </w:p>
    <w:p w14:paraId="1657158A" w14:textId="77777777" w:rsidR="003E2B14" w:rsidRPr="00390054" w:rsidRDefault="003E2B14" w:rsidP="00390054">
      <w:pPr>
        <w:pStyle w:val="Textonotapie"/>
        <w:ind w:left="567"/>
        <w:contextualSpacing/>
        <w:jc w:val="both"/>
        <w:rPr>
          <w:rFonts w:ascii="Arial" w:hAnsi="Arial" w:cs="Arial"/>
          <w:b/>
          <w:iCs/>
          <w:sz w:val="16"/>
          <w:szCs w:val="16"/>
        </w:rPr>
      </w:pPr>
      <w:r w:rsidRPr="00390054">
        <w:rPr>
          <w:rFonts w:ascii="Arial" w:hAnsi="Arial" w:cs="Arial"/>
          <w:b/>
          <w:bCs/>
          <w:iCs/>
          <w:sz w:val="16"/>
          <w:szCs w:val="16"/>
        </w:rPr>
        <w:t>Artículo 2.- Definición de preexistencia</w:t>
      </w:r>
      <w:r w:rsidRPr="00390054">
        <w:rPr>
          <w:rFonts w:ascii="Arial" w:hAnsi="Arial" w:cs="Arial"/>
          <w:b/>
          <w:iCs/>
          <w:sz w:val="16"/>
          <w:szCs w:val="16"/>
        </w:rPr>
        <w:t xml:space="preserve"> </w:t>
      </w:r>
    </w:p>
    <w:p w14:paraId="25E1FF04" w14:textId="77777777" w:rsidR="003E2B14" w:rsidRPr="00390054" w:rsidRDefault="003E2B14" w:rsidP="00390054">
      <w:pPr>
        <w:pStyle w:val="Textonotapie"/>
        <w:ind w:left="567"/>
        <w:contextualSpacing/>
        <w:jc w:val="both"/>
        <w:rPr>
          <w:rFonts w:ascii="Arial" w:hAnsi="Arial" w:cs="Arial"/>
          <w:sz w:val="16"/>
          <w:szCs w:val="16"/>
        </w:rPr>
      </w:pPr>
      <w:r w:rsidRPr="00390054">
        <w:rPr>
          <w:rFonts w:ascii="Arial" w:hAnsi="Arial" w:cs="Arial"/>
          <w:sz w:val="16"/>
          <w:szCs w:val="16"/>
        </w:rPr>
        <w:t xml:space="preserve">Para efectos de lo dispuesto en la presente Ley, preexistencia es cualquier condición de alteración del estado de salud diagnosticada por un profesional médico colegiado, conocida por el titular o dependiente y no resuelta en el momento previo a la presentación de la declaración jurada de salud. </w:t>
      </w:r>
    </w:p>
    <w:p w14:paraId="6A00F28D" w14:textId="77777777" w:rsidR="003E2B14" w:rsidRPr="00390054" w:rsidRDefault="003E2B14" w:rsidP="00390054">
      <w:pPr>
        <w:pStyle w:val="Textonotapie"/>
        <w:ind w:left="567"/>
        <w:contextualSpacing/>
        <w:jc w:val="both"/>
        <w:rPr>
          <w:rFonts w:ascii="Arial" w:hAnsi="Arial" w:cs="Arial"/>
          <w:sz w:val="16"/>
          <w:szCs w:val="16"/>
        </w:rPr>
      </w:pPr>
    </w:p>
  </w:footnote>
  <w:footnote w:id="15">
    <w:p w14:paraId="4165EA9B" w14:textId="77777777" w:rsidR="003E2B14" w:rsidRPr="00390054" w:rsidRDefault="003E2B14" w:rsidP="00390054">
      <w:pPr>
        <w:spacing w:after="0" w:line="240" w:lineRule="auto"/>
        <w:ind w:left="567" w:hanging="567"/>
        <w:contextualSpacing/>
        <w:jc w:val="both"/>
        <w:rPr>
          <w:rFonts w:ascii="Arial" w:hAnsi="Arial" w:cs="Arial"/>
          <w:sz w:val="16"/>
          <w:szCs w:val="16"/>
        </w:rPr>
      </w:pPr>
      <w:r w:rsidRPr="00390054">
        <w:rPr>
          <w:rFonts w:ascii="Arial" w:hAnsi="Arial" w:cs="Arial"/>
          <w:sz w:val="16"/>
          <w:szCs w:val="16"/>
          <w:vertAlign w:val="superscript"/>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sz w:val="16"/>
          <w:szCs w:val="16"/>
        </w:rPr>
        <w:t xml:space="preserve">LEY </w:t>
      </w:r>
      <w:proofErr w:type="spellStart"/>
      <w:r w:rsidRPr="00390054">
        <w:rPr>
          <w:rFonts w:ascii="Arial" w:hAnsi="Arial" w:cs="Arial"/>
          <w:b/>
          <w:sz w:val="16"/>
          <w:szCs w:val="16"/>
        </w:rPr>
        <w:t>N°</w:t>
      </w:r>
      <w:proofErr w:type="spellEnd"/>
      <w:r w:rsidRPr="00390054">
        <w:rPr>
          <w:rFonts w:ascii="Arial" w:hAnsi="Arial" w:cs="Arial"/>
          <w:b/>
          <w:sz w:val="16"/>
          <w:szCs w:val="16"/>
        </w:rPr>
        <w:t xml:space="preserve"> 29946,</w:t>
      </w:r>
      <w:r w:rsidRPr="00390054">
        <w:rPr>
          <w:rFonts w:ascii="Arial" w:hAnsi="Arial" w:cs="Arial"/>
          <w:sz w:val="16"/>
          <w:szCs w:val="16"/>
        </w:rPr>
        <w:t xml:space="preserve"> </w:t>
      </w:r>
      <w:r w:rsidRPr="00390054">
        <w:rPr>
          <w:rFonts w:ascii="Arial" w:hAnsi="Arial" w:cs="Arial"/>
          <w:b/>
          <w:sz w:val="16"/>
          <w:szCs w:val="16"/>
        </w:rPr>
        <w:t>LEY DEL CONTRATO DE SEGURO, publicada el 27 de noviembre de 2012.</w:t>
      </w:r>
    </w:p>
    <w:p w14:paraId="7DE61EE9" w14:textId="77777777" w:rsidR="003E2B14" w:rsidRPr="00390054" w:rsidRDefault="003E2B14" w:rsidP="00390054">
      <w:pPr>
        <w:spacing w:after="0" w:line="240" w:lineRule="auto"/>
        <w:ind w:left="570"/>
        <w:contextualSpacing/>
        <w:jc w:val="both"/>
        <w:rPr>
          <w:rFonts w:ascii="Arial" w:hAnsi="Arial" w:cs="Arial"/>
          <w:sz w:val="16"/>
          <w:szCs w:val="16"/>
        </w:rPr>
      </w:pPr>
      <w:r w:rsidRPr="00390054">
        <w:rPr>
          <w:rFonts w:ascii="Arial" w:hAnsi="Arial" w:cs="Arial"/>
          <w:b/>
          <w:sz w:val="16"/>
          <w:szCs w:val="16"/>
        </w:rPr>
        <w:t>Artículo 118.- Preexistencias</w:t>
      </w:r>
    </w:p>
    <w:p w14:paraId="003CD25A" w14:textId="77777777" w:rsidR="003E2B14" w:rsidRPr="00390054" w:rsidRDefault="003E2B14" w:rsidP="00390054">
      <w:pPr>
        <w:spacing w:after="0" w:line="240" w:lineRule="auto"/>
        <w:ind w:left="570"/>
        <w:contextualSpacing/>
        <w:jc w:val="both"/>
        <w:rPr>
          <w:rFonts w:ascii="Arial" w:hAnsi="Arial" w:cs="Arial"/>
          <w:sz w:val="16"/>
          <w:szCs w:val="16"/>
        </w:rPr>
      </w:pPr>
      <w:r w:rsidRPr="00390054">
        <w:rPr>
          <w:rFonts w:ascii="Arial" w:hAnsi="Arial" w:cs="Arial"/>
          <w:sz w:val="16"/>
          <w:szCs w:val="16"/>
        </w:rPr>
        <w:t>Las enfermedades preexistentes están cubiertas dentro del sistema de seguros y de EPS, como mínimo, hasta los límites del contrato original o anterior.</w:t>
      </w:r>
    </w:p>
    <w:p w14:paraId="385E63FE" w14:textId="77777777" w:rsidR="003E2B14" w:rsidRPr="00390054" w:rsidRDefault="003E2B14" w:rsidP="00390054">
      <w:pPr>
        <w:spacing w:after="0" w:line="240" w:lineRule="auto"/>
        <w:ind w:left="570"/>
        <w:contextualSpacing/>
        <w:jc w:val="both"/>
        <w:rPr>
          <w:rFonts w:ascii="Arial" w:hAnsi="Arial" w:cs="Arial"/>
          <w:sz w:val="16"/>
          <w:szCs w:val="16"/>
        </w:rPr>
      </w:pPr>
      <w:r w:rsidRPr="00390054">
        <w:rPr>
          <w:rFonts w:ascii="Arial" w:hAnsi="Arial" w:cs="Arial"/>
          <w:sz w:val="16"/>
          <w:szCs w:val="16"/>
        </w:rPr>
        <w:t>Se entiende por preexistencia, cualquier condición de alteración del estado de salud diagnosticada por un profesional médico colegiado, conocida por el titular o dependiente y no resuelta en el momento previo a la presentación de la declaración jurada de salud.</w:t>
      </w:r>
    </w:p>
    <w:p w14:paraId="182EE1F1" w14:textId="77777777" w:rsidR="003E2B14" w:rsidRPr="00390054" w:rsidRDefault="003E2B14" w:rsidP="00390054">
      <w:pPr>
        <w:spacing w:after="0" w:line="240" w:lineRule="auto"/>
        <w:ind w:left="570"/>
        <w:contextualSpacing/>
        <w:jc w:val="both"/>
        <w:rPr>
          <w:rFonts w:ascii="Arial" w:hAnsi="Arial" w:cs="Arial"/>
          <w:sz w:val="16"/>
          <w:szCs w:val="16"/>
        </w:rPr>
      </w:pPr>
    </w:p>
  </w:footnote>
  <w:footnote w:id="16">
    <w:p w14:paraId="599E942B" w14:textId="77777777" w:rsidR="003E2B14" w:rsidRPr="00390054" w:rsidRDefault="003E2B14" w:rsidP="00390054">
      <w:pPr>
        <w:pStyle w:val="Textonotapie"/>
        <w:ind w:left="567" w:hanging="567"/>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sz w:val="16"/>
          <w:szCs w:val="16"/>
        </w:rPr>
        <w:t xml:space="preserve">LEY </w:t>
      </w:r>
      <w:proofErr w:type="spellStart"/>
      <w:r w:rsidRPr="00390054">
        <w:rPr>
          <w:rFonts w:ascii="Arial" w:hAnsi="Arial" w:cs="Arial"/>
          <w:b/>
          <w:sz w:val="16"/>
          <w:szCs w:val="16"/>
        </w:rPr>
        <w:t>N°</w:t>
      </w:r>
      <w:proofErr w:type="spellEnd"/>
      <w:r w:rsidRPr="00390054">
        <w:rPr>
          <w:rFonts w:ascii="Arial" w:hAnsi="Arial" w:cs="Arial"/>
          <w:b/>
          <w:sz w:val="16"/>
          <w:szCs w:val="16"/>
        </w:rPr>
        <w:t xml:space="preserve"> 29946, LEY DEL CONTRATO DEL SEGURO, publicada el 27 de noviembre de 2012</w:t>
      </w:r>
    </w:p>
    <w:p w14:paraId="33A7299C" w14:textId="77777777" w:rsidR="003E2B14" w:rsidRPr="00390054" w:rsidRDefault="003E2B14" w:rsidP="00390054">
      <w:pPr>
        <w:pStyle w:val="Textonotapie"/>
        <w:ind w:left="567"/>
        <w:contextualSpacing/>
        <w:jc w:val="both"/>
        <w:rPr>
          <w:rFonts w:ascii="Arial" w:hAnsi="Arial" w:cs="Arial"/>
          <w:b/>
          <w:bCs/>
          <w:color w:val="auto"/>
          <w:sz w:val="16"/>
          <w:szCs w:val="16"/>
        </w:rPr>
      </w:pPr>
      <w:r w:rsidRPr="00390054">
        <w:rPr>
          <w:rFonts w:ascii="Arial" w:hAnsi="Arial" w:cs="Arial"/>
          <w:b/>
          <w:bCs/>
          <w:color w:val="auto"/>
          <w:sz w:val="16"/>
          <w:szCs w:val="16"/>
        </w:rPr>
        <w:t>Artículo 26. Contenido de la póliza</w:t>
      </w:r>
    </w:p>
    <w:p w14:paraId="2EF42668" w14:textId="77777777" w:rsidR="003E2B14" w:rsidRPr="00390054" w:rsidRDefault="003E2B14" w:rsidP="00390054">
      <w:pPr>
        <w:pStyle w:val="Textonotapie"/>
        <w:ind w:left="567"/>
        <w:contextualSpacing/>
        <w:jc w:val="both"/>
        <w:rPr>
          <w:rFonts w:ascii="Arial" w:hAnsi="Arial" w:cs="Arial"/>
          <w:color w:val="auto"/>
          <w:sz w:val="16"/>
          <w:szCs w:val="16"/>
        </w:rPr>
      </w:pPr>
      <w:r w:rsidRPr="00390054">
        <w:rPr>
          <w:rFonts w:ascii="Arial" w:hAnsi="Arial" w:cs="Arial"/>
          <w:color w:val="auto"/>
          <w:sz w:val="16"/>
          <w:szCs w:val="16"/>
        </w:rPr>
        <w:t>El asegurador está obligado a entregar al contratante una póliza debidamente firmada por el representante de la empresa, con redacción clara, en caracteres legibles y en caracteres destacados para el caso del artículo 27. La póliza, además de las condiciones generales y especiales del contrato, debe contener como mínimo lo siguiente:</w:t>
      </w:r>
    </w:p>
    <w:p w14:paraId="67722A5D" w14:textId="77777777" w:rsidR="003E2B14" w:rsidRPr="00390054" w:rsidRDefault="003E2B14" w:rsidP="00390054">
      <w:pPr>
        <w:pStyle w:val="Textonotapie"/>
        <w:ind w:left="567"/>
        <w:contextualSpacing/>
        <w:jc w:val="both"/>
        <w:rPr>
          <w:rFonts w:ascii="Arial" w:hAnsi="Arial" w:cs="Arial"/>
          <w:color w:val="auto"/>
          <w:sz w:val="16"/>
          <w:szCs w:val="16"/>
        </w:rPr>
      </w:pPr>
      <w:r w:rsidRPr="00390054">
        <w:rPr>
          <w:rFonts w:ascii="Arial" w:hAnsi="Arial" w:cs="Arial"/>
          <w:color w:val="auto"/>
          <w:sz w:val="16"/>
          <w:szCs w:val="16"/>
        </w:rPr>
        <w:t>(…)</w:t>
      </w:r>
    </w:p>
    <w:p w14:paraId="21D00FAC" w14:textId="77777777" w:rsidR="003E2B14" w:rsidRPr="00390054" w:rsidRDefault="003E2B14" w:rsidP="00390054">
      <w:pPr>
        <w:pStyle w:val="Textonotapie"/>
        <w:ind w:left="567"/>
        <w:contextualSpacing/>
        <w:jc w:val="both"/>
        <w:rPr>
          <w:rFonts w:ascii="Arial" w:hAnsi="Arial" w:cs="Arial"/>
          <w:sz w:val="16"/>
          <w:szCs w:val="16"/>
          <w:lang w:val="es-ES"/>
        </w:rPr>
      </w:pPr>
    </w:p>
  </w:footnote>
  <w:footnote w:id="17">
    <w:p w14:paraId="45F603D0" w14:textId="77777777" w:rsidR="003E2B14" w:rsidRPr="00390054" w:rsidRDefault="003E2B14" w:rsidP="00390054">
      <w:pPr>
        <w:pStyle w:val="Textonotapie"/>
        <w:ind w:left="567" w:hanging="567"/>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sz w:val="16"/>
          <w:szCs w:val="16"/>
        </w:rPr>
        <w:t xml:space="preserve">LEY </w:t>
      </w:r>
      <w:proofErr w:type="spellStart"/>
      <w:r w:rsidRPr="00390054">
        <w:rPr>
          <w:rFonts w:ascii="Arial" w:hAnsi="Arial" w:cs="Arial"/>
          <w:b/>
          <w:sz w:val="16"/>
          <w:szCs w:val="16"/>
        </w:rPr>
        <w:t>N°</w:t>
      </w:r>
      <w:proofErr w:type="spellEnd"/>
      <w:r w:rsidRPr="00390054">
        <w:rPr>
          <w:rFonts w:ascii="Arial" w:hAnsi="Arial" w:cs="Arial"/>
          <w:b/>
          <w:sz w:val="16"/>
          <w:szCs w:val="16"/>
        </w:rPr>
        <w:t xml:space="preserve"> 29946, LEY DEL CONTRATO DEL SEGURO, publicada el 27 de noviembre de 2012</w:t>
      </w:r>
    </w:p>
    <w:p w14:paraId="09FD2399" w14:textId="77777777" w:rsidR="003E2B14" w:rsidRPr="00390054" w:rsidRDefault="003E2B14" w:rsidP="00390054">
      <w:pPr>
        <w:pStyle w:val="Textonotapie"/>
        <w:ind w:left="567"/>
        <w:contextualSpacing/>
        <w:jc w:val="both"/>
        <w:rPr>
          <w:rFonts w:ascii="Arial" w:hAnsi="Arial" w:cs="Arial"/>
          <w:b/>
          <w:color w:val="auto"/>
          <w:sz w:val="16"/>
          <w:szCs w:val="16"/>
        </w:rPr>
      </w:pPr>
      <w:r w:rsidRPr="00390054">
        <w:rPr>
          <w:rFonts w:ascii="Arial" w:hAnsi="Arial" w:cs="Arial"/>
          <w:b/>
          <w:bCs/>
          <w:color w:val="auto"/>
          <w:sz w:val="16"/>
          <w:szCs w:val="16"/>
        </w:rPr>
        <w:t>Artículo 137. Condiciones no informadas</w:t>
      </w:r>
    </w:p>
    <w:p w14:paraId="4F4B60AD" w14:textId="77777777" w:rsidR="003E2B14" w:rsidRPr="00390054" w:rsidRDefault="003E2B14" w:rsidP="00390054">
      <w:pPr>
        <w:pStyle w:val="Textonotapie"/>
        <w:ind w:left="567"/>
        <w:contextualSpacing/>
        <w:jc w:val="both"/>
        <w:rPr>
          <w:rFonts w:ascii="Arial" w:hAnsi="Arial" w:cs="Arial"/>
          <w:bCs/>
          <w:color w:val="auto"/>
          <w:sz w:val="16"/>
          <w:szCs w:val="16"/>
        </w:rPr>
      </w:pPr>
      <w:r w:rsidRPr="00390054">
        <w:rPr>
          <w:rFonts w:ascii="Arial" w:hAnsi="Arial" w:cs="Arial"/>
          <w:bCs/>
          <w:color w:val="auto"/>
          <w:sz w:val="16"/>
          <w:szCs w:val="16"/>
        </w:rPr>
        <w:t>No son oponibles al asegurado los contenidos contractuales que no le hayan sido informados en el certificado mencionado en el artículo anterior, cuyo contenido mínimo se sujeta a las disposiciones de la Superintendencia.</w:t>
      </w:r>
    </w:p>
    <w:p w14:paraId="19C89A40" w14:textId="77777777" w:rsidR="003E2B14" w:rsidRPr="00390054" w:rsidRDefault="003E2B14" w:rsidP="00390054">
      <w:pPr>
        <w:pStyle w:val="Textonotapie"/>
        <w:ind w:left="567"/>
        <w:contextualSpacing/>
        <w:jc w:val="both"/>
        <w:rPr>
          <w:rFonts w:ascii="Arial" w:hAnsi="Arial" w:cs="Arial"/>
          <w:bCs/>
          <w:sz w:val="16"/>
          <w:szCs w:val="16"/>
          <w:lang w:val="es-ES"/>
        </w:rPr>
      </w:pPr>
    </w:p>
  </w:footnote>
  <w:footnote w:id="18">
    <w:p w14:paraId="3FD25514" w14:textId="77777777" w:rsidR="003E2B14" w:rsidRPr="00390054" w:rsidRDefault="003E2B14" w:rsidP="00390054">
      <w:pPr>
        <w:pStyle w:val="Textonotapie"/>
        <w:tabs>
          <w:tab w:val="left" w:pos="567"/>
        </w:tabs>
        <w:contextualSpacing/>
        <w:jc w:val="both"/>
        <w:rPr>
          <w:rFonts w:ascii="Arial" w:hAnsi="Arial" w:cs="Arial"/>
          <w:sz w:val="16"/>
          <w:szCs w:val="16"/>
          <w:lang w:val="es-ES"/>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t xml:space="preserve">Ver </w:t>
      </w:r>
      <w:r w:rsidRPr="00390054">
        <w:rPr>
          <w:rFonts w:ascii="Arial" w:hAnsi="Arial" w:cs="Arial"/>
          <w:sz w:val="16"/>
          <w:szCs w:val="16"/>
          <w:lang w:val="es-ES"/>
        </w:rPr>
        <w:t>en la pieza 23 del expediente electrónico.</w:t>
      </w:r>
    </w:p>
    <w:p w14:paraId="0316B337" w14:textId="77777777" w:rsidR="003E2B14" w:rsidRPr="00390054" w:rsidRDefault="003E2B14" w:rsidP="00390054">
      <w:pPr>
        <w:pStyle w:val="Textonotapie"/>
        <w:contextualSpacing/>
        <w:jc w:val="both"/>
        <w:rPr>
          <w:rFonts w:ascii="Arial" w:hAnsi="Arial" w:cs="Arial"/>
          <w:sz w:val="16"/>
          <w:szCs w:val="16"/>
          <w:lang w:val="es-ES"/>
        </w:rPr>
      </w:pPr>
    </w:p>
  </w:footnote>
  <w:footnote w:id="19">
    <w:p w14:paraId="18E5FB62" w14:textId="77777777" w:rsidR="003E2B14" w:rsidRPr="00390054" w:rsidRDefault="003E2B14" w:rsidP="00390054">
      <w:pPr>
        <w:pStyle w:val="Textonotapie"/>
        <w:tabs>
          <w:tab w:val="left" w:pos="567"/>
        </w:tabs>
        <w:contextualSpacing/>
        <w:jc w:val="both"/>
        <w:rPr>
          <w:rFonts w:ascii="Arial" w:hAnsi="Arial" w:cs="Arial"/>
          <w:sz w:val="16"/>
          <w:szCs w:val="16"/>
          <w:lang w:val="es-ES"/>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sz w:val="16"/>
          <w:szCs w:val="16"/>
          <w:lang w:val="es-ES"/>
        </w:rPr>
        <w:t>Ver en la pieza 23 del expediente electrónico.</w:t>
      </w:r>
    </w:p>
    <w:p w14:paraId="49E98D22" w14:textId="77777777" w:rsidR="003E2B14" w:rsidRPr="00390054" w:rsidRDefault="003E2B14" w:rsidP="00390054">
      <w:pPr>
        <w:pStyle w:val="Textonotapie"/>
        <w:contextualSpacing/>
        <w:jc w:val="both"/>
        <w:rPr>
          <w:rFonts w:ascii="Arial" w:hAnsi="Arial" w:cs="Arial"/>
          <w:sz w:val="16"/>
          <w:szCs w:val="16"/>
          <w:lang w:val="es-ES"/>
        </w:rPr>
      </w:pPr>
    </w:p>
  </w:footnote>
  <w:footnote w:id="20">
    <w:p w14:paraId="1FD83A7A" w14:textId="77777777" w:rsidR="003E2B14" w:rsidRPr="00390054" w:rsidRDefault="003E2B14" w:rsidP="00390054">
      <w:pPr>
        <w:pStyle w:val="Textonotapie"/>
        <w:tabs>
          <w:tab w:val="left" w:pos="567"/>
        </w:tabs>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t xml:space="preserve">Ver </w:t>
      </w:r>
      <w:r w:rsidRPr="00390054">
        <w:rPr>
          <w:rFonts w:ascii="Arial" w:hAnsi="Arial" w:cs="Arial"/>
          <w:sz w:val="16"/>
          <w:szCs w:val="16"/>
          <w:lang w:val="es-ES"/>
        </w:rPr>
        <w:t>en la pieza 3 del expediente electrónico</w:t>
      </w:r>
      <w:r w:rsidRPr="00390054">
        <w:rPr>
          <w:rFonts w:ascii="Arial" w:hAnsi="Arial" w:cs="Arial"/>
          <w:sz w:val="16"/>
          <w:szCs w:val="16"/>
        </w:rPr>
        <w:t>.</w:t>
      </w:r>
    </w:p>
    <w:p w14:paraId="45482E17" w14:textId="77777777" w:rsidR="003E2B14" w:rsidRPr="00390054" w:rsidRDefault="003E2B14" w:rsidP="00390054">
      <w:pPr>
        <w:pStyle w:val="Textonotapie"/>
        <w:contextualSpacing/>
        <w:jc w:val="both"/>
        <w:rPr>
          <w:rFonts w:ascii="Arial" w:hAnsi="Arial" w:cs="Arial"/>
          <w:sz w:val="16"/>
          <w:szCs w:val="16"/>
        </w:rPr>
      </w:pPr>
    </w:p>
  </w:footnote>
  <w:footnote w:id="21">
    <w:p w14:paraId="7D1D050A" w14:textId="77777777" w:rsidR="003E2B14" w:rsidRPr="00390054" w:rsidRDefault="003E2B14" w:rsidP="00390054">
      <w:pPr>
        <w:pStyle w:val="Textonotapie"/>
        <w:tabs>
          <w:tab w:val="left" w:pos="567"/>
        </w:tabs>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t>Consultar en la siguiente página web:</w:t>
      </w:r>
    </w:p>
    <w:p w14:paraId="5D5744EC" w14:textId="77777777" w:rsidR="003E2B14" w:rsidRPr="00390054" w:rsidRDefault="003E2B14" w:rsidP="00390054">
      <w:pPr>
        <w:pStyle w:val="Textonotapie"/>
        <w:ind w:left="567"/>
        <w:contextualSpacing/>
        <w:jc w:val="both"/>
        <w:rPr>
          <w:rFonts w:ascii="Arial" w:hAnsi="Arial" w:cs="Arial"/>
          <w:sz w:val="16"/>
          <w:szCs w:val="16"/>
        </w:rPr>
      </w:pPr>
      <w:hyperlink r:id="rId1" w:history="1">
        <w:r w:rsidRPr="00390054">
          <w:rPr>
            <w:rStyle w:val="Hipervnculo"/>
            <w:rFonts w:ascii="Arial" w:eastAsia="Calibri" w:hAnsi="Arial" w:cs="Arial"/>
            <w:sz w:val="16"/>
            <w:szCs w:val="16"/>
          </w:rPr>
          <w:t>https://medlineplus.gov/spanish/ency/article/001620.htm</w:t>
        </w:r>
      </w:hyperlink>
    </w:p>
    <w:p w14:paraId="77FBE7F9" w14:textId="77777777" w:rsidR="003E2B14" w:rsidRPr="00390054" w:rsidRDefault="003E2B14" w:rsidP="00390054">
      <w:pPr>
        <w:pStyle w:val="Textonotapie"/>
        <w:ind w:left="567"/>
        <w:contextualSpacing/>
        <w:jc w:val="both"/>
        <w:rPr>
          <w:rFonts w:ascii="Arial" w:hAnsi="Arial" w:cs="Arial"/>
          <w:sz w:val="16"/>
          <w:szCs w:val="16"/>
          <w:lang w:val="es-ES"/>
        </w:rPr>
      </w:pPr>
    </w:p>
  </w:footnote>
  <w:footnote w:id="22">
    <w:p w14:paraId="15FF3E49" w14:textId="77777777" w:rsidR="003E2B14" w:rsidRPr="00390054" w:rsidRDefault="003E2B14" w:rsidP="00390054">
      <w:pPr>
        <w:pStyle w:val="Textonotapie"/>
        <w:tabs>
          <w:tab w:val="left" w:pos="567"/>
        </w:tabs>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t>Consultar en la siguiente página web:</w:t>
      </w:r>
    </w:p>
    <w:p w14:paraId="7C052FB0" w14:textId="77777777" w:rsidR="003E2B14" w:rsidRPr="00390054" w:rsidRDefault="003E2B14" w:rsidP="00390054">
      <w:pPr>
        <w:pStyle w:val="Textonotapie"/>
        <w:ind w:left="567"/>
        <w:contextualSpacing/>
        <w:jc w:val="both"/>
        <w:rPr>
          <w:rFonts w:ascii="Arial" w:hAnsi="Arial" w:cs="Arial"/>
          <w:sz w:val="16"/>
          <w:szCs w:val="16"/>
        </w:rPr>
      </w:pPr>
      <w:hyperlink r:id="rId2" w:history="1">
        <w:r w:rsidRPr="00390054">
          <w:rPr>
            <w:rStyle w:val="Hipervnculo"/>
            <w:rFonts w:ascii="Arial" w:eastAsia="Calibri" w:hAnsi="Arial" w:cs="Arial"/>
            <w:sz w:val="16"/>
            <w:szCs w:val="16"/>
          </w:rPr>
          <w:t>https://www.icd10data.com/ICD10CM/Codes/H00-H59/H53-H54/H53-/H53.4</w:t>
        </w:r>
      </w:hyperlink>
    </w:p>
    <w:p w14:paraId="6E03637A" w14:textId="77777777" w:rsidR="003E2B14" w:rsidRPr="00390054" w:rsidRDefault="003E2B14" w:rsidP="00390054">
      <w:pPr>
        <w:pStyle w:val="Textonotapie"/>
        <w:contextualSpacing/>
        <w:jc w:val="both"/>
        <w:rPr>
          <w:rFonts w:ascii="Arial" w:hAnsi="Arial" w:cs="Arial"/>
          <w:sz w:val="16"/>
          <w:szCs w:val="16"/>
          <w:lang w:val="es-ES"/>
        </w:rPr>
      </w:pPr>
    </w:p>
  </w:footnote>
  <w:footnote w:id="23">
    <w:p w14:paraId="130C38EF" w14:textId="77777777" w:rsidR="003E2B14" w:rsidRPr="00390054" w:rsidRDefault="003E2B14" w:rsidP="00390054">
      <w:pPr>
        <w:pStyle w:val="Textonotapie"/>
        <w:tabs>
          <w:tab w:val="left" w:pos="567"/>
        </w:tabs>
        <w:contextualSpacing/>
        <w:jc w:val="both"/>
        <w:rPr>
          <w:rFonts w:ascii="Arial" w:hAnsi="Arial" w:cs="Arial"/>
          <w:sz w:val="16"/>
          <w:szCs w:val="16"/>
        </w:rPr>
      </w:pPr>
      <w:r w:rsidRPr="00390054">
        <w:rPr>
          <w:rStyle w:val="Refdenotaalpie"/>
          <w:rFonts w:ascii="Arial" w:hAnsi="Arial" w:cs="Arial"/>
          <w:sz w:val="16"/>
          <w:szCs w:val="16"/>
        </w:rPr>
        <w:footnoteRef/>
      </w:r>
      <w:r w:rsidRPr="00390054">
        <w:rPr>
          <w:rFonts w:ascii="Arial" w:hAnsi="Arial" w:cs="Arial"/>
          <w:sz w:val="16"/>
          <w:szCs w:val="16"/>
        </w:rPr>
        <w:t xml:space="preserve"> </w:t>
      </w:r>
      <w:r w:rsidRPr="00390054">
        <w:rPr>
          <w:rFonts w:ascii="Arial" w:hAnsi="Arial" w:cs="Arial"/>
          <w:sz w:val="16"/>
          <w:szCs w:val="16"/>
        </w:rPr>
        <w:tab/>
        <w:t xml:space="preserve">Ver </w:t>
      </w:r>
      <w:r w:rsidRPr="00390054">
        <w:rPr>
          <w:rFonts w:ascii="Arial" w:hAnsi="Arial" w:cs="Arial"/>
          <w:sz w:val="16"/>
          <w:szCs w:val="16"/>
          <w:lang w:val="es-ES"/>
        </w:rPr>
        <w:t>en la pieza 3 del expediente electrónico</w:t>
      </w:r>
      <w:r w:rsidRPr="00390054">
        <w:rPr>
          <w:rFonts w:ascii="Arial" w:hAnsi="Arial" w:cs="Arial"/>
          <w:sz w:val="16"/>
          <w:szCs w:val="16"/>
        </w:rPr>
        <w:t>.</w:t>
      </w:r>
    </w:p>
    <w:p w14:paraId="56F0D4CE" w14:textId="77777777" w:rsidR="003E2B14" w:rsidRPr="00390054" w:rsidRDefault="003E2B14" w:rsidP="00390054">
      <w:pPr>
        <w:pStyle w:val="Textonotapie"/>
        <w:contextualSpacing/>
        <w:jc w:val="both"/>
        <w:rPr>
          <w:rFonts w:ascii="Arial" w:hAnsi="Arial" w:cs="Arial"/>
          <w:sz w:val="16"/>
          <w:szCs w:val="16"/>
        </w:rPr>
      </w:pPr>
    </w:p>
  </w:footnote>
  <w:footnote w:id="24">
    <w:p w14:paraId="2C32A828" w14:textId="77777777" w:rsidR="00D1553F" w:rsidRPr="00390054" w:rsidRDefault="00D1553F" w:rsidP="00390054">
      <w:pPr>
        <w:widowControl w:val="0"/>
        <w:spacing w:after="0" w:line="240" w:lineRule="auto"/>
        <w:ind w:left="567" w:hanging="567"/>
        <w:contextualSpacing/>
        <w:jc w:val="both"/>
        <w:rPr>
          <w:rFonts w:ascii="Arial" w:hAnsi="Arial" w:cs="Arial"/>
          <w:b/>
          <w:sz w:val="16"/>
          <w:szCs w:val="16"/>
        </w:rPr>
      </w:pPr>
      <w:r w:rsidRPr="00390054">
        <w:rPr>
          <w:rFonts w:ascii="Arial" w:hAnsi="Arial" w:cs="Arial"/>
          <w:sz w:val="16"/>
          <w:szCs w:val="16"/>
          <w:vertAlign w:val="superscript"/>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sz w:val="16"/>
          <w:szCs w:val="16"/>
        </w:rPr>
        <w:t>LEY 29571, CÓDIGO DE PROTECCIÓN Y DEFENSA DEL CONSUMIDOR, publicada el 2 de setiembre de 2010 y modificada por el Decreto Legislativo 1308, publicado el 30 de diciembre de 2016</w:t>
      </w:r>
    </w:p>
    <w:p w14:paraId="2E69D97A" w14:textId="77777777" w:rsidR="00D1553F" w:rsidRPr="00390054" w:rsidRDefault="00D1553F" w:rsidP="00390054">
      <w:pPr>
        <w:widowControl w:val="0"/>
        <w:spacing w:after="0" w:line="240" w:lineRule="auto"/>
        <w:ind w:left="567"/>
        <w:contextualSpacing/>
        <w:jc w:val="both"/>
        <w:rPr>
          <w:rFonts w:ascii="Arial" w:hAnsi="Arial" w:cs="Arial"/>
          <w:sz w:val="16"/>
          <w:szCs w:val="16"/>
        </w:rPr>
      </w:pPr>
      <w:r w:rsidRPr="00390054">
        <w:rPr>
          <w:rFonts w:ascii="Arial" w:hAnsi="Arial" w:cs="Arial"/>
          <w:b/>
          <w:sz w:val="16"/>
          <w:szCs w:val="16"/>
        </w:rPr>
        <w:t>DISPOSICIONES COMPLEMENTARIAS MODIFICATORIAS.</w:t>
      </w:r>
    </w:p>
    <w:p w14:paraId="2DC8FA15" w14:textId="77777777" w:rsidR="00D1553F" w:rsidRPr="00390054" w:rsidRDefault="00D1553F" w:rsidP="00390054">
      <w:pPr>
        <w:widowControl w:val="0"/>
        <w:spacing w:after="0" w:line="240" w:lineRule="auto"/>
        <w:ind w:left="567"/>
        <w:contextualSpacing/>
        <w:jc w:val="both"/>
        <w:rPr>
          <w:rFonts w:ascii="Arial" w:hAnsi="Arial" w:cs="Arial"/>
          <w:sz w:val="16"/>
          <w:szCs w:val="16"/>
        </w:rPr>
      </w:pPr>
      <w:r w:rsidRPr="00390054">
        <w:rPr>
          <w:rFonts w:ascii="Arial" w:hAnsi="Arial" w:cs="Arial"/>
          <w:b/>
          <w:sz w:val="16"/>
          <w:szCs w:val="16"/>
        </w:rPr>
        <w:t>PRIMERA. - Modificación del artículo 38º del Decreto Legislativo núm. 807</w:t>
      </w:r>
    </w:p>
    <w:p w14:paraId="122ECC87" w14:textId="77777777" w:rsidR="00D1553F" w:rsidRPr="00390054" w:rsidRDefault="00D1553F" w:rsidP="00390054">
      <w:pPr>
        <w:widowControl w:val="0"/>
        <w:spacing w:after="0" w:line="240" w:lineRule="auto"/>
        <w:ind w:left="567"/>
        <w:contextualSpacing/>
        <w:jc w:val="both"/>
        <w:rPr>
          <w:rFonts w:ascii="Arial" w:hAnsi="Arial" w:cs="Arial"/>
          <w:sz w:val="16"/>
          <w:szCs w:val="16"/>
        </w:rPr>
      </w:pPr>
      <w:r w:rsidRPr="00390054">
        <w:rPr>
          <w:rFonts w:ascii="Arial" w:hAnsi="Arial" w:cs="Arial"/>
          <w:sz w:val="16"/>
          <w:szCs w:val="16"/>
        </w:rPr>
        <w:t>Modificase el artículo 38º del Decreto Legislativo núm. 807, Ley sobre Facultades, Normas y Organización del Indecopi, con el siguiente texto:</w:t>
      </w:r>
    </w:p>
    <w:p w14:paraId="286902CE" w14:textId="77777777" w:rsidR="00D1553F" w:rsidRPr="00390054" w:rsidRDefault="00D1553F" w:rsidP="00390054">
      <w:pPr>
        <w:widowControl w:val="0"/>
        <w:spacing w:after="0" w:line="240" w:lineRule="auto"/>
        <w:ind w:left="567"/>
        <w:contextualSpacing/>
        <w:jc w:val="both"/>
        <w:rPr>
          <w:rFonts w:ascii="Arial" w:hAnsi="Arial" w:cs="Arial"/>
          <w:sz w:val="16"/>
          <w:szCs w:val="16"/>
        </w:rPr>
      </w:pPr>
      <w:r w:rsidRPr="00390054">
        <w:rPr>
          <w:rFonts w:ascii="Arial" w:hAnsi="Arial" w:cs="Arial"/>
          <w:sz w:val="16"/>
          <w:szCs w:val="16"/>
        </w:rPr>
        <w:t>“</w:t>
      </w:r>
      <w:r w:rsidRPr="00390054">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390054">
        <w:rPr>
          <w:rFonts w:ascii="Arial" w:hAnsi="Arial" w:cs="Arial"/>
          <w:sz w:val="16"/>
          <w:szCs w:val="16"/>
        </w:rPr>
        <w:t xml:space="preserve"> (…)”.</w:t>
      </w:r>
    </w:p>
    <w:p w14:paraId="5F9D4F4F" w14:textId="77777777" w:rsidR="00D1553F" w:rsidRPr="00390054" w:rsidRDefault="00D1553F" w:rsidP="00390054">
      <w:pPr>
        <w:widowControl w:val="0"/>
        <w:spacing w:after="0" w:line="240" w:lineRule="auto"/>
        <w:ind w:left="567"/>
        <w:contextualSpacing/>
        <w:jc w:val="both"/>
        <w:rPr>
          <w:rFonts w:ascii="Arial" w:hAnsi="Arial" w:cs="Arial"/>
          <w:sz w:val="16"/>
          <w:szCs w:val="16"/>
        </w:rPr>
      </w:pPr>
    </w:p>
  </w:footnote>
  <w:footnote w:id="25">
    <w:p w14:paraId="30F86590" w14:textId="77777777" w:rsidR="00D1553F" w:rsidRPr="00390054" w:rsidRDefault="00D1553F" w:rsidP="00390054">
      <w:pPr>
        <w:spacing w:after="0" w:line="240" w:lineRule="auto"/>
        <w:ind w:left="567" w:hanging="582"/>
        <w:contextualSpacing/>
        <w:jc w:val="both"/>
        <w:rPr>
          <w:rFonts w:ascii="Arial" w:hAnsi="Arial" w:cs="Arial"/>
          <w:b/>
          <w:sz w:val="16"/>
          <w:szCs w:val="16"/>
        </w:rPr>
      </w:pPr>
      <w:r w:rsidRPr="00390054">
        <w:rPr>
          <w:rFonts w:ascii="Arial" w:hAnsi="Arial" w:cs="Arial"/>
          <w:sz w:val="16"/>
          <w:szCs w:val="16"/>
          <w:vertAlign w:val="superscript"/>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sz w:val="16"/>
          <w:szCs w:val="16"/>
        </w:rPr>
        <w:t xml:space="preserve">DECRETO SUPREMO </w:t>
      </w:r>
      <w:proofErr w:type="spellStart"/>
      <w:r w:rsidRPr="00390054">
        <w:rPr>
          <w:rFonts w:ascii="Arial" w:hAnsi="Arial" w:cs="Arial"/>
          <w:b/>
          <w:sz w:val="16"/>
          <w:szCs w:val="16"/>
        </w:rPr>
        <w:t>N°</w:t>
      </w:r>
      <w:proofErr w:type="spellEnd"/>
      <w:r w:rsidRPr="00390054">
        <w:rPr>
          <w:rFonts w:ascii="Arial" w:hAnsi="Arial" w:cs="Arial"/>
          <w:b/>
          <w:sz w:val="16"/>
          <w:szCs w:val="16"/>
        </w:rPr>
        <w:t xml:space="preserve"> 004-2019-JUS, TEXTO ÚNICO ORDENADO DE LA LEY DEL PROCEDIMIENTO ADMINISTRATIVO GENERAL, publicado el 25 de enero de 2019</w:t>
      </w:r>
    </w:p>
    <w:p w14:paraId="445D1350" w14:textId="77777777" w:rsidR="00D1553F" w:rsidRPr="00390054" w:rsidRDefault="00D1553F" w:rsidP="00390054">
      <w:pPr>
        <w:spacing w:after="0" w:line="240" w:lineRule="auto"/>
        <w:ind w:left="567"/>
        <w:contextualSpacing/>
        <w:jc w:val="both"/>
        <w:rPr>
          <w:rFonts w:ascii="Arial" w:hAnsi="Arial" w:cs="Arial"/>
          <w:b/>
          <w:sz w:val="16"/>
          <w:szCs w:val="16"/>
        </w:rPr>
      </w:pPr>
      <w:r w:rsidRPr="00390054">
        <w:rPr>
          <w:rFonts w:ascii="Arial" w:hAnsi="Arial" w:cs="Arial"/>
          <w:b/>
          <w:sz w:val="16"/>
          <w:szCs w:val="16"/>
        </w:rPr>
        <w:t>Artículo 218.- Recursos administrativos</w:t>
      </w:r>
    </w:p>
    <w:p w14:paraId="41BAC146" w14:textId="77777777" w:rsidR="00D1553F" w:rsidRPr="00390054" w:rsidRDefault="00D1553F" w:rsidP="00390054">
      <w:pPr>
        <w:spacing w:after="0" w:line="240" w:lineRule="auto"/>
        <w:ind w:left="1134" w:hanging="567"/>
        <w:contextualSpacing/>
        <w:jc w:val="both"/>
        <w:rPr>
          <w:rFonts w:ascii="Arial" w:hAnsi="Arial" w:cs="Arial"/>
          <w:sz w:val="16"/>
          <w:szCs w:val="16"/>
        </w:rPr>
      </w:pPr>
      <w:r w:rsidRPr="00390054">
        <w:rPr>
          <w:rFonts w:ascii="Arial" w:hAnsi="Arial" w:cs="Arial"/>
          <w:sz w:val="16"/>
          <w:szCs w:val="16"/>
        </w:rPr>
        <w:t xml:space="preserve">218.1 </w:t>
      </w:r>
      <w:r w:rsidRPr="00390054">
        <w:rPr>
          <w:rFonts w:ascii="Arial" w:hAnsi="Arial" w:cs="Arial"/>
          <w:sz w:val="16"/>
          <w:szCs w:val="16"/>
        </w:rPr>
        <w:tab/>
        <w:t>Los recursos administrativos son:</w:t>
      </w:r>
    </w:p>
    <w:p w14:paraId="349572C5" w14:textId="77777777" w:rsidR="00D1553F" w:rsidRPr="00390054" w:rsidRDefault="00D1553F" w:rsidP="00390054">
      <w:pPr>
        <w:spacing w:after="0" w:line="240" w:lineRule="auto"/>
        <w:ind w:left="1418" w:hanging="284"/>
        <w:contextualSpacing/>
        <w:jc w:val="both"/>
        <w:rPr>
          <w:rFonts w:ascii="Arial" w:hAnsi="Arial" w:cs="Arial"/>
          <w:sz w:val="16"/>
          <w:szCs w:val="16"/>
        </w:rPr>
      </w:pPr>
      <w:r w:rsidRPr="00390054">
        <w:rPr>
          <w:rFonts w:ascii="Arial" w:hAnsi="Arial" w:cs="Arial"/>
          <w:sz w:val="16"/>
          <w:szCs w:val="16"/>
        </w:rPr>
        <w:t>(…)</w:t>
      </w:r>
    </w:p>
    <w:p w14:paraId="6460CF53" w14:textId="77777777" w:rsidR="00D1553F" w:rsidRPr="00390054" w:rsidRDefault="00D1553F" w:rsidP="00390054">
      <w:pPr>
        <w:spacing w:after="0" w:line="240" w:lineRule="auto"/>
        <w:ind w:left="1418" w:hanging="284"/>
        <w:contextualSpacing/>
        <w:jc w:val="both"/>
        <w:rPr>
          <w:rFonts w:ascii="Arial" w:hAnsi="Arial" w:cs="Arial"/>
          <w:sz w:val="16"/>
          <w:szCs w:val="16"/>
        </w:rPr>
      </w:pPr>
      <w:r w:rsidRPr="00390054">
        <w:rPr>
          <w:rFonts w:ascii="Arial" w:hAnsi="Arial" w:cs="Arial"/>
          <w:sz w:val="16"/>
          <w:szCs w:val="16"/>
        </w:rPr>
        <w:t xml:space="preserve">b) </w:t>
      </w:r>
      <w:r w:rsidRPr="00390054">
        <w:rPr>
          <w:rFonts w:ascii="Arial" w:hAnsi="Arial" w:cs="Arial"/>
          <w:sz w:val="16"/>
          <w:szCs w:val="16"/>
        </w:rPr>
        <w:tab/>
        <w:t>Recurso de apelación</w:t>
      </w:r>
    </w:p>
    <w:p w14:paraId="70FE823C" w14:textId="77777777" w:rsidR="00D1553F" w:rsidRPr="00390054" w:rsidRDefault="00D1553F" w:rsidP="00390054">
      <w:pPr>
        <w:spacing w:after="0" w:line="240" w:lineRule="auto"/>
        <w:ind w:left="1134" w:hanging="141"/>
        <w:contextualSpacing/>
        <w:jc w:val="both"/>
        <w:rPr>
          <w:rFonts w:ascii="Arial" w:hAnsi="Arial" w:cs="Arial"/>
          <w:sz w:val="16"/>
          <w:szCs w:val="16"/>
        </w:rPr>
      </w:pPr>
      <w:r w:rsidRPr="00390054">
        <w:rPr>
          <w:rFonts w:ascii="Arial" w:hAnsi="Arial" w:cs="Arial"/>
          <w:sz w:val="16"/>
          <w:szCs w:val="16"/>
        </w:rPr>
        <w:tab/>
        <w:t>(…)</w:t>
      </w:r>
    </w:p>
    <w:p w14:paraId="6ED724E4" w14:textId="77777777" w:rsidR="00D1553F" w:rsidRPr="00390054" w:rsidRDefault="00D1553F" w:rsidP="00390054">
      <w:pPr>
        <w:spacing w:after="0" w:line="240" w:lineRule="auto"/>
        <w:ind w:left="1134" w:hanging="567"/>
        <w:contextualSpacing/>
        <w:jc w:val="both"/>
        <w:rPr>
          <w:rFonts w:ascii="Arial" w:hAnsi="Arial" w:cs="Arial"/>
          <w:sz w:val="16"/>
          <w:szCs w:val="16"/>
        </w:rPr>
      </w:pPr>
      <w:r w:rsidRPr="00390054">
        <w:rPr>
          <w:rFonts w:ascii="Arial" w:hAnsi="Arial" w:cs="Arial"/>
          <w:sz w:val="16"/>
          <w:szCs w:val="16"/>
        </w:rPr>
        <w:t xml:space="preserve">218.2 </w:t>
      </w:r>
      <w:r w:rsidRPr="00390054">
        <w:rPr>
          <w:rFonts w:ascii="Arial" w:hAnsi="Arial" w:cs="Arial"/>
          <w:sz w:val="16"/>
          <w:szCs w:val="16"/>
        </w:rPr>
        <w:tab/>
        <w:t>El término para la interposición de los recursos es de quince (15) días perentorios (…).</w:t>
      </w:r>
    </w:p>
    <w:p w14:paraId="4EAF2AA6" w14:textId="77777777" w:rsidR="00D1553F" w:rsidRPr="00390054" w:rsidRDefault="00D1553F" w:rsidP="00390054">
      <w:pPr>
        <w:spacing w:after="0" w:line="240" w:lineRule="auto"/>
        <w:ind w:left="1134" w:hanging="567"/>
        <w:contextualSpacing/>
        <w:jc w:val="both"/>
        <w:rPr>
          <w:rFonts w:ascii="Arial" w:hAnsi="Arial" w:cs="Arial"/>
          <w:sz w:val="16"/>
          <w:szCs w:val="16"/>
        </w:rPr>
      </w:pPr>
    </w:p>
  </w:footnote>
  <w:footnote w:id="26">
    <w:p w14:paraId="31040AD5" w14:textId="77777777" w:rsidR="00D1553F" w:rsidRPr="00390054" w:rsidRDefault="00D1553F" w:rsidP="00390054">
      <w:pPr>
        <w:spacing w:after="0" w:line="240" w:lineRule="auto"/>
        <w:ind w:left="567" w:hanging="582"/>
        <w:contextualSpacing/>
        <w:jc w:val="both"/>
        <w:rPr>
          <w:rFonts w:ascii="Arial" w:hAnsi="Arial" w:cs="Arial"/>
          <w:b/>
          <w:sz w:val="16"/>
          <w:szCs w:val="16"/>
        </w:rPr>
      </w:pPr>
      <w:r w:rsidRPr="00390054">
        <w:rPr>
          <w:rStyle w:val="Refdenotaalpie"/>
          <w:rFonts w:ascii="Arial" w:hAnsi="Arial" w:cs="Arial"/>
          <w:sz w:val="16"/>
          <w:szCs w:val="16"/>
          <w:lang w:val="es-ES"/>
        </w:rPr>
        <w:footnoteRef/>
      </w:r>
      <w:r w:rsidRPr="00390054">
        <w:rPr>
          <w:rFonts w:ascii="Arial" w:hAnsi="Arial" w:cs="Arial"/>
          <w:sz w:val="16"/>
          <w:szCs w:val="16"/>
        </w:rPr>
        <w:t xml:space="preserve"> </w:t>
      </w:r>
      <w:r w:rsidRPr="00390054">
        <w:rPr>
          <w:rFonts w:ascii="Arial" w:hAnsi="Arial" w:cs="Arial"/>
          <w:sz w:val="16"/>
          <w:szCs w:val="16"/>
        </w:rPr>
        <w:tab/>
      </w:r>
      <w:r w:rsidRPr="00390054">
        <w:rPr>
          <w:rFonts w:ascii="Arial" w:hAnsi="Arial" w:cs="Arial"/>
          <w:b/>
          <w:sz w:val="16"/>
          <w:szCs w:val="16"/>
        </w:rPr>
        <w:t xml:space="preserve">DECRETO SUPREMO </w:t>
      </w:r>
      <w:proofErr w:type="spellStart"/>
      <w:r w:rsidRPr="00390054">
        <w:rPr>
          <w:rFonts w:ascii="Arial" w:hAnsi="Arial" w:cs="Arial"/>
          <w:b/>
          <w:sz w:val="16"/>
          <w:szCs w:val="16"/>
        </w:rPr>
        <w:t>N°</w:t>
      </w:r>
      <w:proofErr w:type="spellEnd"/>
      <w:r w:rsidRPr="00390054">
        <w:rPr>
          <w:rFonts w:ascii="Arial" w:hAnsi="Arial" w:cs="Arial"/>
          <w:b/>
          <w:sz w:val="16"/>
          <w:szCs w:val="16"/>
        </w:rPr>
        <w:t xml:space="preserve"> 004-2019-JUS, TEXTO ÚNICO ORDENADO DE LA LEY DEL PROCEDIMIENTO ADMINISTRATIVO GENERAL, publicado el 25 de enero de 2019</w:t>
      </w:r>
    </w:p>
    <w:p w14:paraId="03204FC5" w14:textId="77777777" w:rsidR="00D1553F" w:rsidRPr="00390054" w:rsidRDefault="00D1553F" w:rsidP="00390054">
      <w:pPr>
        <w:spacing w:after="0" w:line="240" w:lineRule="auto"/>
        <w:ind w:left="567" w:hanging="582"/>
        <w:contextualSpacing/>
        <w:jc w:val="both"/>
        <w:rPr>
          <w:rFonts w:ascii="Arial" w:hAnsi="Arial" w:cs="Arial"/>
          <w:b/>
          <w:bCs/>
          <w:sz w:val="16"/>
          <w:szCs w:val="16"/>
        </w:rPr>
      </w:pPr>
      <w:r w:rsidRPr="00390054">
        <w:rPr>
          <w:rFonts w:ascii="Arial" w:hAnsi="Arial" w:cs="Arial"/>
          <w:b/>
          <w:bCs/>
          <w:sz w:val="16"/>
          <w:szCs w:val="16"/>
        </w:rPr>
        <w:tab/>
        <w:t>Artículo 222.- Acto firme</w:t>
      </w:r>
    </w:p>
    <w:p w14:paraId="09A0E980" w14:textId="77777777" w:rsidR="00D1553F" w:rsidRPr="00390054" w:rsidRDefault="00D1553F" w:rsidP="00390054">
      <w:pPr>
        <w:spacing w:after="0" w:line="240" w:lineRule="auto"/>
        <w:ind w:left="567" w:hanging="582"/>
        <w:contextualSpacing/>
        <w:jc w:val="both"/>
        <w:rPr>
          <w:rFonts w:ascii="Arial" w:hAnsi="Arial" w:cs="Arial"/>
          <w:sz w:val="16"/>
          <w:szCs w:val="16"/>
        </w:rPr>
      </w:pPr>
      <w:r w:rsidRPr="00390054">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E895" w14:textId="075D07DF" w:rsidR="00354FDD" w:rsidRDefault="00354FDD" w:rsidP="00354FDD">
    <w:pPr>
      <w:pStyle w:val="Encabezado"/>
    </w:pPr>
  </w:p>
  <w:p w14:paraId="1B4DEB21" w14:textId="1703993B" w:rsidR="0024233D" w:rsidRPr="003D06DB" w:rsidRDefault="00354FDD" w:rsidP="009A087F">
    <w:pPr>
      <w:spacing w:after="0" w:line="240" w:lineRule="auto"/>
      <w:jc w:val="right"/>
      <w:rPr>
        <w:sz w:val="15"/>
        <w:szCs w:val="15"/>
      </w:rPr>
    </w:pPr>
    <w:r>
      <w:rPr>
        <w:noProof/>
      </w:rPr>
      <w:drawing>
        <wp:anchor distT="0" distB="0" distL="114300" distR="114300" simplePos="0" relativeHeight="251658240" behindDoc="0" locked="0" layoutInCell="1" allowOverlap="1" wp14:anchorId="1B8632BB" wp14:editId="6FA67E2F">
          <wp:simplePos x="0" y="0"/>
          <wp:positionH relativeFrom="column">
            <wp:posOffset>4445</wp:posOffset>
          </wp:positionH>
          <wp:positionV relativeFrom="paragraph">
            <wp:posOffset>17780</wp:posOffset>
          </wp:positionV>
          <wp:extent cx="3429000" cy="514350"/>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24233D" w:rsidRPr="003D06DB">
      <w:rPr>
        <w:rFonts w:ascii="Arial Narrow" w:eastAsia="Arial Narrow" w:hAnsi="Arial Narrow" w:cs="Arial Narrow"/>
        <w:b/>
        <w:i/>
        <w:sz w:val="15"/>
        <w:szCs w:val="15"/>
      </w:rPr>
      <w:t xml:space="preserve">COMISIÓN DE PROTECCIÓN AL CONSUMIDOR </w:t>
    </w:r>
    <w:proofErr w:type="spellStart"/>
    <w:r w:rsidR="0024233D" w:rsidRPr="003D06DB">
      <w:rPr>
        <w:rFonts w:ascii="Arial Narrow" w:eastAsia="Arial Narrow" w:hAnsi="Arial Narrow" w:cs="Arial Narrow"/>
        <w:b/>
        <w:i/>
        <w:sz w:val="15"/>
        <w:szCs w:val="15"/>
      </w:rPr>
      <w:t>Nº</w:t>
    </w:r>
    <w:proofErr w:type="spellEnd"/>
    <w:r w:rsidR="0024233D" w:rsidRPr="003D06DB">
      <w:rPr>
        <w:rFonts w:ascii="Arial Narrow" w:eastAsia="Arial Narrow" w:hAnsi="Arial Narrow" w:cs="Arial Narrow"/>
        <w:b/>
        <w:i/>
        <w:sz w:val="15"/>
        <w:szCs w:val="15"/>
      </w:rPr>
      <w:t xml:space="preserve"> 1</w:t>
    </w:r>
  </w:p>
  <w:p w14:paraId="1B4DEB22" w14:textId="77777777" w:rsidR="0024233D" w:rsidRPr="003D06DB" w:rsidRDefault="0024233D" w:rsidP="009A087F">
    <w:pPr>
      <w:spacing w:after="0" w:line="240" w:lineRule="auto"/>
      <w:jc w:val="right"/>
      <w:rPr>
        <w:sz w:val="15"/>
        <w:szCs w:val="15"/>
      </w:rPr>
    </w:pPr>
    <w:r w:rsidRPr="003D06DB">
      <w:rPr>
        <w:rFonts w:ascii="Arial Narrow" w:eastAsia="Arial Narrow" w:hAnsi="Arial Narrow" w:cs="Arial Narrow"/>
        <w:b/>
        <w:i/>
        <w:sz w:val="15"/>
        <w:szCs w:val="15"/>
      </w:rPr>
      <w:t>SEDE CENTRAL</w:t>
    </w:r>
  </w:p>
  <w:p w14:paraId="1B4DEB23" w14:textId="77777777" w:rsidR="0024233D" w:rsidRPr="003D06DB" w:rsidRDefault="0024233D" w:rsidP="009A087F">
    <w:pPr>
      <w:spacing w:after="0" w:line="240" w:lineRule="auto"/>
      <w:jc w:val="right"/>
      <w:rPr>
        <w:sz w:val="15"/>
        <w:szCs w:val="15"/>
      </w:rPr>
    </w:pPr>
  </w:p>
  <w:p w14:paraId="1B4DEB24" w14:textId="3837AC9D" w:rsidR="0024233D" w:rsidRDefault="0024233D" w:rsidP="009A087F">
    <w:pPr>
      <w:spacing w:after="0" w:line="240" w:lineRule="auto"/>
      <w:jc w:val="right"/>
      <w:rPr>
        <w:rFonts w:ascii="Arial Narrow" w:eastAsia="Arial Narrow" w:hAnsi="Arial Narrow" w:cs="Arial Narrow"/>
        <w:b/>
        <w:i/>
        <w:sz w:val="15"/>
        <w:szCs w:val="15"/>
      </w:rPr>
    </w:pPr>
    <w:r w:rsidRPr="003D06DB">
      <w:rPr>
        <w:rFonts w:ascii="Arial Narrow" w:eastAsia="Arial Narrow" w:hAnsi="Arial Narrow" w:cs="Arial Narrow"/>
        <w:b/>
        <w:i/>
        <w:sz w:val="15"/>
        <w:szCs w:val="15"/>
      </w:rPr>
      <w:t xml:space="preserve">EXPEDIENTE </w:t>
    </w:r>
    <w:proofErr w:type="spellStart"/>
    <w:r w:rsidRPr="003D06DB">
      <w:rPr>
        <w:rFonts w:ascii="Arial Narrow" w:eastAsia="Arial Narrow" w:hAnsi="Arial Narrow" w:cs="Arial Narrow"/>
        <w:b/>
        <w:i/>
        <w:sz w:val="15"/>
        <w:szCs w:val="15"/>
      </w:rPr>
      <w:t>Nº</w:t>
    </w:r>
    <w:proofErr w:type="spellEnd"/>
    <w:r w:rsidRPr="003D06DB">
      <w:rPr>
        <w:rFonts w:ascii="Arial Narrow" w:eastAsia="Arial Narrow" w:hAnsi="Arial Narrow" w:cs="Arial Narrow"/>
        <w:b/>
        <w:i/>
        <w:sz w:val="15"/>
        <w:szCs w:val="15"/>
      </w:rPr>
      <w:t xml:space="preserve"> </w:t>
    </w:r>
    <w:r w:rsidR="0016596D">
      <w:rPr>
        <w:rFonts w:ascii="Arial Narrow" w:eastAsia="Arial Narrow" w:hAnsi="Arial Narrow" w:cs="Arial Narrow"/>
        <w:b/>
        <w:i/>
        <w:sz w:val="15"/>
        <w:szCs w:val="15"/>
      </w:rPr>
      <w:t>0267</w:t>
    </w:r>
    <w:r w:rsidR="00086D19">
      <w:rPr>
        <w:rFonts w:ascii="Arial Narrow" w:eastAsia="Arial Narrow" w:hAnsi="Arial Narrow" w:cs="Arial Narrow"/>
        <w:b/>
        <w:i/>
        <w:sz w:val="15"/>
        <w:szCs w:val="15"/>
      </w:rPr>
      <w:t>-202</w:t>
    </w:r>
    <w:r w:rsidR="0016596D">
      <w:rPr>
        <w:rFonts w:ascii="Arial Narrow" w:eastAsia="Arial Narrow" w:hAnsi="Arial Narrow" w:cs="Arial Narrow"/>
        <w:b/>
        <w:i/>
        <w:sz w:val="15"/>
        <w:szCs w:val="15"/>
      </w:rPr>
      <w:t>5</w:t>
    </w:r>
    <w:r w:rsidRPr="003D06DB">
      <w:rPr>
        <w:rFonts w:ascii="Arial Narrow" w:eastAsia="Arial Narrow" w:hAnsi="Arial Narrow" w:cs="Arial Narrow"/>
        <w:b/>
        <w:i/>
        <w:sz w:val="15"/>
        <w:szCs w:val="15"/>
      </w:rPr>
      <w:t>/CC1</w:t>
    </w:r>
  </w:p>
  <w:p w14:paraId="2FB297F9" w14:textId="717CEB38" w:rsidR="0024233D" w:rsidRDefault="0024233D" w:rsidP="009A087F">
    <w:pPr>
      <w:spacing w:after="0" w:line="240" w:lineRule="auto"/>
      <w:jc w:val="right"/>
      <w:rPr>
        <w:rFonts w:ascii="Arial Narrow" w:eastAsia="Arial Narrow" w:hAnsi="Arial Narrow" w:cs="Arial Narrow"/>
        <w:b/>
        <w:i/>
        <w:sz w:val="15"/>
        <w:szCs w:val="15"/>
      </w:rPr>
    </w:pPr>
  </w:p>
  <w:p w14:paraId="1B4DEB25" w14:textId="77777777" w:rsidR="0024233D" w:rsidRDefault="002423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16C15"/>
    <w:multiLevelType w:val="hybridMultilevel"/>
    <w:tmpl w:val="4AF863B4"/>
    <w:lvl w:ilvl="0" w:tplc="4A144892">
      <w:start w:val="1"/>
      <w:numFmt w:val="lowerRoman"/>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 w15:restartNumberingAfterBreak="0">
    <w:nsid w:val="318A2581"/>
    <w:multiLevelType w:val="hybridMultilevel"/>
    <w:tmpl w:val="31A4DFB6"/>
    <w:styleLink w:val="List1"/>
    <w:lvl w:ilvl="0" w:tplc="BD922B3C">
      <w:start w:val="1"/>
      <w:numFmt w:val="upperRoman"/>
      <w:lvlText w:val="%1."/>
      <w:lvlJc w:val="left"/>
      <w:pPr>
        <w:tabs>
          <w:tab w:val="num" w:pos="960"/>
        </w:tabs>
        <w:ind w:left="960" w:hanging="600"/>
      </w:pPr>
      <w:rPr>
        <w:position w:val="0"/>
        <w:sz w:val="20"/>
        <w:szCs w:val="20"/>
        <w:rtl w:val="0"/>
      </w:rPr>
    </w:lvl>
    <w:lvl w:ilvl="1" w:tplc="E63AD3DA">
      <w:start w:val="1"/>
      <w:numFmt w:val="decimal"/>
      <w:lvlText w:val="%2."/>
      <w:lvlJc w:val="left"/>
      <w:pPr>
        <w:tabs>
          <w:tab w:val="num" w:pos="567"/>
        </w:tabs>
        <w:ind w:left="567" w:hanging="567"/>
      </w:pPr>
      <w:rPr>
        <w:position w:val="0"/>
        <w:sz w:val="20"/>
        <w:szCs w:val="20"/>
        <w:rtl w:val="0"/>
      </w:rPr>
    </w:lvl>
    <w:lvl w:ilvl="2" w:tplc="D4AA1832">
      <w:start w:val="1"/>
      <w:numFmt w:val="lowerRoman"/>
      <w:lvlText w:val="(%3)"/>
      <w:lvlJc w:val="left"/>
      <w:pPr>
        <w:tabs>
          <w:tab w:val="num" w:pos="3553"/>
        </w:tabs>
        <w:ind w:left="3553" w:hanging="150"/>
      </w:pPr>
      <w:rPr>
        <w:position w:val="0"/>
        <w:sz w:val="20"/>
        <w:szCs w:val="20"/>
        <w:rtl w:val="0"/>
      </w:rPr>
    </w:lvl>
    <w:lvl w:ilvl="3" w:tplc="B9184152">
      <w:start w:val="1"/>
      <w:numFmt w:val="lowerRoman"/>
      <w:lvlText w:val="(%4)"/>
      <w:lvlJc w:val="left"/>
      <w:pPr>
        <w:tabs>
          <w:tab w:val="num" w:pos="726"/>
        </w:tabs>
        <w:ind w:left="726" w:hanging="300"/>
      </w:pPr>
      <w:rPr>
        <w:position w:val="0"/>
        <w:sz w:val="20"/>
        <w:szCs w:val="20"/>
        <w:rtl w:val="0"/>
      </w:rPr>
    </w:lvl>
    <w:lvl w:ilvl="4" w:tplc="599ADF40">
      <w:start w:val="1"/>
      <w:numFmt w:val="lowerLetter"/>
      <w:lvlText w:val="%5."/>
      <w:lvlJc w:val="left"/>
      <w:pPr>
        <w:tabs>
          <w:tab w:val="num" w:pos="3540"/>
        </w:tabs>
        <w:ind w:left="3540" w:hanging="300"/>
      </w:pPr>
      <w:rPr>
        <w:position w:val="0"/>
        <w:sz w:val="20"/>
        <w:szCs w:val="20"/>
        <w:rtl w:val="0"/>
      </w:rPr>
    </w:lvl>
    <w:lvl w:ilvl="5" w:tplc="2D185B60">
      <w:start w:val="1"/>
      <w:numFmt w:val="lowerRoman"/>
      <w:lvlText w:val="%6."/>
      <w:lvlJc w:val="left"/>
      <w:pPr>
        <w:tabs>
          <w:tab w:val="num" w:pos="4271"/>
        </w:tabs>
        <w:ind w:left="4271" w:hanging="247"/>
      </w:pPr>
      <w:rPr>
        <w:position w:val="0"/>
        <w:sz w:val="20"/>
        <w:szCs w:val="20"/>
        <w:rtl w:val="0"/>
      </w:rPr>
    </w:lvl>
    <w:lvl w:ilvl="6" w:tplc="DAD4A9D6">
      <w:start w:val="1"/>
      <w:numFmt w:val="decimal"/>
      <w:lvlText w:val="%7."/>
      <w:lvlJc w:val="left"/>
      <w:pPr>
        <w:tabs>
          <w:tab w:val="num" w:pos="4980"/>
        </w:tabs>
        <w:ind w:left="4980" w:hanging="300"/>
      </w:pPr>
      <w:rPr>
        <w:position w:val="0"/>
        <w:sz w:val="20"/>
        <w:szCs w:val="20"/>
        <w:rtl w:val="0"/>
      </w:rPr>
    </w:lvl>
    <w:lvl w:ilvl="7" w:tplc="F416709A">
      <w:start w:val="1"/>
      <w:numFmt w:val="lowerLetter"/>
      <w:lvlText w:val="%8."/>
      <w:lvlJc w:val="left"/>
      <w:pPr>
        <w:tabs>
          <w:tab w:val="num" w:pos="5700"/>
        </w:tabs>
        <w:ind w:left="5700" w:hanging="300"/>
      </w:pPr>
      <w:rPr>
        <w:position w:val="0"/>
        <w:sz w:val="20"/>
        <w:szCs w:val="20"/>
        <w:rtl w:val="0"/>
      </w:rPr>
    </w:lvl>
    <w:lvl w:ilvl="8" w:tplc="3A24BEB8">
      <w:start w:val="1"/>
      <w:numFmt w:val="lowerRoman"/>
      <w:lvlText w:val="%9."/>
      <w:lvlJc w:val="left"/>
      <w:pPr>
        <w:tabs>
          <w:tab w:val="num" w:pos="6431"/>
        </w:tabs>
        <w:ind w:left="6431" w:hanging="247"/>
      </w:pPr>
      <w:rPr>
        <w:position w:val="0"/>
        <w:sz w:val="20"/>
        <w:szCs w:val="20"/>
        <w:rtl w:val="0"/>
      </w:rPr>
    </w:lvl>
  </w:abstractNum>
  <w:abstractNum w:abstractNumId="2" w15:restartNumberingAfterBreak="0">
    <w:nsid w:val="327C7D16"/>
    <w:multiLevelType w:val="hybridMultilevel"/>
    <w:tmpl w:val="710C4D40"/>
    <w:lvl w:ilvl="0" w:tplc="2304B6FC">
      <w:start w:val="1"/>
      <w:numFmt w:val="bullet"/>
      <w:lvlText w:val=""/>
      <w:lvlJc w:val="left"/>
      <w:pPr>
        <w:ind w:left="1287" w:hanging="360"/>
      </w:pPr>
      <w:rPr>
        <w:rFonts w:ascii="Symbol" w:hAnsi="Symbol" w:hint="default"/>
        <w:b/>
        <w:bCs w:val="0"/>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 w15:restartNumberingAfterBreak="0">
    <w:nsid w:val="39953881"/>
    <w:multiLevelType w:val="multilevel"/>
    <w:tmpl w:val="76540712"/>
    <w:lvl w:ilvl="0">
      <w:start w:val="1"/>
      <w:numFmt w:val="decimal"/>
      <w:lvlText w:val="%1."/>
      <w:lvlJc w:val="left"/>
      <w:pPr>
        <w:ind w:left="633" w:firstLine="1210"/>
      </w:pPr>
      <w:rPr>
        <w:rFonts w:ascii="Arial" w:eastAsia="Arial" w:hAnsi="Arial" w:cs="Arial"/>
        <w:b w:val="0"/>
        <w:i w:val="0"/>
        <w:sz w:val="22"/>
        <w:szCs w:val="22"/>
      </w:rPr>
    </w:lvl>
    <w:lvl w:ilvl="1">
      <w:start w:val="1"/>
      <w:numFmt w:val="lowerLetter"/>
      <w:lvlText w:val="%2."/>
      <w:lvlJc w:val="left"/>
      <w:pPr>
        <w:ind w:left="1440" w:firstLine="2520"/>
      </w:pPr>
    </w:lvl>
    <w:lvl w:ilvl="2">
      <w:start w:val="1"/>
      <w:numFmt w:val="lowerRoman"/>
      <w:lvlText w:val="%3)"/>
      <w:lvlJc w:val="left"/>
      <w:pPr>
        <w:ind w:left="2700" w:firstLine="4680"/>
      </w:pPr>
    </w:lvl>
    <w:lvl w:ilvl="3">
      <w:start w:val="1"/>
      <w:numFmt w:val="bullet"/>
      <w:lvlText w:val="●"/>
      <w:lvlJc w:val="left"/>
      <w:pPr>
        <w:ind w:left="-4909" w:firstLine="5760"/>
      </w:pPr>
      <w:rPr>
        <w:rFonts w:ascii="Noto Sans Symbols" w:eastAsia="Noto Sans Symbols" w:hAnsi="Noto Sans Symbols" w:cs="Noto Sans Symbols"/>
      </w:rPr>
    </w:lvl>
    <w:lvl w:ilvl="4">
      <w:start w:val="1"/>
      <w:numFmt w:val="lowerLetter"/>
      <w:lvlText w:val="%5)"/>
      <w:lvlJc w:val="left"/>
      <w:pPr>
        <w:ind w:left="1212" w:hanging="360"/>
      </w:pPr>
      <w:rPr>
        <w:b w:val="0"/>
        <w:bCs w:val="0"/>
      </w:rPr>
    </w:lvl>
    <w:lvl w:ilvl="5">
      <w:start w:val="1"/>
      <w:numFmt w:val="upperRoman"/>
      <w:lvlText w:val="(%6)"/>
      <w:lvlJc w:val="left"/>
      <w:pPr>
        <w:ind w:left="4860" w:firstLine="900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4" w15:restartNumberingAfterBreak="0">
    <w:nsid w:val="3B4B74E9"/>
    <w:multiLevelType w:val="hybridMultilevel"/>
    <w:tmpl w:val="290C1010"/>
    <w:lvl w:ilvl="0" w:tplc="74F20A56">
      <w:start w:val="1"/>
      <w:numFmt w:val="bullet"/>
      <w:lvlText w:val=""/>
      <w:lvlJc w:val="left"/>
      <w:pPr>
        <w:ind w:left="720" w:hanging="360"/>
      </w:pPr>
      <w:rPr>
        <w:rFonts w:ascii="Symbol" w:hAnsi="Symbol" w:hint="default"/>
        <w:b/>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BE036D2"/>
    <w:multiLevelType w:val="hybridMultilevel"/>
    <w:tmpl w:val="76DA29D2"/>
    <w:lvl w:ilvl="0" w:tplc="5CB4CAB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3C246F71"/>
    <w:multiLevelType w:val="hybridMultilevel"/>
    <w:tmpl w:val="71F4F86A"/>
    <w:lvl w:ilvl="0" w:tplc="4E706E14">
      <w:start w:val="1"/>
      <w:numFmt w:val="lowerRoman"/>
      <w:lvlText w:val="(%1)"/>
      <w:lvlJc w:val="left"/>
      <w:pPr>
        <w:ind w:left="1287" w:hanging="720"/>
      </w:pPr>
      <w:rPr>
        <w:rFonts w:eastAsiaTheme="minorEastAsia"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40413FCD"/>
    <w:multiLevelType w:val="multilevel"/>
    <w:tmpl w:val="FE0A4FCE"/>
    <w:lvl w:ilvl="0">
      <w:start w:val="1"/>
      <w:numFmt w:val="upperRoman"/>
      <w:lvlText w:val="%1."/>
      <w:lvlJc w:val="left"/>
      <w:pPr>
        <w:ind w:left="720" w:firstLine="0"/>
      </w:pPr>
      <w:rPr>
        <w:rFonts w:hint="default"/>
      </w:rPr>
    </w:lvl>
    <w:lvl w:ilvl="1">
      <w:start w:val="7"/>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8" w15:restartNumberingAfterBreak="0">
    <w:nsid w:val="55270AD5"/>
    <w:multiLevelType w:val="multilevel"/>
    <w:tmpl w:val="59022788"/>
    <w:lvl w:ilvl="0">
      <w:start w:val="1"/>
      <w:numFmt w:val="lowerRoman"/>
      <w:lvlText w:val="(%1)"/>
      <w:lvlJc w:val="left"/>
      <w:pPr>
        <w:ind w:left="1287" w:firstLine="4787"/>
      </w:pPr>
      <w:rPr>
        <w:rFonts w:ascii="Arial" w:eastAsia="Arial" w:hAnsi="Arial" w:cs="Arial"/>
      </w:rPr>
    </w:lvl>
    <w:lvl w:ilvl="1">
      <w:start w:val="1"/>
      <w:numFmt w:val="bullet"/>
      <w:lvlText w:val="o"/>
      <w:lvlJc w:val="left"/>
      <w:pPr>
        <w:ind w:left="2007" w:firstLine="7667"/>
      </w:pPr>
      <w:rPr>
        <w:rFonts w:ascii="Arial" w:eastAsia="Arial" w:hAnsi="Arial" w:cs="Arial"/>
      </w:rPr>
    </w:lvl>
    <w:lvl w:ilvl="2">
      <w:start w:val="1"/>
      <w:numFmt w:val="bullet"/>
      <w:lvlText w:val="▪"/>
      <w:lvlJc w:val="left"/>
      <w:pPr>
        <w:ind w:left="2727" w:firstLine="10547"/>
      </w:pPr>
      <w:rPr>
        <w:rFonts w:ascii="Arial" w:eastAsia="Arial" w:hAnsi="Arial" w:cs="Arial"/>
      </w:rPr>
    </w:lvl>
    <w:lvl w:ilvl="3">
      <w:start w:val="1"/>
      <w:numFmt w:val="bullet"/>
      <w:lvlText w:val="●"/>
      <w:lvlJc w:val="left"/>
      <w:pPr>
        <w:ind w:left="3447" w:firstLine="13428"/>
      </w:pPr>
      <w:rPr>
        <w:rFonts w:ascii="Arial" w:eastAsia="Arial" w:hAnsi="Arial" w:cs="Arial"/>
      </w:rPr>
    </w:lvl>
    <w:lvl w:ilvl="4">
      <w:start w:val="1"/>
      <w:numFmt w:val="bullet"/>
      <w:lvlText w:val="o"/>
      <w:lvlJc w:val="left"/>
      <w:pPr>
        <w:ind w:left="4167" w:firstLine="16308"/>
      </w:pPr>
      <w:rPr>
        <w:rFonts w:ascii="Arial" w:eastAsia="Arial" w:hAnsi="Arial" w:cs="Arial"/>
      </w:rPr>
    </w:lvl>
    <w:lvl w:ilvl="5">
      <w:start w:val="1"/>
      <w:numFmt w:val="bullet"/>
      <w:lvlText w:val="▪"/>
      <w:lvlJc w:val="left"/>
      <w:pPr>
        <w:ind w:left="4887" w:firstLine="19188"/>
      </w:pPr>
      <w:rPr>
        <w:rFonts w:ascii="Arial" w:eastAsia="Arial" w:hAnsi="Arial" w:cs="Arial"/>
      </w:rPr>
    </w:lvl>
    <w:lvl w:ilvl="6">
      <w:start w:val="1"/>
      <w:numFmt w:val="bullet"/>
      <w:lvlText w:val="●"/>
      <w:lvlJc w:val="left"/>
      <w:pPr>
        <w:ind w:left="5607" w:firstLine="22068"/>
      </w:pPr>
      <w:rPr>
        <w:rFonts w:ascii="Arial" w:eastAsia="Arial" w:hAnsi="Arial" w:cs="Arial"/>
      </w:rPr>
    </w:lvl>
    <w:lvl w:ilvl="7">
      <w:start w:val="1"/>
      <w:numFmt w:val="bullet"/>
      <w:lvlText w:val="o"/>
      <w:lvlJc w:val="left"/>
      <w:pPr>
        <w:ind w:left="6327" w:firstLine="24948"/>
      </w:pPr>
      <w:rPr>
        <w:rFonts w:ascii="Arial" w:eastAsia="Arial" w:hAnsi="Arial" w:cs="Arial"/>
      </w:rPr>
    </w:lvl>
    <w:lvl w:ilvl="8">
      <w:start w:val="1"/>
      <w:numFmt w:val="bullet"/>
      <w:lvlText w:val="▪"/>
      <w:lvlJc w:val="left"/>
      <w:pPr>
        <w:ind w:left="7047" w:firstLine="27828"/>
      </w:pPr>
      <w:rPr>
        <w:rFonts w:ascii="Arial" w:eastAsia="Arial" w:hAnsi="Arial" w:cs="Arial"/>
      </w:rPr>
    </w:lvl>
  </w:abstractNum>
  <w:abstractNum w:abstractNumId="9" w15:restartNumberingAfterBreak="0">
    <w:nsid w:val="55BA7E35"/>
    <w:multiLevelType w:val="hybridMultilevel"/>
    <w:tmpl w:val="427E2F0A"/>
    <w:lvl w:ilvl="0" w:tplc="13C0024A">
      <w:start w:val="1"/>
      <w:numFmt w:val="lowerRoman"/>
      <w:lvlText w:val="(%1)"/>
      <w:lvlJc w:val="left"/>
      <w:pPr>
        <w:ind w:left="1080" w:hanging="720"/>
      </w:pPr>
      <w:rPr>
        <w:rFonts w:eastAsiaTheme="minorEastAsia"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C794E15"/>
    <w:multiLevelType w:val="hybridMultilevel"/>
    <w:tmpl w:val="6D0A9F54"/>
    <w:lvl w:ilvl="0" w:tplc="5876027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6A823FD9"/>
    <w:multiLevelType w:val="hybridMultilevel"/>
    <w:tmpl w:val="423A39D0"/>
    <w:lvl w:ilvl="0" w:tplc="73A4ED18">
      <w:start w:val="1"/>
      <w:numFmt w:val="lowerRoman"/>
      <w:lvlText w:val="(%1)"/>
      <w:lvlJc w:val="left"/>
      <w:pPr>
        <w:ind w:left="1287" w:hanging="720"/>
      </w:pPr>
      <w:rPr>
        <w:rFonts w:hint="default"/>
      </w:rPr>
    </w:lvl>
    <w:lvl w:ilvl="1" w:tplc="280A0019">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2" w15:restartNumberingAfterBreak="0">
    <w:nsid w:val="6E241A9C"/>
    <w:multiLevelType w:val="hybridMultilevel"/>
    <w:tmpl w:val="387A0904"/>
    <w:lvl w:ilvl="0" w:tplc="34783F1A">
      <w:start w:val="1"/>
      <w:numFmt w:val="bullet"/>
      <w:lvlText w:val="-"/>
      <w:lvlJc w:val="left"/>
      <w:pPr>
        <w:ind w:left="1494" w:hanging="360"/>
      </w:pPr>
      <w:rPr>
        <w:rFonts w:ascii="Arial" w:eastAsiaTheme="minorEastAsia"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72817CF6"/>
    <w:multiLevelType w:val="hybridMultilevel"/>
    <w:tmpl w:val="90EE76B2"/>
    <w:lvl w:ilvl="0" w:tplc="F990C790">
      <w:numFmt w:val="bullet"/>
      <w:lvlText w:val="-"/>
      <w:lvlJc w:val="left"/>
      <w:pPr>
        <w:ind w:left="1494" w:hanging="360"/>
      </w:pPr>
      <w:rPr>
        <w:rFonts w:ascii="Arial" w:eastAsia="Calibri"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num w:numId="1" w16cid:durableId="1558011153">
    <w:abstractNumId w:val="1"/>
  </w:num>
  <w:num w:numId="2" w16cid:durableId="1488202010">
    <w:abstractNumId w:val="3"/>
  </w:num>
  <w:num w:numId="3" w16cid:durableId="206532299">
    <w:abstractNumId w:val="0"/>
  </w:num>
  <w:num w:numId="4" w16cid:durableId="404107183">
    <w:abstractNumId w:val="7"/>
  </w:num>
  <w:num w:numId="5" w16cid:durableId="1733503624">
    <w:abstractNumId w:val="8"/>
  </w:num>
  <w:num w:numId="6" w16cid:durableId="63572139">
    <w:abstractNumId w:val="10"/>
  </w:num>
  <w:num w:numId="7" w16cid:durableId="1486556678">
    <w:abstractNumId w:val="6"/>
  </w:num>
  <w:num w:numId="8" w16cid:durableId="1170755306">
    <w:abstractNumId w:val="5"/>
  </w:num>
  <w:num w:numId="9" w16cid:durableId="1971865311">
    <w:abstractNumId w:val="12"/>
  </w:num>
  <w:num w:numId="10" w16cid:durableId="1358197510">
    <w:abstractNumId w:val="13"/>
  </w:num>
  <w:num w:numId="11" w16cid:durableId="1213426072">
    <w:abstractNumId w:val="11"/>
  </w:num>
  <w:num w:numId="12" w16cid:durableId="1172644663">
    <w:abstractNumId w:val="2"/>
  </w:num>
  <w:num w:numId="13" w16cid:durableId="1139686074">
    <w:abstractNumId w:val="4"/>
  </w:num>
  <w:num w:numId="14" w16cid:durableId="1755590052">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7F"/>
    <w:rsid w:val="000007DE"/>
    <w:rsid w:val="00000C73"/>
    <w:rsid w:val="00001373"/>
    <w:rsid w:val="000022B1"/>
    <w:rsid w:val="00002FC1"/>
    <w:rsid w:val="00003622"/>
    <w:rsid w:val="00005C02"/>
    <w:rsid w:val="000100E6"/>
    <w:rsid w:val="0001162C"/>
    <w:rsid w:val="00011B09"/>
    <w:rsid w:val="00011CFA"/>
    <w:rsid w:val="00011D6A"/>
    <w:rsid w:val="00012C84"/>
    <w:rsid w:val="00021EA9"/>
    <w:rsid w:val="00027086"/>
    <w:rsid w:val="00030120"/>
    <w:rsid w:val="00030150"/>
    <w:rsid w:val="00031569"/>
    <w:rsid w:val="00032309"/>
    <w:rsid w:val="00032F0D"/>
    <w:rsid w:val="00032F4C"/>
    <w:rsid w:val="000330DD"/>
    <w:rsid w:val="00034E9E"/>
    <w:rsid w:val="00035641"/>
    <w:rsid w:val="0003583F"/>
    <w:rsid w:val="00036067"/>
    <w:rsid w:val="0003652D"/>
    <w:rsid w:val="00041FFF"/>
    <w:rsid w:val="00044429"/>
    <w:rsid w:val="00045B7E"/>
    <w:rsid w:val="00045BFC"/>
    <w:rsid w:val="000502C2"/>
    <w:rsid w:val="000516F0"/>
    <w:rsid w:val="00051B37"/>
    <w:rsid w:val="00052F1F"/>
    <w:rsid w:val="000533BD"/>
    <w:rsid w:val="00053B10"/>
    <w:rsid w:val="00055F55"/>
    <w:rsid w:val="00055F9D"/>
    <w:rsid w:val="0006669D"/>
    <w:rsid w:val="0006720B"/>
    <w:rsid w:val="000676A8"/>
    <w:rsid w:val="000738D3"/>
    <w:rsid w:val="00075C72"/>
    <w:rsid w:val="00077B85"/>
    <w:rsid w:val="00077DCF"/>
    <w:rsid w:val="00080E4B"/>
    <w:rsid w:val="00085933"/>
    <w:rsid w:val="0008640F"/>
    <w:rsid w:val="0008669D"/>
    <w:rsid w:val="00086D19"/>
    <w:rsid w:val="00092116"/>
    <w:rsid w:val="000929F3"/>
    <w:rsid w:val="00093E9B"/>
    <w:rsid w:val="000942A6"/>
    <w:rsid w:val="0009525A"/>
    <w:rsid w:val="000A06BA"/>
    <w:rsid w:val="000A0FC0"/>
    <w:rsid w:val="000A2428"/>
    <w:rsid w:val="000A3BCE"/>
    <w:rsid w:val="000A472A"/>
    <w:rsid w:val="000A624B"/>
    <w:rsid w:val="000B0CEF"/>
    <w:rsid w:val="000B2392"/>
    <w:rsid w:val="000B29BD"/>
    <w:rsid w:val="000B3E1E"/>
    <w:rsid w:val="000B4039"/>
    <w:rsid w:val="000B72A7"/>
    <w:rsid w:val="000C0C54"/>
    <w:rsid w:val="000C213D"/>
    <w:rsid w:val="000C3F4C"/>
    <w:rsid w:val="000C4124"/>
    <w:rsid w:val="000D02A8"/>
    <w:rsid w:val="000D0606"/>
    <w:rsid w:val="000D1769"/>
    <w:rsid w:val="000E0A50"/>
    <w:rsid w:val="000E1A11"/>
    <w:rsid w:val="000E23A4"/>
    <w:rsid w:val="000E4AC5"/>
    <w:rsid w:val="000E4DC0"/>
    <w:rsid w:val="000E4F5E"/>
    <w:rsid w:val="000E57E1"/>
    <w:rsid w:val="000F0E20"/>
    <w:rsid w:val="000F1B9E"/>
    <w:rsid w:val="000F3675"/>
    <w:rsid w:val="000F3C71"/>
    <w:rsid w:val="000F64DB"/>
    <w:rsid w:val="000F7BDF"/>
    <w:rsid w:val="00100DD7"/>
    <w:rsid w:val="00105190"/>
    <w:rsid w:val="0010563E"/>
    <w:rsid w:val="00106138"/>
    <w:rsid w:val="00106CE4"/>
    <w:rsid w:val="00107C9C"/>
    <w:rsid w:val="00111FC4"/>
    <w:rsid w:val="00112222"/>
    <w:rsid w:val="0011322A"/>
    <w:rsid w:val="00113460"/>
    <w:rsid w:val="001152C1"/>
    <w:rsid w:val="00115419"/>
    <w:rsid w:val="00116C8D"/>
    <w:rsid w:val="00117DFF"/>
    <w:rsid w:val="00117E4D"/>
    <w:rsid w:val="001204F8"/>
    <w:rsid w:val="00120D9A"/>
    <w:rsid w:val="001225F2"/>
    <w:rsid w:val="0012262B"/>
    <w:rsid w:val="00123B67"/>
    <w:rsid w:val="00124C21"/>
    <w:rsid w:val="00125078"/>
    <w:rsid w:val="001251FE"/>
    <w:rsid w:val="00127D69"/>
    <w:rsid w:val="00130182"/>
    <w:rsid w:val="001302D3"/>
    <w:rsid w:val="0013097D"/>
    <w:rsid w:val="0013115B"/>
    <w:rsid w:val="00131DD6"/>
    <w:rsid w:val="00132D15"/>
    <w:rsid w:val="001350FC"/>
    <w:rsid w:val="001356D2"/>
    <w:rsid w:val="00135CD1"/>
    <w:rsid w:val="00135FF1"/>
    <w:rsid w:val="001374C8"/>
    <w:rsid w:val="00137FDE"/>
    <w:rsid w:val="00141155"/>
    <w:rsid w:val="0014149F"/>
    <w:rsid w:val="001420E1"/>
    <w:rsid w:val="00144C3A"/>
    <w:rsid w:val="00145192"/>
    <w:rsid w:val="001458A4"/>
    <w:rsid w:val="00146227"/>
    <w:rsid w:val="001526DA"/>
    <w:rsid w:val="001536C6"/>
    <w:rsid w:val="00154A8B"/>
    <w:rsid w:val="001559B6"/>
    <w:rsid w:val="00155B60"/>
    <w:rsid w:val="00156147"/>
    <w:rsid w:val="00156192"/>
    <w:rsid w:val="001561E9"/>
    <w:rsid w:val="00160056"/>
    <w:rsid w:val="00160AF9"/>
    <w:rsid w:val="00161D07"/>
    <w:rsid w:val="00163B63"/>
    <w:rsid w:val="001648DA"/>
    <w:rsid w:val="0016596D"/>
    <w:rsid w:val="00165A0E"/>
    <w:rsid w:val="00165E86"/>
    <w:rsid w:val="00167587"/>
    <w:rsid w:val="00167E47"/>
    <w:rsid w:val="0017023D"/>
    <w:rsid w:val="001728AC"/>
    <w:rsid w:val="001757BA"/>
    <w:rsid w:val="00175D70"/>
    <w:rsid w:val="0017638C"/>
    <w:rsid w:val="001777A7"/>
    <w:rsid w:val="00180B39"/>
    <w:rsid w:val="001811C8"/>
    <w:rsid w:val="00184FC5"/>
    <w:rsid w:val="00195166"/>
    <w:rsid w:val="001956E9"/>
    <w:rsid w:val="00196220"/>
    <w:rsid w:val="00196E12"/>
    <w:rsid w:val="001A09E9"/>
    <w:rsid w:val="001A29E5"/>
    <w:rsid w:val="001A3932"/>
    <w:rsid w:val="001A3F72"/>
    <w:rsid w:val="001A52C3"/>
    <w:rsid w:val="001A7230"/>
    <w:rsid w:val="001A7835"/>
    <w:rsid w:val="001B06B8"/>
    <w:rsid w:val="001B172C"/>
    <w:rsid w:val="001B41B2"/>
    <w:rsid w:val="001B5646"/>
    <w:rsid w:val="001B59D3"/>
    <w:rsid w:val="001B5FB3"/>
    <w:rsid w:val="001B7068"/>
    <w:rsid w:val="001B7624"/>
    <w:rsid w:val="001C123B"/>
    <w:rsid w:val="001C4343"/>
    <w:rsid w:val="001C7671"/>
    <w:rsid w:val="001D13F4"/>
    <w:rsid w:val="001D3850"/>
    <w:rsid w:val="001D4559"/>
    <w:rsid w:val="001D4C26"/>
    <w:rsid w:val="001D6E98"/>
    <w:rsid w:val="001E0A64"/>
    <w:rsid w:val="001E33CC"/>
    <w:rsid w:val="001E39BB"/>
    <w:rsid w:val="001E4DE9"/>
    <w:rsid w:val="001E50BC"/>
    <w:rsid w:val="001E6617"/>
    <w:rsid w:val="001F1D46"/>
    <w:rsid w:val="001F308D"/>
    <w:rsid w:val="001F388F"/>
    <w:rsid w:val="001F4DC3"/>
    <w:rsid w:val="001F5455"/>
    <w:rsid w:val="001F683A"/>
    <w:rsid w:val="001F6923"/>
    <w:rsid w:val="001F7A7B"/>
    <w:rsid w:val="002037A6"/>
    <w:rsid w:val="00204E6F"/>
    <w:rsid w:val="00205A90"/>
    <w:rsid w:val="00205AE1"/>
    <w:rsid w:val="00206C47"/>
    <w:rsid w:val="002123C4"/>
    <w:rsid w:val="00213F7C"/>
    <w:rsid w:val="00215764"/>
    <w:rsid w:val="0021638F"/>
    <w:rsid w:val="002169F6"/>
    <w:rsid w:val="002205F5"/>
    <w:rsid w:val="002212A3"/>
    <w:rsid w:val="002221E0"/>
    <w:rsid w:val="00223E20"/>
    <w:rsid w:val="00223FD5"/>
    <w:rsid w:val="00224004"/>
    <w:rsid w:val="002241DC"/>
    <w:rsid w:val="00233FB9"/>
    <w:rsid w:val="0023525A"/>
    <w:rsid w:val="002366BE"/>
    <w:rsid w:val="0023757D"/>
    <w:rsid w:val="002417C1"/>
    <w:rsid w:val="0024233D"/>
    <w:rsid w:val="00242C11"/>
    <w:rsid w:val="00243CA0"/>
    <w:rsid w:val="00245D9A"/>
    <w:rsid w:val="002461B4"/>
    <w:rsid w:val="00246E35"/>
    <w:rsid w:val="00250538"/>
    <w:rsid w:val="00250CF8"/>
    <w:rsid w:val="002517AD"/>
    <w:rsid w:val="002524BD"/>
    <w:rsid w:val="00252A4D"/>
    <w:rsid w:val="00254100"/>
    <w:rsid w:val="00254D3F"/>
    <w:rsid w:val="0025678B"/>
    <w:rsid w:val="0025778A"/>
    <w:rsid w:val="0026063C"/>
    <w:rsid w:val="00260F10"/>
    <w:rsid w:val="00261EE9"/>
    <w:rsid w:val="002622C4"/>
    <w:rsid w:val="00263A69"/>
    <w:rsid w:val="00264E54"/>
    <w:rsid w:val="0026516B"/>
    <w:rsid w:val="00265279"/>
    <w:rsid w:val="00265C0F"/>
    <w:rsid w:val="00266133"/>
    <w:rsid w:val="00266EF1"/>
    <w:rsid w:val="00271868"/>
    <w:rsid w:val="0027195B"/>
    <w:rsid w:val="002734B6"/>
    <w:rsid w:val="00273DE2"/>
    <w:rsid w:val="00275C4A"/>
    <w:rsid w:val="00277C35"/>
    <w:rsid w:val="0028062E"/>
    <w:rsid w:val="00280A8A"/>
    <w:rsid w:val="0028152A"/>
    <w:rsid w:val="00284ED1"/>
    <w:rsid w:val="002861E0"/>
    <w:rsid w:val="00286F67"/>
    <w:rsid w:val="00291473"/>
    <w:rsid w:val="0029243E"/>
    <w:rsid w:val="00292F9F"/>
    <w:rsid w:val="00293602"/>
    <w:rsid w:val="002940EC"/>
    <w:rsid w:val="00296DC4"/>
    <w:rsid w:val="0029796E"/>
    <w:rsid w:val="002A0842"/>
    <w:rsid w:val="002A19CD"/>
    <w:rsid w:val="002A24D7"/>
    <w:rsid w:val="002A295D"/>
    <w:rsid w:val="002A52CC"/>
    <w:rsid w:val="002A6118"/>
    <w:rsid w:val="002A68E2"/>
    <w:rsid w:val="002B10E1"/>
    <w:rsid w:val="002B12EA"/>
    <w:rsid w:val="002B1E64"/>
    <w:rsid w:val="002B25D2"/>
    <w:rsid w:val="002B2BB6"/>
    <w:rsid w:val="002B357C"/>
    <w:rsid w:val="002B4A0F"/>
    <w:rsid w:val="002B4CAA"/>
    <w:rsid w:val="002B4D41"/>
    <w:rsid w:val="002C071E"/>
    <w:rsid w:val="002C0A21"/>
    <w:rsid w:val="002C0BA2"/>
    <w:rsid w:val="002C4559"/>
    <w:rsid w:val="002C4E5E"/>
    <w:rsid w:val="002C651C"/>
    <w:rsid w:val="002C6D9B"/>
    <w:rsid w:val="002D0023"/>
    <w:rsid w:val="002D0ABA"/>
    <w:rsid w:val="002D1B57"/>
    <w:rsid w:val="002D4BC6"/>
    <w:rsid w:val="002D5C39"/>
    <w:rsid w:val="002E047C"/>
    <w:rsid w:val="002E270D"/>
    <w:rsid w:val="002E2929"/>
    <w:rsid w:val="002E4225"/>
    <w:rsid w:val="002E59AA"/>
    <w:rsid w:val="002E5A53"/>
    <w:rsid w:val="002E6364"/>
    <w:rsid w:val="002E7F87"/>
    <w:rsid w:val="002F05F2"/>
    <w:rsid w:val="002F0C81"/>
    <w:rsid w:val="002F145B"/>
    <w:rsid w:val="002F2A20"/>
    <w:rsid w:val="002F3C44"/>
    <w:rsid w:val="002F441B"/>
    <w:rsid w:val="002F455C"/>
    <w:rsid w:val="002F45CF"/>
    <w:rsid w:val="003046B4"/>
    <w:rsid w:val="00305D52"/>
    <w:rsid w:val="00306BCD"/>
    <w:rsid w:val="003077DC"/>
    <w:rsid w:val="00307A2C"/>
    <w:rsid w:val="00312271"/>
    <w:rsid w:val="0031385B"/>
    <w:rsid w:val="0031419F"/>
    <w:rsid w:val="00315623"/>
    <w:rsid w:val="00322B27"/>
    <w:rsid w:val="00322D40"/>
    <w:rsid w:val="00324710"/>
    <w:rsid w:val="003248E5"/>
    <w:rsid w:val="00325348"/>
    <w:rsid w:val="003257FD"/>
    <w:rsid w:val="0032626B"/>
    <w:rsid w:val="003268FE"/>
    <w:rsid w:val="00326DA4"/>
    <w:rsid w:val="00331C18"/>
    <w:rsid w:val="003327DB"/>
    <w:rsid w:val="00332B3D"/>
    <w:rsid w:val="00333CFE"/>
    <w:rsid w:val="00334959"/>
    <w:rsid w:val="00334B62"/>
    <w:rsid w:val="00334BAD"/>
    <w:rsid w:val="00335FED"/>
    <w:rsid w:val="003363B7"/>
    <w:rsid w:val="003408EC"/>
    <w:rsid w:val="003415CD"/>
    <w:rsid w:val="00341EDB"/>
    <w:rsid w:val="00344F89"/>
    <w:rsid w:val="00346474"/>
    <w:rsid w:val="0035115A"/>
    <w:rsid w:val="00353C05"/>
    <w:rsid w:val="00353D50"/>
    <w:rsid w:val="00354FDD"/>
    <w:rsid w:val="003568BF"/>
    <w:rsid w:val="0036194B"/>
    <w:rsid w:val="00362914"/>
    <w:rsid w:val="00362D3A"/>
    <w:rsid w:val="0036507D"/>
    <w:rsid w:val="003659B0"/>
    <w:rsid w:val="00365ECD"/>
    <w:rsid w:val="00370248"/>
    <w:rsid w:val="00373111"/>
    <w:rsid w:val="003732F0"/>
    <w:rsid w:val="00375D07"/>
    <w:rsid w:val="00376404"/>
    <w:rsid w:val="00386EFD"/>
    <w:rsid w:val="003870B2"/>
    <w:rsid w:val="0038720A"/>
    <w:rsid w:val="00387BFE"/>
    <w:rsid w:val="00390054"/>
    <w:rsid w:val="00390F4C"/>
    <w:rsid w:val="0039229D"/>
    <w:rsid w:val="00393C8B"/>
    <w:rsid w:val="00397CEE"/>
    <w:rsid w:val="00397FE4"/>
    <w:rsid w:val="003A05BB"/>
    <w:rsid w:val="003A0BD1"/>
    <w:rsid w:val="003A1BA9"/>
    <w:rsid w:val="003A26A9"/>
    <w:rsid w:val="003A2B81"/>
    <w:rsid w:val="003A3FDC"/>
    <w:rsid w:val="003A46D7"/>
    <w:rsid w:val="003A5A1B"/>
    <w:rsid w:val="003A6012"/>
    <w:rsid w:val="003A79D9"/>
    <w:rsid w:val="003A7C5E"/>
    <w:rsid w:val="003B093A"/>
    <w:rsid w:val="003B1A70"/>
    <w:rsid w:val="003B2913"/>
    <w:rsid w:val="003B35C6"/>
    <w:rsid w:val="003C1D97"/>
    <w:rsid w:val="003C2D55"/>
    <w:rsid w:val="003C47FA"/>
    <w:rsid w:val="003C6D93"/>
    <w:rsid w:val="003C701B"/>
    <w:rsid w:val="003D28C8"/>
    <w:rsid w:val="003D74D2"/>
    <w:rsid w:val="003E120B"/>
    <w:rsid w:val="003E1769"/>
    <w:rsid w:val="003E2B14"/>
    <w:rsid w:val="003E3604"/>
    <w:rsid w:val="003E5CF6"/>
    <w:rsid w:val="003E72C0"/>
    <w:rsid w:val="003E753A"/>
    <w:rsid w:val="003E771F"/>
    <w:rsid w:val="003F06F7"/>
    <w:rsid w:val="003F1BE6"/>
    <w:rsid w:val="003F2566"/>
    <w:rsid w:val="003F40FE"/>
    <w:rsid w:val="003F5713"/>
    <w:rsid w:val="003F5767"/>
    <w:rsid w:val="003F7F65"/>
    <w:rsid w:val="004000DB"/>
    <w:rsid w:val="004006E6"/>
    <w:rsid w:val="004045E6"/>
    <w:rsid w:val="004048E0"/>
    <w:rsid w:val="00404E84"/>
    <w:rsid w:val="0040648C"/>
    <w:rsid w:val="0041039B"/>
    <w:rsid w:val="00411FF0"/>
    <w:rsid w:val="00412242"/>
    <w:rsid w:val="00413381"/>
    <w:rsid w:val="0041652B"/>
    <w:rsid w:val="00417DDB"/>
    <w:rsid w:val="0042005B"/>
    <w:rsid w:val="00420F4C"/>
    <w:rsid w:val="00421E14"/>
    <w:rsid w:val="004226E9"/>
    <w:rsid w:val="0042504C"/>
    <w:rsid w:val="00425F1B"/>
    <w:rsid w:val="00426D80"/>
    <w:rsid w:val="004303EE"/>
    <w:rsid w:val="00430DCD"/>
    <w:rsid w:val="00430E0B"/>
    <w:rsid w:val="00430F52"/>
    <w:rsid w:val="00432766"/>
    <w:rsid w:val="00433C1A"/>
    <w:rsid w:val="0043443A"/>
    <w:rsid w:val="00436829"/>
    <w:rsid w:val="0043735E"/>
    <w:rsid w:val="00440827"/>
    <w:rsid w:val="00440ECF"/>
    <w:rsid w:val="00444275"/>
    <w:rsid w:val="00444890"/>
    <w:rsid w:val="00446225"/>
    <w:rsid w:val="0044648D"/>
    <w:rsid w:val="0044713C"/>
    <w:rsid w:val="0044769F"/>
    <w:rsid w:val="00450A97"/>
    <w:rsid w:val="00451D92"/>
    <w:rsid w:val="00452173"/>
    <w:rsid w:val="004527D0"/>
    <w:rsid w:val="004533B8"/>
    <w:rsid w:val="00453AF6"/>
    <w:rsid w:val="00460A57"/>
    <w:rsid w:val="00462C1D"/>
    <w:rsid w:val="004654D3"/>
    <w:rsid w:val="00467699"/>
    <w:rsid w:val="00470281"/>
    <w:rsid w:val="0047107D"/>
    <w:rsid w:val="00472E77"/>
    <w:rsid w:val="00472F83"/>
    <w:rsid w:val="00474556"/>
    <w:rsid w:val="00474A7F"/>
    <w:rsid w:val="00475415"/>
    <w:rsid w:val="0047562D"/>
    <w:rsid w:val="00477008"/>
    <w:rsid w:val="00477FC7"/>
    <w:rsid w:val="004803D3"/>
    <w:rsid w:val="00480940"/>
    <w:rsid w:val="00481425"/>
    <w:rsid w:val="00482034"/>
    <w:rsid w:val="00485FD8"/>
    <w:rsid w:val="0048667F"/>
    <w:rsid w:val="0049159F"/>
    <w:rsid w:val="00491B5E"/>
    <w:rsid w:val="0049269E"/>
    <w:rsid w:val="0049299E"/>
    <w:rsid w:val="004934C4"/>
    <w:rsid w:val="00495AEF"/>
    <w:rsid w:val="00495D97"/>
    <w:rsid w:val="00496741"/>
    <w:rsid w:val="004A09CE"/>
    <w:rsid w:val="004A20A2"/>
    <w:rsid w:val="004A4681"/>
    <w:rsid w:val="004A65FD"/>
    <w:rsid w:val="004B0E34"/>
    <w:rsid w:val="004B0EE2"/>
    <w:rsid w:val="004B1049"/>
    <w:rsid w:val="004B184C"/>
    <w:rsid w:val="004B199B"/>
    <w:rsid w:val="004B1F57"/>
    <w:rsid w:val="004B20CA"/>
    <w:rsid w:val="004B51C7"/>
    <w:rsid w:val="004B7F71"/>
    <w:rsid w:val="004C3550"/>
    <w:rsid w:val="004C41C0"/>
    <w:rsid w:val="004C6461"/>
    <w:rsid w:val="004D0318"/>
    <w:rsid w:val="004E101B"/>
    <w:rsid w:val="004E1829"/>
    <w:rsid w:val="004E586A"/>
    <w:rsid w:val="004E761B"/>
    <w:rsid w:val="004F0C56"/>
    <w:rsid w:val="004F4921"/>
    <w:rsid w:val="004F5D30"/>
    <w:rsid w:val="004F6219"/>
    <w:rsid w:val="004F6F82"/>
    <w:rsid w:val="00500126"/>
    <w:rsid w:val="00503384"/>
    <w:rsid w:val="005034AC"/>
    <w:rsid w:val="0050485E"/>
    <w:rsid w:val="0050511A"/>
    <w:rsid w:val="0050543A"/>
    <w:rsid w:val="00506A81"/>
    <w:rsid w:val="0050793E"/>
    <w:rsid w:val="00511769"/>
    <w:rsid w:val="00513F25"/>
    <w:rsid w:val="005149E1"/>
    <w:rsid w:val="00514DC0"/>
    <w:rsid w:val="00515BB5"/>
    <w:rsid w:val="005169E5"/>
    <w:rsid w:val="00516DCB"/>
    <w:rsid w:val="0052146E"/>
    <w:rsid w:val="00522C50"/>
    <w:rsid w:val="00524195"/>
    <w:rsid w:val="00527207"/>
    <w:rsid w:val="00527681"/>
    <w:rsid w:val="00530F09"/>
    <w:rsid w:val="00533009"/>
    <w:rsid w:val="00535660"/>
    <w:rsid w:val="00535741"/>
    <w:rsid w:val="00536438"/>
    <w:rsid w:val="005375E4"/>
    <w:rsid w:val="005400F4"/>
    <w:rsid w:val="005406FF"/>
    <w:rsid w:val="00543CE3"/>
    <w:rsid w:val="00544305"/>
    <w:rsid w:val="00544C68"/>
    <w:rsid w:val="00545D5D"/>
    <w:rsid w:val="00547E0A"/>
    <w:rsid w:val="00550DC2"/>
    <w:rsid w:val="005579DF"/>
    <w:rsid w:val="00562BFE"/>
    <w:rsid w:val="00562E64"/>
    <w:rsid w:val="00565851"/>
    <w:rsid w:val="00567744"/>
    <w:rsid w:val="005700CB"/>
    <w:rsid w:val="005708FF"/>
    <w:rsid w:val="00573342"/>
    <w:rsid w:val="005737F1"/>
    <w:rsid w:val="00574790"/>
    <w:rsid w:val="00575901"/>
    <w:rsid w:val="00575B38"/>
    <w:rsid w:val="00576FF9"/>
    <w:rsid w:val="005771B1"/>
    <w:rsid w:val="005800B7"/>
    <w:rsid w:val="005802D4"/>
    <w:rsid w:val="00582AE4"/>
    <w:rsid w:val="00583CEE"/>
    <w:rsid w:val="00584293"/>
    <w:rsid w:val="00585628"/>
    <w:rsid w:val="00586671"/>
    <w:rsid w:val="00587460"/>
    <w:rsid w:val="0059176D"/>
    <w:rsid w:val="00592BEC"/>
    <w:rsid w:val="00593AF4"/>
    <w:rsid w:val="0059445E"/>
    <w:rsid w:val="00595BB5"/>
    <w:rsid w:val="005979E4"/>
    <w:rsid w:val="00597F0A"/>
    <w:rsid w:val="005A0E0A"/>
    <w:rsid w:val="005A353C"/>
    <w:rsid w:val="005A3AB6"/>
    <w:rsid w:val="005A41A1"/>
    <w:rsid w:val="005A6E1E"/>
    <w:rsid w:val="005A73B1"/>
    <w:rsid w:val="005B26A8"/>
    <w:rsid w:val="005B4779"/>
    <w:rsid w:val="005B4A91"/>
    <w:rsid w:val="005B6D52"/>
    <w:rsid w:val="005B7D1F"/>
    <w:rsid w:val="005B7E70"/>
    <w:rsid w:val="005C03A5"/>
    <w:rsid w:val="005C0734"/>
    <w:rsid w:val="005C13FB"/>
    <w:rsid w:val="005C1FDA"/>
    <w:rsid w:val="005C27A8"/>
    <w:rsid w:val="005C406C"/>
    <w:rsid w:val="005C5970"/>
    <w:rsid w:val="005C7621"/>
    <w:rsid w:val="005D0360"/>
    <w:rsid w:val="005D05FB"/>
    <w:rsid w:val="005D2A16"/>
    <w:rsid w:val="005D41DD"/>
    <w:rsid w:val="005D5E0F"/>
    <w:rsid w:val="005E2B47"/>
    <w:rsid w:val="005E3E91"/>
    <w:rsid w:val="005E4FAF"/>
    <w:rsid w:val="005E6429"/>
    <w:rsid w:val="005E646E"/>
    <w:rsid w:val="005E6696"/>
    <w:rsid w:val="005E6FF7"/>
    <w:rsid w:val="005E7307"/>
    <w:rsid w:val="005E73F7"/>
    <w:rsid w:val="005F0CC3"/>
    <w:rsid w:val="005F1900"/>
    <w:rsid w:val="005F1996"/>
    <w:rsid w:val="005F320A"/>
    <w:rsid w:val="005F5BC1"/>
    <w:rsid w:val="005F5F17"/>
    <w:rsid w:val="005F6005"/>
    <w:rsid w:val="005F6F52"/>
    <w:rsid w:val="006031E6"/>
    <w:rsid w:val="006035CE"/>
    <w:rsid w:val="00603CBC"/>
    <w:rsid w:val="006045F2"/>
    <w:rsid w:val="006060E8"/>
    <w:rsid w:val="00606BBC"/>
    <w:rsid w:val="00606C26"/>
    <w:rsid w:val="00606FF4"/>
    <w:rsid w:val="00610020"/>
    <w:rsid w:val="00610463"/>
    <w:rsid w:val="0061070B"/>
    <w:rsid w:val="00614BF7"/>
    <w:rsid w:val="0061533B"/>
    <w:rsid w:val="0061571D"/>
    <w:rsid w:val="006163CE"/>
    <w:rsid w:val="00617F50"/>
    <w:rsid w:val="00620870"/>
    <w:rsid w:val="00620958"/>
    <w:rsid w:val="00621458"/>
    <w:rsid w:val="00621B3A"/>
    <w:rsid w:val="00622312"/>
    <w:rsid w:val="00622A5E"/>
    <w:rsid w:val="0062302F"/>
    <w:rsid w:val="0062337A"/>
    <w:rsid w:val="00623959"/>
    <w:rsid w:val="00623F7D"/>
    <w:rsid w:val="006253D6"/>
    <w:rsid w:val="0062566C"/>
    <w:rsid w:val="0062574E"/>
    <w:rsid w:val="006266CA"/>
    <w:rsid w:val="00627245"/>
    <w:rsid w:val="00627506"/>
    <w:rsid w:val="00630D71"/>
    <w:rsid w:val="006314FF"/>
    <w:rsid w:val="00631610"/>
    <w:rsid w:val="0064042A"/>
    <w:rsid w:val="00640F5F"/>
    <w:rsid w:val="006431EF"/>
    <w:rsid w:val="0064373D"/>
    <w:rsid w:val="00644D46"/>
    <w:rsid w:val="0064675E"/>
    <w:rsid w:val="00646966"/>
    <w:rsid w:val="006470C3"/>
    <w:rsid w:val="006471AC"/>
    <w:rsid w:val="00647A92"/>
    <w:rsid w:val="006513EE"/>
    <w:rsid w:val="00651FC1"/>
    <w:rsid w:val="006520D4"/>
    <w:rsid w:val="00652897"/>
    <w:rsid w:val="00653031"/>
    <w:rsid w:val="00654EA6"/>
    <w:rsid w:val="00655A3A"/>
    <w:rsid w:val="00657888"/>
    <w:rsid w:val="00657F57"/>
    <w:rsid w:val="00662170"/>
    <w:rsid w:val="00664464"/>
    <w:rsid w:val="006672AA"/>
    <w:rsid w:val="0066755A"/>
    <w:rsid w:val="00670B43"/>
    <w:rsid w:val="00671462"/>
    <w:rsid w:val="00672EF8"/>
    <w:rsid w:val="006750CE"/>
    <w:rsid w:val="00675145"/>
    <w:rsid w:val="00675E9E"/>
    <w:rsid w:val="006767C1"/>
    <w:rsid w:val="00680743"/>
    <w:rsid w:val="00682B88"/>
    <w:rsid w:val="006836E5"/>
    <w:rsid w:val="00685FAF"/>
    <w:rsid w:val="00692DF2"/>
    <w:rsid w:val="00693E10"/>
    <w:rsid w:val="00693E9B"/>
    <w:rsid w:val="0069506B"/>
    <w:rsid w:val="006966E2"/>
    <w:rsid w:val="00697077"/>
    <w:rsid w:val="006A112A"/>
    <w:rsid w:val="006A14C6"/>
    <w:rsid w:val="006A17C0"/>
    <w:rsid w:val="006A3CB0"/>
    <w:rsid w:val="006A4022"/>
    <w:rsid w:val="006A65C6"/>
    <w:rsid w:val="006A7856"/>
    <w:rsid w:val="006A7F4D"/>
    <w:rsid w:val="006B033C"/>
    <w:rsid w:val="006B5339"/>
    <w:rsid w:val="006B650B"/>
    <w:rsid w:val="006B67A2"/>
    <w:rsid w:val="006B68F0"/>
    <w:rsid w:val="006B69D1"/>
    <w:rsid w:val="006C1909"/>
    <w:rsid w:val="006C2AE0"/>
    <w:rsid w:val="006C362F"/>
    <w:rsid w:val="006C523D"/>
    <w:rsid w:val="006C696B"/>
    <w:rsid w:val="006C70D3"/>
    <w:rsid w:val="006C7CED"/>
    <w:rsid w:val="006D0028"/>
    <w:rsid w:val="006D0A91"/>
    <w:rsid w:val="006D19B2"/>
    <w:rsid w:val="006D5425"/>
    <w:rsid w:val="006D6918"/>
    <w:rsid w:val="006E058A"/>
    <w:rsid w:val="006E0ED9"/>
    <w:rsid w:val="006E1895"/>
    <w:rsid w:val="006E1E85"/>
    <w:rsid w:val="006E372C"/>
    <w:rsid w:val="006E3DB8"/>
    <w:rsid w:val="006E549B"/>
    <w:rsid w:val="006E6B0B"/>
    <w:rsid w:val="006F0C45"/>
    <w:rsid w:val="006F14D1"/>
    <w:rsid w:val="006F1E50"/>
    <w:rsid w:val="006F2FD5"/>
    <w:rsid w:val="006F4792"/>
    <w:rsid w:val="006F688B"/>
    <w:rsid w:val="006F7683"/>
    <w:rsid w:val="00700806"/>
    <w:rsid w:val="00700B89"/>
    <w:rsid w:val="0070209D"/>
    <w:rsid w:val="007025C5"/>
    <w:rsid w:val="0070362D"/>
    <w:rsid w:val="007039FC"/>
    <w:rsid w:val="00706091"/>
    <w:rsid w:val="00706DA3"/>
    <w:rsid w:val="00710F31"/>
    <w:rsid w:val="00711826"/>
    <w:rsid w:val="0071273A"/>
    <w:rsid w:val="00715E56"/>
    <w:rsid w:val="00716367"/>
    <w:rsid w:val="007172B3"/>
    <w:rsid w:val="007200FD"/>
    <w:rsid w:val="007237CF"/>
    <w:rsid w:val="007268BF"/>
    <w:rsid w:val="00726934"/>
    <w:rsid w:val="00731416"/>
    <w:rsid w:val="00732EAF"/>
    <w:rsid w:val="00734449"/>
    <w:rsid w:val="00734A2B"/>
    <w:rsid w:val="00736A4B"/>
    <w:rsid w:val="00736C53"/>
    <w:rsid w:val="007435AE"/>
    <w:rsid w:val="00745F72"/>
    <w:rsid w:val="007472AC"/>
    <w:rsid w:val="007500EF"/>
    <w:rsid w:val="00752124"/>
    <w:rsid w:val="00752D1E"/>
    <w:rsid w:val="00753E28"/>
    <w:rsid w:val="007548C1"/>
    <w:rsid w:val="00757F50"/>
    <w:rsid w:val="007612DA"/>
    <w:rsid w:val="00761BC5"/>
    <w:rsid w:val="00761EF1"/>
    <w:rsid w:val="00762985"/>
    <w:rsid w:val="00764095"/>
    <w:rsid w:val="007641CE"/>
    <w:rsid w:val="00765415"/>
    <w:rsid w:val="0076697C"/>
    <w:rsid w:val="0077004C"/>
    <w:rsid w:val="00771753"/>
    <w:rsid w:val="00772839"/>
    <w:rsid w:val="00777160"/>
    <w:rsid w:val="00783D28"/>
    <w:rsid w:val="0078406B"/>
    <w:rsid w:val="007858E3"/>
    <w:rsid w:val="00786D30"/>
    <w:rsid w:val="007877D0"/>
    <w:rsid w:val="0078798F"/>
    <w:rsid w:val="00791AFB"/>
    <w:rsid w:val="00793917"/>
    <w:rsid w:val="007952B0"/>
    <w:rsid w:val="0079692A"/>
    <w:rsid w:val="007A14FF"/>
    <w:rsid w:val="007A2042"/>
    <w:rsid w:val="007A2A34"/>
    <w:rsid w:val="007A4089"/>
    <w:rsid w:val="007A4836"/>
    <w:rsid w:val="007A4D57"/>
    <w:rsid w:val="007A53C7"/>
    <w:rsid w:val="007A5463"/>
    <w:rsid w:val="007A5A33"/>
    <w:rsid w:val="007A6079"/>
    <w:rsid w:val="007A7A76"/>
    <w:rsid w:val="007B061B"/>
    <w:rsid w:val="007B1BC0"/>
    <w:rsid w:val="007B29A2"/>
    <w:rsid w:val="007B3486"/>
    <w:rsid w:val="007B363D"/>
    <w:rsid w:val="007B6698"/>
    <w:rsid w:val="007C2FEA"/>
    <w:rsid w:val="007C46E3"/>
    <w:rsid w:val="007C4DD0"/>
    <w:rsid w:val="007C4F98"/>
    <w:rsid w:val="007C5242"/>
    <w:rsid w:val="007C60C7"/>
    <w:rsid w:val="007C6FE9"/>
    <w:rsid w:val="007C6FF5"/>
    <w:rsid w:val="007D0A0E"/>
    <w:rsid w:val="007D250C"/>
    <w:rsid w:val="007D45A2"/>
    <w:rsid w:val="007D54B8"/>
    <w:rsid w:val="007D554B"/>
    <w:rsid w:val="007D6A39"/>
    <w:rsid w:val="007E0EA7"/>
    <w:rsid w:val="007E4444"/>
    <w:rsid w:val="007E6092"/>
    <w:rsid w:val="007E78BE"/>
    <w:rsid w:val="007F0EA8"/>
    <w:rsid w:val="007F1BDC"/>
    <w:rsid w:val="007F29EC"/>
    <w:rsid w:val="007F2BC5"/>
    <w:rsid w:val="007F2E04"/>
    <w:rsid w:val="007F318E"/>
    <w:rsid w:val="007F49D3"/>
    <w:rsid w:val="007F67FD"/>
    <w:rsid w:val="007F6D5E"/>
    <w:rsid w:val="008010AA"/>
    <w:rsid w:val="0080207B"/>
    <w:rsid w:val="00802089"/>
    <w:rsid w:val="0080432B"/>
    <w:rsid w:val="00804418"/>
    <w:rsid w:val="008044F5"/>
    <w:rsid w:val="00805BD5"/>
    <w:rsid w:val="00807638"/>
    <w:rsid w:val="0080766D"/>
    <w:rsid w:val="0080782A"/>
    <w:rsid w:val="00812087"/>
    <w:rsid w:val="0081319A"/>
    <w:rsid w:val="00813F4A"/>
    <w:rsid w:val="0081422F"/>
    <w:rsid w:val="008172D1"/>
    <w:rsid w:val="0082145A"/>
    <w:rsid w:val="00821562"/>
    <w:rsid w:val="00822B21"/>
    <w:rsid w:val="008235E9"/>
    <w:rsid w:val="0082401D"/>
    <w:rsid w:val="00830446"/>
    <w:rsid w:val="008318B2"/>
    <w:rsid w:val="008333CB"/>
    <w:rsid w:val="008334A3"/>
    <w:rsid w:val="00836799"/>
    <w:rsid w:val="00840B5A"/>
    <w:rsid w:val="00843661"/>
    <w:rsid w:val="00844C11"/>
    <w:rsid w:val="00845FBF"/>
    <w:rsid w:val="00850034"/>
    <w:rsid w:val="0085135C"/>
    <w:rsid w:val="008539AB"/>
    <w:rsid w:val="008548E9"/>
    <w:rsid w:val="0085667B"/>
    <w:rsid w:val="00856FBA"/>
    <w:rsid w:val="008578F6"/>
    <w:rsid w:val="00857F99"/>
    <w:rsid w:val="00861ECB"/>
    <w:rsid w:val="00862B6D"/>
    <w:rsid w:val="00865449"/>
    <w:rsid w:val="00865C31"/>
    <w:rsid w:val="00871351"/>
    <w:rsid w:val="0087144E"/>
    <w:rsid w:val="008718F6"/>
    <w:rsid w:val="00872755"/>
    <w:rsid w:val="00872CA5"/>
    <w:rsid w:val="00876604"/>
    <w:rsid w:val="0088014A"/>
    <w:rsid w:val="008801DC"/>
    <w:rsid w:val="008829EA"/>
    <w:rsid w:val="00883DB9"/>
    <w:rsid w:val="00886870"/>
    <w:rsid w:val="00887CEA"/>
    <w:rsid w:val="00890234"/>
    <w:rsid w:val="008913B2"/>
    <w:rsid w:val="008933A7"/>
    <w:rsid w:val="0089366A"/>
    <w:rsid w:val="008944B4"/>
    <w:rsid w:val="00895576"/>
    <w:rsid w:val="008962FD"/>
    <w:rsid w:val="00896FB2"/>
    <w:rsid w:val="008971C9"/>
    <w:rsid w:val="008A262E"/>
    <w:rsid w:val="008A27A1"/>
    <w:rsid w:val="008A4FBD"/>
    <w:rsid w:val="008A612E"/>
    <w:rsid w:val="008A7DF3"/>
    <w:rsid w:val="008A7E08"/>
    <w:rsid w:val="008B0F65"/>
    <w:rsid w:val="008B17A5"/>
    <w:rsid w:val="008B41CD"/>
    <w:rsid w:val="008B4905"/>
    <w:rsid w:val="008B4B77"/>
    <w:rsid w:val="008B52A9"/>
    <w:rsid w:val="008B6A04"/>
    <w:rsid w:val="008B6F7E"/>
    <w:rsid w:val="008C001D"/>
    <w:rsid w:val="008C1577"/>
    <w:rsid w:val="008C2648"/>
    <w:rsid w:val="008C2A39"/>
    <w:rsid w:val="008C2A87"/>
    <w:rsid w:val="008C3D40"/>
    <w:rsid w:val="008C4A44"/>
    <w:rsid w:val="008C6241"/>
    <w:rsid w:val="008C6C2B"/>
    <w:rsid w:val="008C74A8"/>
    <w:rsid w:val="008D1024"/>
    <w:rsid w:val="008D1D39"/>
    <w:rsid w:val="008D3895"/>
    <w:rsid w:val="008D42CF"/>
    <w:rsid w:val="008D70FA"/>
    <w:rsid w:val="008D78D7"/>
    <w:rsid w:val="008E1DC4"/>
    <w:rsid w:val="008E4383"/>
    <w:rsid w:val="008E4C40"/>
    <w:rsid w:val="008E5354"/>
    <w:rsid w:val="008E56A5"/>
    <w:rsid w:val="008E72EA"/>
    <w:rsid w:val="008E7F69"/>
    <w:rsid w:val="008F2570"/>
    <w:rsid w:val="008F3A61"/>
    <w:rsid w:val="008F528D"/>
    <w:rsid w:val="008F587D"/>
    <w:rsid w:val="008F659B"/>
    <w:rsid w:val="008F67A8"/>
    <w:rsid w:val="008F7A73"/>
    <w:rsid w:val="0090155B"/>
    <w:rsid w:val="00901AD6"/>
    <w:rsid w:val="00910919"/>
    <w:rsid w:val="009117FB"/>
    <w:rsid w:val="00912979"/>
    <w:rsid w:val="00915CFD"/>
    <w:rsid w:val="0091709B"/>
    <w:rsid w:val="009174DF"/>
    <w:rsid w:val="00921C55"/>
    <w:rsid w:val="00923A98"/>
    <w:rsid w:val="009245D6"/>
    <w:rsid w:val="009260D5"/>
    <w:rsid w:val="00926EC9"/>
    <w:rsid w:val="0092780E"/>
    <w:rsid w:val="009304A2"/>
    <w:rsid w:val="00930AB7"/>
    <w:rsid w:val="00930F53"/>
    <w:rsid w:val="00931995"/>
    <w:rsid w:val="00935E0E"/>
    <w:rsid w:val="009368DC"/>
    <w:rsid w:val="00940645"/>
    <w:rsid w:val="00941344"/>
    <w:rsid w:val="00942EF5"/>
    <w:rsid w:val="00944DD8"/>
    <w:rsid w:val="00945D19"/>
    <w:rsid w:val="00947AAB"/>
    <w:rsid w:val="00947EAC"/>
    <w:rsid w:val="00950570"/>
    <w:rsid w:val="00950AA6"/>
    <w:rsid w:val="009513AC"/>
    <w:rsid w:val="00954062"/>
    <w:rsid w:val="00954CC0"/>
    <w:rsid w:val="009550F9"/>
    <w:rsid w:val="0095629F"/>
    <w:rsid w:val="00956E3B"/>
    <w:rsid w:val="00957281"/>
    <w:rsid w:val="009572DF"/>
    <w:rsid w:val="00957E5B"/>
    <w:rsid w:val="00962FCC"/>
    <w:rsid w:val="0096531C"/>
    <w:rsid w:val="00965FAE"/>
    <w:rsid w:val="009676E9"/>
    <w:rsid w:val="00973726"/>
    <w:rsid w:val="009772E8"/>
    <w:rsid w:val="0097767F"/>
    <w:rsid w:val="00977700"/>
    <w:rsid w:val="00983CAE"/>
    <w:rsid w:val="009842E2"/>
    <w:rsid w:val="00984992"/>
    <w:rsid w:val="00984F89"/>
    <w:rsid w:val="0098574E"/>
    <w:rsid w:val="00986289"/>
    <w:rsid w:val="00986FE8"/>
    <w:rsid w:val="00987287"/>
    <w:rsid w:val="0099030C"/>
    <w:rsid w:val="00991AA7"/>
    <w:rsid w:val="00994547"/>
    <w:rsid w:val="009953D4"/>
    <w:rsid w:val="00995B44"/>
    <w:rsid w:val="00995DD8"/>
    <w:rsid w:val="009A087F"/>
    <w:rsid w:val="009A1934"/>
    <w:rsid w:val="009A1B39"/>
    <w:rsid w:val="009A1D13"/>
    <w:rsid w:val="009A37BD"/>
    <w:rsid w:val="009A5661"/>
    <w:rsid w:val="009A64C9"/>
    <w:rsid w:val="009A71C8"/>
    <w:rsid w:val="009B3259"/>
    <w:rsid w:val="009B79DA"/>
    <w:rsid w:val="009C1164"/>
    <w:rsid w:val="009C18A4"/>
    <w:rsid w:val="009C20C5"/>
    <w:rsid w:val="009C659E"/>
    <w:rsid w:val="009C728C"/>
    <w:rsid w:val="009D10E1"/>
    <w:rsid w:val="009D1283"/>
    <w:rsid w:val="009D2A82"/>
    <w:rsid w:val="009D31FF"/>
    <w:rsid w:val="009D356D"/>
    <w:rsid w:val="009D69C1"/>
    <w:rsid w:val="009D6B77"/>
    <w:rsid w:val="009D7673"/>
    <w:rsid w:val="009D770C"/>
    <w:rsid w:val="009E0B6B"/>
    <w:rsid w:val="009E4A64"/>
    <w:rsid w:val="009E64EF"/>
    <w:rsid w:val="009E751E"/>
    <w:rsid w:val="009F0509"/>
    <w:rsid w:val="009F0AD7"/>
    <w:rsid w:val="009F0D4A"/>
    <w:rsid w:val="009F1B17"/>
    <w:rsid w:val="009F1C01"/>
    <w:rsid w:val="009F29B9"/>
    <w:rsid w:val="009F2D5E"/>
    <w:rsid w:val="009F3888"/>
    <w:rsid w:val="009F3BDB"/>
    <w:rsid w:val="00A009D4"/>
    <w:rsid w:val="00A00E28"/>
    <w:rsid w:val="00A02274"/>
    <w:rsid w:val="00A02B16"/>
    <w:rsid w:val="00A063CF"/>
    <w:rsid w:val="00A066E3"/>
    <w:rsid w:val="00A10679"/>
    <w:rsid w:val="00A108D6"/>
    <w:rsid w:val="00A14808"/>
    <w:rsid w:val="00A15F5B"/>
    <w:rsid w:val="00A1723A"/>
    <w:rsid w:val="00A209BE"/>
    <w:rsid w:val="00A21E03"/>
    <w:rsid w:val="00A2223B"/>
    <w:rsid w:val="00A223AC"/>
    <w:rsid w:val="00A22532"/>
    <w:rsid w:val="00A25154"/>
    <w:rsid w:val="00A25295"/>
    <w:rsid w:val="00A27178"/>
    <w:rsid w:val="00A273E0"/>
    <w:rsid w:val="00A305D4"/>
    <w:rsid w:val="00A320AF"/>
    <w:rsid w:val="00A340F8"/>
    <w:rsid w:val="00A34C6D"/>
    <w:rsid w:val="00A36691"/>
    <w:rsid w:val="00A41EC9"/>
    <w:rsid w:val="00A42973"/>
    <w:rsid w:val="00A43DFE"/>
    <w:rsid w:val="00A47F09"/>
    <w:rsid w:val="00A50C96"/>
    <w:rsid w:val="00A51825"/>
    <w:rsid w:val="00A51BDC"/>
    <w:rsid w:val="00A52631"/>
    <w:rsid w:val="00A52AF8"/>
    <w:rsid w:val="00A53050"/>
    <w:rsid w:val="00A53A70"/>
    <w:rsid w:val="00A5456A"/>
    <w:rsid w:val="00A55C34"/>
    <w:rsid w:val="00A55FED"/>
    <w:rsid w:val="00A57957"/>
    <w:rsid w:val="00A616EA"/>
    <w:rsid w:val="00A61AFA"/>
    <w:rsid w:val="00A61F99"/>
    <w:rsid w:val="00A631C8"/>
    <w:rsid w:val="00A637AE"/>
    <w:rsid w:val="00A63E80"/>
    <w:rsid w:val="00A659F9"/>
    <w:rsid w:val="00A667EB"/>
    <w:rsid w:val="00A70683"/>
    <w:rsid w:val="00A71366"/>
    <w:rsid w:val="00A71375"/>
    <w:rsid w:val="00A72D4E"/>
    <w:rsid w:val="00A73C37"/>
    <w:rsid w:val="00A73CD6"/>
    <w:rsid w:val="00A73CEF"/>
    <w:rsid w:val="00A74FBD"/>
    <w:rsid w:val="00A80059"/>
    <w:rsid w:val="00A81F5E"/>
    <w:rsid w:val="00A82D66"/>
    <w:rsid w:val="00A847C4"/>
    <w:rsid w:val="00A84C55"/>
    <w:rsid w:val="00A85BCE"/>
    <w:rsid w:val="00A8691C"/>
    <w:rsid w:val="00A9008A"/>
    <w:rsid w:val="00A90C7E"/>
    <w:rsid w:val="00A95470"/>
    <w:rsid w:val="00A97F09"/>
    <w:rsid w:val="00AA3884"/>
    <w:rsid w:val="00AA3929"/>
    <w:rsid w:val="00AA6094"/>
    <w:rsid w:val="00AA6FCA"/>
    <w:rsid w:val="00AA70E8"/>
    <w:rsid w:val="00AB1A01"/>
    <w:rsid w:val="00AB3E78"/>
    <w:rsid w:val="00AB676A"/>
    <w:rsid w:val="00AB6E17"/>
    <w:rsid w:val="00AC0E07"/>
    <w:rsid w:val="00AC202D"/>
    <w:rsid w:val="00AC342E"/>
    <w:rsid w:val="00AC4932"/>
    <w:rsid w:val="00AC494E"/>
    <w:rsid w:val="00AC6129"/>
    <w:rsid w:val="00AC6B02"/>
    <w:rsid w:val="00AC7A45"/>
    <w:rsid w:val="00AD096F"/>
    <w:rsid w:val="00AD0A74"/>
    <w:rsid w:val="00AD11EE"/>
    <w:rsid w:val="00AD1484"/>
    <w:rsid w:val="00AD2A1A"/>
    <w:rsid w:val="00AD2E04"/>
    <w:rsid w:val="00AD3948"/>
    <w:rsid w:val="00AD619C"/>
    <w:rsid w:val="00AE1C0C"/>
    <w:rsid w:val="00AE2185"/>
    <w:rsid w:val="00AE2D66"/>
    <w:rsid w:val="00AE6301"/>
    <w:rsid w:val="00AE6482"/>
    <w:rsid w:val="00AE6CF2"/>
    <w:rsid w:val="00AF1CD1"/>
    <w:rsid w:val="00AF2960"/>
    <w:rsid w:val="00AF31EC"/>
    <w:rsid w:val="00AF3B0B"/>
    <w:rsid w:val="00AF42E4"/>
    <w:rsid w:val="00AF536B"/>
    <w:rsid w:val="00AF77A4"/>
    <w:rsid w:val="00B01B36"/>
    <w:rsid w:val="00B0245F"/>
    <w:rsid w:val="00B061B1"/>
    <w:rsid w:val="00B10298"/>
    <w:rsid w:val="00B11374"/>
    <w:rsid w:val="00B1224E"/>
    <w:rsid w:val="00B12EE8"/>
    <w:rsid w:val="00B137F6"/>
    <w:rsid w:val="00B14EAE"/>
    <w:rsid w:val="00B15355"/>
    <w:rsid w:val="00B15D8C"/>
    <w:rsid w:val="00B1779A"/>
    <w:rsid w:val="00B204E4"/>
    <w:rsid w:val="00B20AF4"/>
    <w:rsid w:val="00B229AA"/>
    <w:rsid w:val="00B256C4"/>
    <w:rsid w:val="00B2639A"/>
    <w:rsid w:val="00B27914"/>
    <w:rsid w:val="00B279DA"/>
    <w:rsid w:val="00B3013E"/>
    <w:rsid w:val="00B3123D"/>
    <w:rsid w:val="00B338F4"/>
    <w:rsid w:val="00B33B75"/>
    <w:rsid w:val="00B341DA"/>
    <w:rsid w:val="00B4303F"/>
    <w:rsid w:val="00B4392B"/>
    <w:rsid w:val="00B43EF8"/>
    <w:rsid w:val="00B441B3"/>
    <w:rsid w:val="00B45A9D"/>
    <w:rsid w:val="00B473F0"/>
    <w:rsid w:val="00B47E42"/>
    <w:rsid w:val="00B50000"/>
    <w:rsid w:val="00B52554"/>
    <w:rsid w:val="00B546FA"/>
    <w:rsid w:val="00B55A53"/>
    <w:rsid w:val="00B564C6"/>
    <w:rsid w:val="00B61995"/>
    <w:rsid w:val="00B62060"/>
    <w:rsid w:val="00B637C7"/>
    <w:rsid w:val="00B65270"/>
    <w:rsid w:val="00B65FA8"/>
    <w:rsid w:val="00B6745D"/>
    <w:rsid w:val="00B674E9"/>
    <w:rsid w:val="00B70534"/>
    <w:rsid w:val="00B72334"/>
    <w:rsid w:val="00B7236C"/>
    <w:rsid w:val="00B72DAA"/>
    <w:rsid w:val="00B72F26"/>
    <w:rsid w:val="00B73D42"/>
    <w:rsid w:val="00B73E1D"/>
    <w:rsid w:val="00B73ED2"/>
    <w:rsid w:val="00B74D71"/>
    <w:rsid w:val="00B81AD3"/>
    <w:rsid w:val="00B81E8D"/>
    <w:rsid w:val="00B822F6"/>
    <w:rsid w:val="00B83AFD"/>
    <w:rsid w:val="00B84D93"/>
    <w:rsid w:val="00B8697A"/>
    <w:rsid w:val="00B87B54"/>
    <w:rsid w:val="00B92246"/>
    <w:rsid w:val="00B933B7"/>
    <w:rsid w:val="00B93F6E"/>
    <w:rsid w:val="00B94622"/>
    <w:rsid w:val="00B95F33"/>
    <w:rsid w:val="00B95F52"/>
    <w:rsid w:val="00B97177"/>
    <w:rsid w:val="00BA2D9D"/>
    <w:rsid w:val="00BA4E47"/>
    <w:rsid w:val="00BA4F7D"/>
    <w:rsid w:val="00BA7A29"/>
    <w:rsid w:val="00BA7C0F"/>
    <w:rsid w:val="00BB44ED"/>
    <w:rsid w:val="00BB79A9"/>
    <w:rsid w:val="00BB7A52"/>
    <w:rsid w:val="00BC1834"/>
    <w:rsid w:val="00BC40E8"/>
    <w:rsid w:val="00BC600D"/>
    <w:rsid w:val="00BC650A"/>
    <w:rsid w:val="00BD1E9D"/>
    <w:rsid w:val="00BD3E2A"/>
    <w:rsid w:val="00BD41AB"/>
    <w:rsid w:val="00BD4CE6"/>
    <w:rsid w:val="00BD7F91"/>
    <w:rsid w:val="00BE0CDC"/>
    <w:rsid w:val="00BE0FB9"/>
    <w:rsid w:val="00BE35A2"/>
    <w:rsid w:val="00BE3F81"/>
    <w:rsid w:val="00BE4958"/>
    <w:rsid w:val="00BE5D09"/>
    <w:rsid w:val="00BE6963"/>
    <w:rsid w:val="00BF011A"/>
    <w:rsid w:val="00BF03AB"/>
    <w:rsid w:val="00BF29EE"/>
    <w:rsid w:val="00BF501A"/>
    <w:rsid w:val="00BF7287"/>
    <w:rsid w:val="00C01134"/>
    <w:rsid w:val="00C01346"/>
    <w:rsid w:val="00C04BCD"/>
    <w:rsid w:val="00C05518"/>
    <w:rsid w:val="00C100A4"/>
    <w:rsid w:val="00C140A5"/>
    <w:rsid w:val="00C15303"/>
    <w:rsid w:val="00C155B2"/>
    <w:rsid w:val="00C161E8"/>
    <w:rsid w:val="00C16D1F"/>
    <w:rsid w:val="00C21069"/>
    <w:rsid w:val="00C231E6"/>
    <w:rsid w:val="00C247C2"/>
    <w:rsid w:val="00C24D2A"/>
    <w:rsid w:val="00C25905"/>
    <w:rsid w:val="00C355C6"/>
    <w:rsid w:val="00C36F5E"/>
    <w:rsid w:val="00C36FC1"/>
    <w:rsid w:val="00C37832"/>
    <w:rsid w:val="00C37F67"/>
    <w:rsid w:val="00C42424"/>
    <w:rsid w:val="00C430A8"/>
    <w:rsid w:val="00C447BF"/>
    <w:rsid w:val="00C47C05"/>
    <w:rsid w:val="00C51B16"/>
    <w:rsid w:val="00C54685"/>
    <w:rsid w:val="00C554AE"/>
    <w:rsid w:val="00C57995"/>
    <w:rsid w:val="00C57B57"/>
    <w:rsid w:val="00C6064D"/>
    <w:rsid w:val="00C60FC5"/>
    <w:rsid w:val="00C61B95"/>
    <w:rsid w:val="00C6246C"/>
    <w:rsid w:val="00C62ED9"/>
    <w:rsid w:val="00C640DF"/>
    <w:rsid w:val="00C64A32"/>
    <w:rsid w:val="00C64CEE"/>
    <w:rsid w:val="00C665CC"/>
    <w:rsid w:val="00C67B38"/>
    <w:rsid w:val="00C713B0"/>
    <w:rsid w:val="00C71E5A"/>
    <w:rsid w:val="00C72782"/>
    <w:rsid w:val="00C73232"/>
    <w:rsid w:val="00C817B6"/>
    <w:rsid w:val="00C81FE0"/>
    <w:rsid w:val="00C8217E"/>
    <w:rsid w:val="00C8722E"/>
    <w:rsid w:val="00C878D5"/>
    <w:rsid w:val="00C90229"/>
    <w:rsid w:val="00C90603"/>
    <w:rsid w:val="00C90778"/>
    <w:rsid w:val="00C936B7"/>
    <w:rsid w:val="00C94FE0"/>
    <w:rsid w:val="00C968A2"/>
    <w:rsid w:val="00C96B1C"/>
    <w:rsid w:val="00CA010B"/>
    <w:rsid w:val="00CA0A6C"/>
    <w:rsid w:val="00CA0B34"/>
    <w:rsid w:val="00CA2B09"/>
    <w:rsid w:val="00CA2B3F"/>
    <w:rsid w:val="00CA3419"/>
    <w:rsid w:val="00CA35D9"/>
    <w:rsid w:val="00CA3D6F"/>
    <w:rsid w:val="00CA3F05"/>
    <w:rsid w:val="00CA45D3"/>
    <w:rsid w:val="00CA4D2A"/>
    <w:rsid w:val="00CA5A6E"/>
    <w:rsid w:val="00CA6124"/>
    <w:rsid w:val="00CB087B"/>
    <w:rsid w:val="00CB1336"/>
    <w:rsid w:val="00CB24AF"/>
    <w:rsid w:val="00CB2B69"/>
    <w:rsid w:val="00CB7D48"/>
    <w:rsid w:val="00CC0654"/>
    <w:rsid w:val="00CC23CB"/>
    <w:rsid w:val="00CC3AE9"/>
    <w:rsid w:val="00CC42A7"/>
    <w:rsid w:val="00CC440F"/>
    <w:rsid w:val="00CC5406"/>
    <w:rsid w:val="00CC5462"/>
    <w:rsid w:val="00CC61B9"/>
    <w:rsid w:val="00CD067B"/>
    <w:rsid w:val="00CD0C15"/>
    <w:rsid w:val="00CD515B"/>
    <w:rsid w:val="00CD5714"/>
    <w:rsid w:val="00CD5DCE"/>
    <w:rsid w:val="00CD6316"/>
    <w:rsid w:val="00CD7FBE"/>
    <w:rsid w:val="00CE0C2E"/>
    <w:rsid w:val="00CE0DE5"/>
    <w:rsid w:val="00CE287F"/>
    <w:rsid w:val="00CE419F"/>
    <w:rsid w:val="00CE6AAF"/>
    <w:rsid w:val="00CE778B"/>
    <w:rsid w:val="00CE7FAA"/>
    <w:rsid w:val="00CF2EFD"/>
    <w:rsid w:val="00CF3138"/>
    <w:rsid w:val="00CF3FBB"/>
    <w:rsid w:val="00CF42BC"/>
    <w:rsid w:val="00CF4B75"/>
    <w:rsid w:val="00CF6CB4"/>
    <w:rsid w:val="00CF6CED"/>
    <w:rsid w:val="00D002C1"/>
    <w:rsid w:val="00D02156"/>
    <w:rsid w:val="00D02E19"/>
    <w:rsid w:val="00D055B1"/>
    <w:rsid w:val="00D0636E"/>
    <w:rsid w:val="00D06CDE"/>
    <w:rsid w:val="00D11395"/>
    <w:rsid w:val="00D1396F"/>
    <w:rsid w:val="00D1437B"/>
    <w:rsid w:val="00D14A55"/>
    <w:rsid w:val="00D1553F"/>
    <w:rsid w:val="00D16618"/>
    <w:rsid w:val="00D173C5"/>
    <w:rsid w:val="00D2081F"/>
    <w:rsid w:val="00D23BB0"/>
    <w:rsid w:val="00D23C65"/>
    <w:rsid w:val="00D23E36"/>
    <w:rsid w:val="00D260BE"/>
    <w:rsid w:val="00D267C4"/>
    <w:rsid w:val="00D273A3"/>
    <w:rsid w:val="00D30913"/>
    <w:rsid w:val="00D30A4E"/>
    <w:rsid w:val="00D30DFB"/>
    <w:rsid w:val="00D3135B"/>
    <w:rsid w:val="00D33557"/>
    <w:rsid w:val="00D33624"/>
    <w:rsid w:val="00D35F46"/>
    <w:rsid w:val="00D36BBB"/>
    <w:rsid w:val="00D37398"/>
    <w:rsid w:val="00D377D4"/>
    <w:rsid w:val="00D4458B"/>
    <w:rsid w:val="00D45CBD"/>
    <w:rsid w:val="00D46EA5"/>
    <w:rsid w:val="00D514A8"/>
    <w:rsid w:val="00D523EE"/>
    <w:rsid w:val="00D53F37"/>
    <w:rsid w:val="00D54DF2"/>
    <w:rsid w:val="00D5689F"/>
    <w:rsid w:val="00D56B0C"/>
    <w:rsid w:val="00D57B7F"/>
    <w:rsid w:val="00D60499"/>
    <w:rsid w:val="00D62478"/>
    <w:rsid w:val="00D62E29"/>
    <w:rsid w:val="00D631C3"/>
    <w:rsid w:val="00D6688D"/>
    <w:rsid w:val="00D66C8D"/>
    <w:rsid w:val="00D67FE1"/>
    <w:rsid w:val="00D70542"/>
    <w:rsid w:val="00D7092D"/>
    <w:rsid w:val="00D711C7"/>
    <w:rsid w:val="00D72BD8"/>
    <w:rsid w:val="00D809B3"/>
    <w:rsid w:val="00D80C07"/>
    <w:rsid w:val="00D80EDC"/>
    <w:rsid w:val="00D822D7"/>
    <w:rsid w:val="00D831CD"/>
    <w:rsid w:val="00D843D0"/>
    <w:rsid w:val="00D85202"/>
    <w:rsid w:val="00D86C1E"/>
    <w:rsid w:val="00D86ECB"/>
    <w:rsid w:val="00D875D4"/>
    <w:rsid w:val="00D91575"/>
    <w:rsid w:val="00D91C63"/>
    <w:rsid w:val="00D926A3"/>
    <w:rsid w:val="00D95525"/>
    <w:rsid w:val="00D966A2"/>
    <w:rsid w:val="00D96ED5"/>
    <w:rsid w:val="00DA10D9"/>
    <w:rsid w:val="00DA1C19"/>
    <w:rsid w:val="00DA336B"/>
    <w:rsid w:val="00DA5FB7"/>
    <w:rsid w:val="00DA6139"/>
    <w:rsid w:val="00DA75BC"/>
    <w:rsid w:val="00DB043B"/>
    <w:rsid w:val="00DB0FAC"/>
    <w:rsid w:val="00DB0FB9"/>
    <w:rsid w:val="00DB14F7"/>
    <w:rsid w:val="00DC05C6"/>
    <w:rsid w:val="00DC078B"/>
    <w:rsid w:val="00DC082D"/>
    <w:rsid w:val="00DC0BFB"/>
    <w:rsid w:val="00DC1BA4"/>
    <w:rsid w:val="00DC3BA4"/>
    <w:rsid w:val="00DC4C26"/>
    <w:rsid w:val="00DC5A23"/>
    <w:rsid w:val="00DC6019"/>
    <w:rsid w:val="00DC669A"/>
    <w:rsid w:val="00DC6CEA"/>
    <w:rsid w:val="00DD034A"/>
    <w:rsid w:val="00DD1007"/>
    <w:rsid w:val="00DD1509"/>
    <w:rsid w:val="00DD34DD"/>
    <w:rsid w:val="00DD508E"/>
    <w:rsid w:val="00DD56F8"/>
    <w:rsid w:val="00DE2D0B"/>
    <w:rsid w:val="00DE5A55"/>
    <w:rsid w:val="00DE61CD"/>
    <w:rsid w:val="00DE6F7C"/>
    <w:rsid w:val="00DE7135"/>
    <w:rsid w:val="00DE746E"/>
    <w:rsid w:val="00DE7564"/>
    <w:rsid w:val="00DF3B03"/>
    <w:rsid w:val="00DF3B94"/>
    <w:rsid w:val="00DF5AB3"/>
    <w:rsid w:val="00E0207C"/>
    <w:rsid w:val="00E0318D"/>
    <w:rsid w:val="00E04BE0"/>
    <w:rsid w:val="00E0518E"/>
    <w:rsid w:val="00E067A6"/>
    <w:rsid w:val="00E106A6"/>
    <w:rsid w:val="00E10CEC"/>
    <w:rsid w:val="00E115A4"/>
    <w:rsid w:val="00E14C45"/>
    <w:rsid w:val="00E153EC"/>
    <w:rsid w:val="00E15C12"/>
    <w:rsid w:val="00E169D8"/>
    <w:rsid w:val="00E172C5"/>
    <w:rsid w:val="00E215D0"/>
    <w:rsid w:val="00E2229B"/>
    <w:rsid w:val="00E236B7"/>
    <w:rsid w:val="00E24DF3"/>
    <w:rsid w:val="00E2515B"/>
    <w:rsid w:val="00E266B0"/>
    <w:rsid w:val="00E279EC"/>
    <w:rsid w:val="00E32A6C"/>
    <w:rsid w:val="00E33E70"/>
    <w:rsid w:val="00E34113"/>
    <w:rsid w:val="00E36900"/>
    <w:rsid w:val="00E40F71"/>
    <w:rsid w:val="00E4100F"/>
    <w:rsid w:val="00E4101F"/>
    <w:rsid w:val="00E41361"/>
    <w:rsid w:val="00E41B06"/>
    <w:rsid w:val="00E42130"/>
    <w:rsid w:val="00E42891"/>
    <w:rsid w:val="00E43FA5"/>
    <w:rsid w:val="00E44373"/>
    <w:rsid w:val="00E4607B"/>
    <w:rsid w:val="00E47AF3"/>
    <w:rsid w:val="00E50C0F"/>
    <w:rsid w:val="00E51E30"/>
    <w:rsid w:val="00E52562"/>
    <w:rsid w:val="00E52789"/>
    <w:rsid w:val="00E53487"/>
    <w:rsid w:val="00E53F8C"/>
    <w:rsid w:val="00E55307"/>
    <w:rsid w:val="00E57B33"/>
    <w:rsid w:val="00E607E8"/>
    <w:rsid w:val="00E63744"/>
    <w:rsid w:val="00E64A7E"/>
    <w:rsid w:val="00E64E37"/>
    <w:rsid w:val="00E65836"/>
    <w:rsid w:val="00E65F0E"/>
    <w:rsid w:val="00E67580"/>
    <w:rsid w:val="00E71FD7"/>
    <w:rsid w:val="00E72D0E"/>
    <w:rsid w:val="00E73F67"/>
    <w:rsid w:val="00E74B5E"/>
    <w:rsid w:val="00E7536B"/>
    <w:rsid w:val="00E8161F"/>
    <w:rsid w:val="00E81F2B"/>
    <w:rsid w:val="00E82419"/>
    <w:rsid w:val="00E85456"/>
    <w:rsid w:val="00E86D6E"/>
    <w:rsid w:val="00E87140"/>
    <w:rsid w:val="00E908B6"/>
    <w:rsid w:val="00E91302"/>
    <w:rsid w:val="00E919F4"/>
    <w:rsid w:val="00E91D59"/>
    <w:rsid w:val="00E921A0"/>
    <w:rsid w:val="00E94B2D"/>
    <w:rsid w:val="00E96801"/>
    <w:rsid w:val="00EA56C2"/>
    <w:rsid w:val="00EB0D73"/>
    <w:rsid w:val="00EB119E"/>
    <w:rsid w:val="00EB140D"/>
    <w:rsid w:val="00EB1C4F"/>
    <w:rsid w:val="00EB2FB3"/>
    <w:rsid w:val="00EB52D2"/>
    <w:rsid w:val="00EB55C3"/>
    <w:rsid w:val="00EB5975"/>
    <w:rsid w:val="00EB5B66"/>
    <w:rsid w:val="00EC0D35"/>
    <w:rsid w:val="00EC447F"/>
    <w:rsid w:val="00ED01D1"/>
    <w:rsid w:val="00ED2DC0"/>
    <w:rsid w:val="00ED521C"/>
    <w:rsid w:val="00ED6376"/>
    <w:rsid w:val="00ED64BA"/>
    <w:rsid w:val="00ED67A9"/>
    <w:rsid w:val="00ED749C"/>
    <w:rsid w:val="00ED7E30"/>
    <w:rsid w:val="00EE1435"/>
    <w:rsid w:val="00EE1485"/>
    <w:rsid w:val="00EE331F"/>
    <w:rsid w:val="00EE5121"/>
    <w:rsid w:val="00EE5259"/>
    <w:rsid w:val="00EE52CC"/>
    <w:rsid w:val="00EE6B40"/>
    <w:rsid w:val="00EF2046"/>
    <w:rsid w:val="00EF3F7C"/>
    <w:rsid w:val="00EF646D"/>
    <w:rsid w:val="00EF7C75"/>
    <w:rsid w:val="00F019BD"/>
    <w:rsid w:val="00F02181"/>
    <w:rsid w:val="00F02F25"/>
    <w:rsid w:val="00F02FF4"/>
    <w:rsid w:val="00F0350E"/>
    <w:rsid w:val="00F05487"/>
    <w:rsid w:val="00F07E4B"/>
    <w:rsid w:val="00F10E73"/>
    <w:rsid w:val="00F14A6D"/>
    <w:rsid w:val="00F1507C"/>
    <w:rsid w:val="00F16ED9"/>
    <w:rsid w:val="00F207BD"/>
    <w:rsid w:val="00F211D0"/>
    <w:rsid w:val="00F21473"/>
    <w:rsid w:val="00F231C5"/>
    <w:rsid w:val="00F23825"/>
    <w:rsid w:val="00F24CB5"/>
    <w:rsid w:val="00F273DA"/>
    <w:rsid w:val="00F3061A"/>
    <w:rsid w:val="00F325F2"/>
    <w:rsid w:val="00F328D1"/>
    <w:rsid w:val="00F33C45"/>
    <w:rsid w:val="00F33C9C"/>
    <w:rsid w:val="00F33F4B"/>
    <w:rsid w:val="00F34A1D"/>
    <w:rsid w:val="00F363C5"/>
    <w:rsid w:val="00F373F8"/>
    <w:rsid w:val="00F421F5"/>
    <w:rsid w:val="00F4249A"/>
    <w:rsid w:val="00F43527"/>
    <w:rsid w:val="00F44203"/>
    <w:rsid w:val="00F44EB8"/>
    <w:rsid w:val="00F51B77"/>
    <w:rsid w:val="00F52980"/>
    <w:rsid w:val="00F54C52"/>
    <w:rsid w:val="00F54E27"/>
    <w:rsid w:val="00F5510C"/>
    <w:rsid w:val="00F55AB0"/>
    <w:rsid w:val="00F56237"/>
    <w:rsid w:val="00F60A3F"/>
    <w:rsid w:val="00F62AFA"/>
    <w:rsid w:val="00F63836"/>
    <w:rsid w:val="00F63FAE"/>
    <w:rsid w:val="00F64745"/>
    <w:rsid w:val="00F719E9"/>
    <w:rsid w:val="00F7278C"/>
    <w:rsid w:val="00F72924"/>
    <w:rsid w:val="00F73006"/>
    <w:rsid w:val="00F74A4A"/>
    <w:rsid w:val="00F75D92"/>
    <w:rsid w:val="00F7631C"/>
    <w:rsid w:val="00F77DA5"/>
    <w:rsid w:val="00F802A1"/>
    <w:rsid w:val="00F81ABF"/>
    <w:rsid w:val="00F8371B"/>
    <w:rsid w:val="00F84264"/>
    <w:rsid w:val="00F842A9"/>
    <w:rsid w:val="00F852E5"/>
    <w:rsid w:val="00F91B97"/>
    <w:rsid w:val="00F93759"/>
    <w:rsid w:val="00F94854"/>
    <w:rsid w:val="00F97686"/>
    <w:rsid w:val="00F97704"/>
    <w:rsid w:val="00F97DF3"/>
    <w:rsid w:val="00FA2989"/>
    <w:rsid w:val="00FA2CBB"/>
    <w:rsid w:val="00FA64D2"/>
    <w:rsid w:val="00FA761D"/>
    <w:rsid w:val="00FA772D"/>
    <w:rsid w:val="00FA78A3"/>
    <w:rsid w:val="00FB3731"/>
    <w:rsid w:val="00FB6527"/>
    <w:rsid w:val="00FB7C05"/>
    <w:rsid w:val="00FB7F24"/>
    <w:rsid w:val="00FC1653"/>
    <w:rsid w:val="00FC2313"/>
    <w:rsid w:val="00FC5490"/>
    <w:rsid w:val="00FC5FC8"/>
    <w:rsid w:val="00FC6BBB"/>
    <w:rsid w:val="00FC6F63"/>
    <w:rsid w:val="00FD02DF"/>
    <w:rsid w:val="00FD335A"/>
    <w:rsid w:val="00FD4E17"/>
    <w:rsid w:val="00FD628F"/>
    <w:rsid w:val="00FE011D"/>
    <w:rsid w:val="00FE10E5"/>
    <w:rsid w:val="00FE2083"/>
    <w:rsid w:val="00FE3A5E"/>
    <w:rsid w:val="00FE4263"/>
    <w:rsid w:val="00FE4882"/>
    <w:rsid w:val="00FF1AF8"/>
    <w:rsid w:val="00FF1CF2"/>
    <w:rsid w:val="00FF2CB8"/>
    <w:rsid w:val="00FF2E30"/>
    <w:rsid w:val="00FF4B5A"/>
    <w:rsid w:val="00FF5194"/>
    <w:rsid w:val="00FF6F6F"/>
    <w:rsid w:val="00FF7166"/>
    <w:rsid w:val="00FF78DE"/>
    <w:rsid w:val="035967E0"/>
    <w:rsid w:val="063DCA78"/>
    <w:rsid w:val="09F815E4"/>
    <w:rsid w:val="0D95C992"/>
    <w:rsid w:val="151DB0A8"/>
    <w:rsid w:val="19B7F1CA"/>
    <w:rsid w:val="2DC95FAA"/>
    <w:rsid w:val="3797A1F4"/>
    <w:rsid w:val="524E57C8"/>
    <w:rsid w:val="540D2CF4"/>
    <w:rsid w:val="54E56C76"/>
    <w:rsid w:val="5C7A9E0C"/>
    <w:rsid w:val="5E33F714"/>
    <w:rsid w:val="61F4081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DE88C"/>
  <w15:docId w15:val="{DA16DCB6-65A0-4012-87A2-BC999B1A9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D0ABA"/>
    <w:rPr>
      <w:rFonts w:ascii="Calibri" w:eastAsia="Calibri" w:hAnsi="Calibri" w:cs="Calibri"/>
      <w:color w:val="000000"/>
      <w:lang w:val="es-PE" w:eastAsia="es-PE"/>
    </w:rPr>
  </w:style>
  <w:style w:type="paragraph" w:styleId="Ttulo1">
    <w:name w:val="heading 1"/>
    <w:basedOn w:val="Normal"/>
    <w:next w:val="Normal"/>
    <w:link w:val="Ttulo1Car"/>
    <w:uiPriority w:val="9"/>
    <w:qFormat/>
    <w:rsid w:val="00C90603"/>
    <w:pPr>
      <w:keepNext/>
      <w:keepLines/>
      <w:spacing w:before="240" w:after="0" w:line="240" w:lineRule="auto"/>
      <w:jc w:val="both"/>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semiHidden/>
    <w:unhideWhenUsed/>
    <w:qFormat/>
    <w:rsid w:val="00D91C63"/>
    <w:pPr>
      <w:keepNext/>
      <w:keepLines/>
      <w:spacing w:before="40" w:after="0" w:line="240" w:lineRule="auto"/>
      <w:jc w:val="both"/>
      <w:outlineLvl w:val="1"/>
    </w:pPr>
    <w:rPr>
      <w:rFonts w:asciiTheme="majorHAnsi" w:eastAsiaTheme="majorEastAsia" w:hAnsiTheme="majorHAnsi" w:cstheme="majorBidi"/>
      <w:color w:val="365F91" w:themeColor="accent1" w:themeShade="BF"/>
      <w:sz w:val="26"/>
      <w:szCs w:val="26"/>
      <w:lang w:eastAsia="en-US"/>
    </w:rPr>
  </w:style>
  <w:style w:type="paragraph" w:styleId="Ttulo4">
    <w:name w:val="heading 4"/>
    <w:basedOn w:val="Normal"/>
    <w:next w:val="Normal"/>
    <w:link w:val="Ttulo4Car"/>
    <w:uiPriority w:val="9"/>
    <w:semiHidden/>
    <w:unhideWhenUsed/>
    <w:qFormat/>
    <w:rsid w:val="00D91C63"/>
    <w:pPr>
      <w:keepNext/>
      <w:keepLines/>
      <w:spacing w:before="40" w:after="0" w:line="240" w:lineRule="auto"/>
      <w:jc w:val="both"/>
      <w:outlineLvl w:val="3"/>
    </w:pPr>
    <w:rPr>
      <w:rFonts w:asciiTheme="majorHAnsi" w:eastAsiaTheme="majorEastAsia" w:hAnsiTheme="majorHAnsi" w:cstheme="majorBidi"/>
      <w:i/>
      <w:iCs/>
      <w:color w:val="365F91" w:themeColor="accent1" w:themeShade="BF"/>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9A087F"/>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9A087F"/>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9A087F"/>
    <w:rPr>
      <w:rFonts w:ascii="Times New Roman" w:eastAsia="Times New Roman" w:hAnsi="Times New Roman" w:cs="Times New Roman"/>
      <w:color w:val="000000"/>
      <w:sz w:val="20"/>
      <w:szCs w:val="20"/>
      <w:lang w:val="es-PE"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9A087F"/>
    <w:rPr>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9A087F"/>
    <w:rPr>
      <w:rFonts w:ascii="Arial" w:eastAsia="Arial" w:hAnsi="Arial" w:cs="Arial"/>
      <w:color w:val="000000"/>
      <w:lang w:val="es-PE" w:eastAsia="es-PE"/>
    </w:rPr>
  </w:style>
  <w:style w:type="character" w:styleId="Hipervnculo">
    <w:name w:val="Hyperlink"/>
    <w:basedOn w:val="Fuentedeprrafopredeter"/>
    <w:unhideWhenUsed/>
    <w:rsid w:val="009A087F"/>
    <w:rPr>
      <w:color w:val="0000FF" w:themeColor="hyperlink"/>
      <w:u w:val="single"/>
    </w:rPr>
  </w:style>
  <w:style w:type="character" w:customStyle="1" w:styleId="apple-converted-space">
    <w:name w:val="apple-converted-space"/>
    <w:basedOn w:val="Fuentedeprrafopredeter"/>
    <w:rsid w:val="009A087F"/>
  </w:style>
  <w:style w:type="character" w:customStyle="1" w:styleId="modartculofecha">
    <w:name w:val="modartculofecha"/>
    <w:basedOn w:val="Fuentedeprrafopredeter"/>
    <w:rsid w:val="009A087F"/>
  </w:style>
  <w:style w:type="table" w:styleId="Tablaconcuadrcula">
    <w:name w:val="Table Grid"/>
    <w:basedOn w:val="Tablanormal"/>
    <w:uiPriority w:val="39"/>
    <w:rsid w:val="009A087F"/>
    <w:pPr>
      <w:spacing w:after="0" w:line="240" w:lineRule="auto"/>
    </w:pPr>
    <w:rPr>
      <w:rFonts w:ascii="Calibri" w:eastAsia="Calibri" w:hAnsi="Calibri" w:cs="Calibri"/>
      <w:color w:val="000000"/>
      <w:lang w:val="es-PE"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9A087F"/>
    <w:pPr>
      <w:spacing w:after="0" w:line="240" w:lineRule="auto"/>
    </w:pPr>
    <w:rPr>
      <w:rFonts w:ascii="Arial" w:eastAsia="Arial" w:hAnsi="Arial" w:cs="Arial"/>
      <w:color w:val="000000"/>
      <w:lang w:val="es-PE" w:eastAsia="es-PE"/>
    </w:rPr>
  </w:style>
  <w:style w:type="character" w:customStyle="1" w:styleId="normaltextrun">
    <w:name w:val="normaltextrun"/>
    <w:basedOn w:val="Fuentedeprrafopredeter"/>
    <w:rsid w:val="009A087F"/>
  </w:style>
  <w:style w:type="character" w:customStyle="1" w:styleId="eop">
    <w:name w:val="eop"/>
    <w:basedOn w:val="Fuentedeprrafopredeter"/>
    <w:rsid w:val="009A087F"/>
  </w:style>
  <w:style w:type="paragraph" w:customStyle="1" w:styleId="paragraph">
    <w:name w:val="paragraph"/>
    <w:basedOn w:val="Normal"/>
    <w:rsid w:val="009A087F"/>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9A087F"/>
    <w:rPr>
      <w:rFonts w:asciiTheme="minorHAnsi" w:eastAsiaTheme="minorHAnsi" w:hAnsiTheme="minorHAnsi" w:cstheme="minorBidi"/>
      <w:color w:val="auto"/>
      <w:vertAlign w:val="superscript"/>
      <w:lang w:val="es-ES" w:eastAsia="en-US"/>
    </w:rPr>
  </w:style>
  <w:style w:type="paragraph" w:styleId="Encabezado">
    <w:name w:val="header"/>
    <w:basedOn w:val="Normal"/>
    <w:link w:val="EncabezadoCar"/>
    <w:uiPriority w:val="99"/>
    <w:unhideWhenUsed/>
    <w:rsid w:val="009A08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087F"/>
    <w:rPr>
      <w:rFonts w:ascii="Calibri" w:eastAsia="Calibri" w:hAnsi="Calibri" w:cs="Calibri"/>
      <w:color w:val="000000"/>
      <w:lang w:val="es-PE" w:eastAsia="es-PE"/>
    </w:rPr>
  </w:style>
  <w:style w:type="paragraph" w:styleId="Piedepgina">
    <w:name w:val="footer"/>
    <w:basedOn w:val="Normal"/>
    <w:link w:val="PiedepginaCar"/>
    <w:uiPriority w:val="99"/>
    <w:unhideWhenUsed/>
    <w:rsid w:val="009A08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087F"/>
    <w:rPr>
      <w:rFonts w:ascii="Calibri" w:eastAsia="Calibri" w:hAnsi="Calibri" w:cs="Calibri"/>
      <w:color w:val="000000"/>
      <w:lang w:val="es-PE" w:eastAsia="es-PE"/>
    </w:rPr>
  </w:style>
  <w:style w:type="paragraph" w:styleId="Textodeglobo">
    <w:name w:val="Balloon Text"/>
    <w:basedOn w:val="Normal"/>
    <w:link w:val="TextodegloboCar"/>
    <w:uiPriority w:val="99"/>
    <w:semiHidden/>
    <w:unhideWhenUsed/>
    <w:rsid w:val="00D926A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926A3"/>
    <w:rPr>
      <w:rFonts w:ascii="Tahoma" w:eastAsia="Calibri" w:hAnsi="Tahoma" w:cs="Tahoma"/>
      <w:color w:val="000000"/>
      <w:sz w:val="16"/>
      <w:szCs w:val="16"/>
      <w:lang w:val="es-PE" w:eastAsia="es-PE"/>
    </w:rPr>
  </w:style>
  <w:style w:type="character" w:customStyle="1" w:styleId="spellingerror">
    <w:name w:val="spellingerror"/>
    <w:basedOn w:val="Fuentedeprrafopredeter"/>
    <w:rsid w:val="00736A4B"/>
  </w:style>
  <w:style w:type="paragraph" w:customStyle="1" w:styleId="Default">
    <w:name w:val="Default"/>
    <w:rsid w:val="00956E3B"/>
    <w:pPr>
      <w:autoSpaceDE w:val="0"/>
      <w:autoSpaceDN w:val="0"/>
      <w:adjustRightInd w:val="0"/>
      <w:spacing w:after="0" w:line="240" w:lineRule="auto"/>
    </w:pPr>
    <w:rPr>
      <w:rFonts w:ascii="Arial" w:eastAsia="Calibri" w:hAnsi="Arial" w:cs="Arial"/>
      <w:color w:val="000000"/>
      <w:sz w:val="24"/>
      <w:szCs w:val="24"/>
      <w:lang w:val="es-PE" w:eastAsia="es-PE"/>
    </w:rPr>
  </w:style>
  <w:style w:type="character" w:customStyle="1" w:styleId="SinespaciadoCar">
    <w:name w:val="Sin espaciado Car"/>
    <w:link w:val="Sinespaciado"/>
    <w:uiPriority w:val="1"/>
    <w:locked/>
    <w:rsid w:val="00CC61B9"/>
    <w:rPr>
      <w:rFonts w:ascii="Arial" w:eastAsia="Arial" w:hAnsi="Arial" w:cs="Arial"/>
      <w:color w:val="000000"/>
      <w:lang w:val="es-PE" w:eastAsia="es-PE"/>
    </w:rPr>
  </w:style>
  <w:style w:type="paragraph" w:styleId="Sangra2detindependiente">
    <w:name w:val="Body Text Indent 2"/>
    <w:basedOn w:val="Normal"/>
    <w:link w:val="Sangra2detindependienteCar"/>
    <w:rsid w:val="00950AA6"/>
    <w:pPr>
      <w:spacing w:after="0" w:line="240" w:lineRule="auto"/>
      <w:ind w:firstLine="2835"/>
      <w:jc w:val="both"/>
    </w:pPr>
    <w:rPr>
      <w:rFonts w:ascii="Arial Narrow" w:eastAsia="Times New Roman" w:hAnsi="Arial Narrow" w:cs="Times New Roman"/>
      <w:b/>
      <w:color w:val="auto"/>
      <w:szCs w:val="20"/>
      <w:u w:val="single"/>
      <w:lang w:val="es-ES_tradnl" w:eastAsia="x-none"/>
    </w:rPr>
  </w:style>
  <w:style w:type="character" w:customStyle="1" w:styleId="Sangra2detindependienteCar">
    <w:name w:val="Sangría 2 de t. independiente Car"/>
    <w:basedOn w:val="Fuentedeprrafopredeter"/>
    <w:link w:val="Sangra2detindependiente"/>
    <w:rsid w:val="00950AA6"/>
    <w:rPr>
      <w:rFonts w:ascii="Arial Narrow" w:eastAsia="Times New Roman" w:hAnsi="Arial Narrow" w:cs="Times New Roman"/>
      <w:b/>
      <w:szCs w:val="20"/>
      <w:u w:val="single"/>
      <w:lang w:val="es-ES_tradnl" w:eastAsia="x-none"/>
    </w:rPr>
  </w:style>
  <w:style w:type="paragraph" w:customStyle="1" w:styleId="Cuerpo">
    <w:name w:val="Cuerpo"/>
    <w:rsid w:val="00E2229B"/>
    <w:pPr>
      <w:spacing w:after="0" w:line="240" w:lineRule="auto"/>
    </w:pPr>
    <w:rPr>
      <w:rFonts w:ascii="Times New Roman" w:eastAsia="Arial Unicode MS" w:hAnsi="Times New Roman" w:cs="Arial Unicode MS"/>
      <w:color w:val="000000"/>
      <w:sz w:val="24"/>
      <w:szCs w:val="24"/>
      <w:u w:color="000000"/>
      <w:lang w:val="es-PE" w:eastAsia="es-PE"/>
    </w:rPr>
  </w:style>
  <w:style w:type="character" w:customStyle="1" w:styleId="Ninguno">
    <w:name w:val="Ninguno"/>
    <w:autoRedefine/>
    <w:rsid w:val="00E2229B"/>
  </w:style>
  <w:style w:type="character" w:customStyle="1" w:styleId="findhit">
    <w:name w:val="findhit"/>
    <w:rsid w:val="00AC342E"/>
  </w:style>
  <w:style w:type="paragraph" w:styleId="NormalWeb">
    <w:name w:val="Normal (Web)"/>
    <w:basedOn w:val="Normal"/>
    <w:link w:val="NormalWebCar"/>
    <w:uiPriority w:val="99"/>
    <w:unhideWhenUsed/>
    <w:rsid w:val="00F10E7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Refdecomentario">
    <w:name w:val="annotation reference"/>
    <w:basedOn w:val="Fuentedeprrafopredeter"/>
    <w:uiPriority w:val="99"/>
    <w:semiHidden/>
    <w:unhideWhenUsed/>
    <w:rsid w:val="00D60499"/>
    <w:rPr>
      <w:sz w:val="16"/>
      <w:szCs w:val="16"/>
    </w:rPr>
  </w:style>
  <w:style w:type="paragraph" w:styleId="Textocomentario">
    <w:name w:val="annotation text"/>
    <w:basedOn w:val="Normal"/>
    <w:link w:val="TextocomentarioCar"/>
    <w:uiPriority w:val="99"/>
    <w:unhideWhenUsed/>
    <w:rsid w:val="00D60499"/>
    <w:pPr>
      <w:spacing w:line="240" w:lineRule="auto"/>
    </w:pPr>
    <w:rPr>
      <w:sz w:val="20"/>
      <w:szCs w:val="20"/>
    </w:rPr>
  </w:style>
  <w:style w:type="character" w:customStyle="1" w:styleId="TextocomentarioCar">
    <w:name w:val="Texto comentario Car"/>
    <w:basedOn w:val="Fuentedeprrafopredeter"/>
    <w:link w:val="Textocomentario"/>
    <w:uiPriority w:val="99"/>
    <w:rsid w:val="00D60499"/>
    <w:rPr>
      <w:rFonts w:ascii="Calibri" w:eastAsia="Calibri" w:hAnsi="Calibri" w:cs="Calibri"/>
      <w:color w:val="000000"/>
      <w:sz w:val="20"/>
      <w:szCs w:val="20"/>
      <w:lang w:val="es-PE" w:eastAsia="es-PE"/>
    </w:rPr>
  </w:style>
  <w:style w:type="paragraph" w:styleId="Asuntodelcomentario">
    <w:name w:val="annotation subject"/>
    <w:basedOn w:val="Textocomentario"/>
    <w:next w:val="Textocomentario"/>
    <w:link w:val="AsuntodelcomentarioCar"/>
    <w:uiPriority w:val="99"/>
    <w:semiHidden/>
    <w:unhideWhenUsed/>
    <w:rsid w:val="00D60499"/>
    <w:rPr>
      <w:b/>
      <w:bCs/>
    </w:rPr>
  </w:style>
  <w:style w:type="character" w:customStyle="1" w:styleId="AsuntodelcomentarioCar">
    <w:name w:val="Asunto del comentario Car"/>
    <w:basedOn w:val="TextocomentarioCar"/>
    <w:link w:val="Asuntodelcomentario"/>
    <w:uiPriority w:val="99"/>
    <w:semiHidden/>
    <w:rsid w:val="00D60499"/>
    <w:rPr>
      <w:rFonts w:ascii="Calibri" w:eastAsia="Calibri" w:hAnsi="Calibri" w:cs="Calibri"/>
      <w:b/>
      <w:bCs/>
      <w:color w:val="000000"/>
      <w:sz w:val="20"/>
      <w:szCs w:val="20"/>
      <w:lang w:val="es-PE" w:eastAsia="es-PE"/>
    </w:rPr>
  </w:style>
  <w:style w:type="character" w:customStyle="1" w:styleId="Ttulo1Car">
    <w:name w:val="Título 1 Car"/>
    <w:basedOn w:val="Fuentedeprrafopredeter"/>
    <w:link w:val="Ttulo1"/>
    <w:uiPriority w:val="9"/>
    <w:rsid w:val="00C90603"/>
    <w:rPr>
      <w:rFonts w:asciiTheme="majorHAnsi" w:eastAsiaTheme="majorEastAsia" w:hAnsiTheme="majorHAnsi" w:cstheme="majorBidi"/>
      <w:color w:val="365F91" w:themeColor="accent1" w:themeShade="BF"/>
      <w:sz w:val="32"/>
      <w:szCs w:val="32"/>
      <w:lang w:val="es-PE"/>
    </w:rPr>
  </w:style>
  <w:style w:type="paragraph" w:customStyle="1" w:styleId="xmsonormal">
    <w:name w:val="x_msonormal"/>
    <w:basedOn w:val="Normal"/>
    <w:rsid w:val="00C90603"/>
    <w:pPr>
      <w:spacing w:before="100" w:beforeAutospacing="1" w:after="100" w:afterAutospacing="1" w:line="240" w:lineRule="auto"/>
      <w:jc w:val="both"/>
    </w:pPr>
    <w:rPr>
      <w:rFonts w:ascii="Times New Roman" w:eastAsia="Times New Roman" w:hAnsi="Times New Roman" w:cs="Times New Roman"/>
      <w:color w:val="auto"/>
      <w:sz w:val="24"/>
      <w:szCs w:val="24"/>
    </w:rPr>
  </w:style>
  <w:style w:type="paragraph" w:customStyle="1" w:styleId="Normal1">
    <w:name w:val="Normal1"/>
    <w:rsid w:val="00C90603"/>
    <w:pPr>
      <w:jc w:val="both"/>
    </w:pPr>
    <w:rPr>
      <w:rFonts w:ascii="Calibri" w:eastAsia="Calibri" w:hAnsi="Calibri" w:cs="Calibri"/>
      <w:color w:val="000000"/>
      <w:lang w:val="es-PE" w:eastAsia="es-PE"/>
    </w:rPr>
  </w:style>
  <w:style w:type="table" w:customStyle="1" w:styleId="Tablaconcuadrcula1">
    <w:name w:val="Tabla con cuadrícula1"/>
    <w:basedOn w:val="Tablanormal"/>
    <w:next w:val="Tablaconcuadrcula"/>
    <w:uiPriority w:val="39"/>
    <w:rsid w:val="00C90603"/>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
    <w:name w:val="List 1"/>
    <w:basedOn w:val="Sinlista"/>
    <w:rsid w:val="00C90603"/>
    <w:pPr>
      <w:numPr>
        <w:numId w:val="1"/>
      </w:numPr>
    </w:pPr>
  </w:style>
  <w:style w:type="character" w:customStyle="1" w:styleId="contextualspellingandgrammarerror">
    <w:name w:val="contextualspellingandgrammarerror"/>
    <w:rsid w:val="00C90603"/>
  </w:style>
  <w:style w:type="character" w:customStyle="1" w:styleId="scxw214366204">
    <w:name w:val="scxw214366204"/>
    <w:rsid w:val="00C90603"/>
  </w:style>
  <w:style w:type="character" w:customStyle="1" w:styleId="scxw93876235">
    <w:name w:val="scxw93876235"/>
    <w:rsid w:val="00C90603"/>
  </w:style>
  <w:style w:type="character" w:customStyle="1" w:styleId="apple-tab-span">
    <w:name w:val="apple-tab-span"/>
    <w:rsid w:val="00C90603"/>
  </w:style>
  <w:style w:type="character" w:customStyle="1" w:styleId="scxw39064843">
    <w:name w:val="scxw39064843"/>
    <w:rsid w:val="00C90603"/>
  </w:style>
  <w:style w:type="character" w:customStyle="1" w:styleId="scxw36511763">
    <w:name w:val="scxw36511763"/>
    <w:rsid w:val="00C90603"/>
  </w:style>
  <w:style w:type="character" w:styleId="nfasis">
    <w:name w:val="Emphasis"/>
    <w:uiPriority w:val="20"/>
    <w:qFormat/>
    <w:rsid w:val="00C90603"/>
    <w:rPr>
      <w:i/>
      <w:iCs/>
    </w:rPr>
  </w:style>
  <w:style w:type="character" w:customStyle="1" w:styleId="scxw110940479">
    <w:name w:val="scxw110940479"/>
    <w:rsid w:val="00C90603"/>
  </w:style>
  <w:style w:type="character" w:customStyle="1" w:styleId="no-style-override">
    <w:name w:val="no-style-override"/>
    <w:rsid w:val="00C90603"/>
  </w:style>
  <w:style w:type="paragraph" w:customStyle="1" w:styleId="cuerpo0">
    <w:name w:val="cuerpo"/>
    <w:basedOn w:val="Normal"/>
    <w:rsid w:val="00C90603"/>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customStyle="1" w:styleId="no-style-override-2">
    <w:name w:val="no-style-override-2"/>
    <w:basedOn w:val="Fuentedeprrafopredeter"/>
    <w:rsid w:val="00C90603"/>
  </w:style>
  <w:style w:type="character" w:customStyle="1" w:styleId="no-style-override-4">
    <w:name w:val="no-style-override-4"/>
    <w:basedOn w:val="Fuentedeprrafopredeter"/>
    <w:rsid w:val="00C90603"/>
  </w:style>
  <w:style w:type="character" w:customStyle="1" w:styleId="Mencinsinresolver1">
    <w:name w:val="Mención sin resolver1"/>
    <w:basedOn w:val="Fuentedeprrafopredeter"/>
    <w:uiPriority w:val="99"/>
    <w:semiHidden/>
    <w:unhideWhenUsed/>
    <w:rsid w:val="00C90603"/>
    <w:rPr>
      <w:color w:val="605E5C"/>
      <w:shd w:val="clear" w:color="auto" w:fill="E1DFDD"/>
    </w:rPr>
  </w:style>
  <w:style w:type="character" w:customStyle="1" w:styleId="ft3">
    <w:name w:val="ft3"/>
    <w:basedOn w:val="Fuentedeprrafopredeter"/>
    <w:rsid w:val="00C90603"/>
  </w:style>
  <w:style w:type="character" w:customStyle="1" w:styleId="ft2">
    <w:name w:val="ft2"/>
    <w:basedOn w:val="Fuentedeprrafopredeter"/>
    <w:rsid w:val="00C90603"/>
  </w:style>
  <w:style w:type="character" w:customStyle="1" w:styleId="superscript">
    <w:name w:val="superscript"/>
    <w:basedOn w:val="Fuentedeprrafopredeter"/>
    <w:rsid w:val="00C90603"/>
  </w:style>
  <w:style w:type="character" w:customStyle="1" w:styleId="TextonotapieCar1">
    <w:name w:val="Texto nota pie Car1"/>
    <w:aliases w:val="Texto nota pie Car Car,Car Car1 Car Car,Car Car Car Car,Car Car Car Car1 Car Car,Car Car Car1 Car Car,Car Car Car Car Car Car Car Car Car,Car Car Car Car Car Car Car Car Car Car Car Car,fn Car Car Car Car,Car Car Car Car Car Car1 Car"/>
    <w:basedOn w:val="Fuentedeprrafopredeter"/>
    <w:uiPriority w:val="99"/>
    <w:semiHidden/>
    <w:qFormat/>
    <w:rsid w:val="00C90603"/>
    <w:rPr>
      <w:rFonts w:cs="Calibri"/>
      <w:color w:val="000000"/>
      <w:lang w:val="es-PE" w:eastAsia="en-US"/>
    </w:rPr>
  </w:style>
  <w:style w:type="paragraph" w:customStyle="1" w:styleId="pf0">
    <w:name w:val="pf0"/>
    <w:basedOn w:val="Normal"/>
    <w:rsid w:val="00C9060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f01">
    <w:name w:val="cf01"/>
    <w:basedOn w:val="Fuentedeprrafopredeter"/>
    <w:rsid w:val="00C90603"/>
    <w:rPr>
      <w:rFonts w:ascii="Segoe UI" w:hAnsi="Segoe UI" w:cs="Segoe UI" w:hint="default"/>
      <w:sz w:val="18"/>
      <w:szCs w:val="18"/>
    </w:rPr>
  </w:style>
  <w:style w:type="paragraph" w:styleId="Revisin">
    <w:name w:val="Revision"/>
    <w:hidden/>
    <w:uiPriority w:val="99"/>
    <w:semiHidden/>
    <w:rsid w:val="00C90603"/>
    <w:pPr>
      <w:spacing w:after="0" w:line="240" w:lineRule="auto"/>
    </w:pPr>
    <w:rPr>
      <w:rFonts w:ascii="Arial" w:eastAsia="Calibri" w:hAnsi="Arial" w:cs="Calibri"/>
      <w:color w:val="000000"/>
      <w:lang w:val="es-PE"/>
    </w:rPr>
  </w:style>
  <w:style w:type="character" w:customStyle="1" w:styleId="no-style-override-7">
    <w:name w:val="no-style-override-7"/>
    <w:basedOn w:val="Fuentedeprrafopredeter"/>
    <w:rsid w:val="00C90603"/>
  </w:style>
  <w:style w:type="character" w:customStyle="1" w:styleId="no-style-override-8">
    <w:name w:val="no-style-override-8"/>
    <w:basedOn w:val="Fuentedeprrafopredeter"/>
    <w:rsid w:val="00C90603"/>
  </w:style>
  <w:style w:type="character" w:customStyle="1" w:styleId="no-style-override-5">
    <w:name w:val="no-style-override-5"/>
    <w:basedOn w:val="Fuentedeprrafopredeter"/>
    <w:rsid w:val="00C90603"/>
  </w:style>
  <w:style w:type="character" w:customStyle="1" w:styleId="markfo1cgkdpd">
    <w:name w:val="markfo1cgkdpd"/>
    <w:basedOn w:val="Fuentedeprrafopredeter"/>
    <w:rsid w:val="00F24CB5"/>
  </w:style>
  <w:style w:type="character" w:customStyle="1" w:styleId="xcontentpasted2">
    <w:name w:val="x_contentpasted2"/>
    <w:basedOn w:val="Fuentedeprrafopredeter"/>
    <w:rsid w:val="00CA2B3F"/>
  </w:style>
  <w:style w:type="character" w:customStyle="1" w:styleId="markmyxr6tsdo">
    <w:name w:val="markmyxr6tsdo"/>
    <w:basedOn w:val="Fuentedeprrafopredeter"/>
    <w:rsid w:val="00CA2B3F"/>
  </w:style>
  <w:style w:type="character" w:customStyle="1" w:styleId="xcontentpasted0">
    <w:name w:val="x_contentpasted0"/>
    <w:basedOn w:val="Fuentedeprrafopredeter"/>
    <w:rsid w:val="00CA2B3F"/>
  </w:style>
  <w:style w:type="character" w:customStyle="1" w:styleId="markedcontent">
    <w:name w:val="markedcontent"/>
    <w:basedOn w:val="Fuentedeprrafopredeter"/>
    <w:rsid w:val="00DC0BFB"/>
  </w:style>
  <w:style w:type="paragraph" w:customStyle="1" w:styleId="NoSpacing2">
    <w:name w:val="No Spacing2"/>
    <w:qFormat/>
    <w:rsid w:val="00A61F99"/>
    <w:pPr>
      <w:spacing w:after="0" w:line="240" w:lineRule="auto"/>
      <w:jc w:val="both"/>
    </w:pPr>
    <w:rPr>
      <w:rFonts w:ascii="Calibri" w:eastAsia="Calibri" w:hAnsi="Calibri" w:cs="Times New Roman"/>
    </w:rPr>
  </w:style>
  <w:style w:type="paragraph" w:customStyle="1" w:styleId="TextoNumerado">
    <w:name w:val="Texto Numerado"/>
    <w:basedOn w:val="Normal"/>
    <w:link w:val="TextoNumeradoCar"/>
    <w:qFormat/>
    <w:rsid w:val="00FF4B5A"/>
    <w:pPr>
      <w:spacing w:after="0" w:line="240" w:lineRule="auto"/>
      <w:ind w:left="360" w:hanging="360"/>
      <w:contextualSpacing/>
      <w:jc w:val="both"/>
    </w:pPr>
    <w:rPr>
      <w:rFonts w:ascii="Arial" w:eastAsia="Times New Roman" w:hAnsi="Arial" w:cs="Arial"/>
      <w:lang w:val="es-ES_tradnl" w:eastAsia="es-ES"/>
    </w:rPr>
  </w:style>
  <w:style w:type="character" w:customStyle="1" w:styleId="TextoNumeradoCar">
    <w:name w:val="Texto Numerado Car"/>
    <w:basedOn w:val="Fuentedeprrafopredeter"/>
    <w:link w:val="TextoNumerado"/>
    <w:rsid w:val="00FF4B5A"/>
    <w:rPr>
      <w:rFonts w:ascii="Arial" w:eastAsia="Times New Roman" w:hAnsi="Arial" w:cs="Arial"/>
      <w:color w:val="000000"/>
      <w:lang w:val="es-ES_tradnl" w:eastAsia="es-ES"/>
    </w:rPr>
  </w:style>
  <w:style w:type="character" w:customStyle="1" w:styleId="Ttulo2Car">
    <w:name w:val="Título 2 Car"/>
    <w:basedOn w:val="Fuentedeprrafopredeter"/>
    <w:link w:val="Ttulo2"/>
    <w:uiPriority w:val="9"/>
    <w:semiHidden/>
    <w:rsid w:val="00D91C63"/>
    <w:rPr>
      <w:rFonts w:asciiTheme="majorHAnsi" w:eastAsiaTheme="majorEastAsia" w:hAnsiTheme="majorHAnsi" w:cstheme="majorBidi"/>
      <w:color w:val="365F91" w:themeColor="accent1" w:themeShade="BF"/>
      <w:sz w:val="26"/>
      <w:szCs w:val="26"/>
      <w:lang w:val="es-PE"/>
    </w:rPr>
  </w:style>
  <w:style w:type="character" w:customStyle="1" w:styleId="Ttulo4Car">
    <w:name w:val="Título 4 Car"/>
    <w:basedOn w:val="Fuentedeprrafopredeter"/>
    <w:link w:val="Ttulo4"/>
    <w:uiPriority w:val="9"/>
    <w:semiHidden/>
    <w:rsid w:val="00D91C63"/>
    <w:rPr>
      <w:rFonts w:asciiTheme="majorHAnsi" w:eastAsiaTheme="majorEastAsia" w:hAnsiTheme="majorHAnsi" w:cstheme="majorBidi"/>
      <w:i/>
      <w:iCs/>
      <w:color w:val="365F91" w:themeColor="accent1" w:themeShade="BF"/>
      <w:lang w:val="es-PE"/>
    </w:rPr>
  </w:style>
  <w:style w:type="character" w:styleId="Fuerte">
    <w:name w:val="Strong"/>
    <w:basedOn w:val="Fuentedeprrafopredeter"/>
    <w:uiPriority w:val="22"/>
    <w:qFormat/>
    <w:rsid w:val="00D91C63"/>
    <w:rPr>
      <w:b/>
      <w:bCs/>
    </w:rPr>
  </w:style>
  <w:style w:type="character" w:customStyle="1" w:styleId="list0020paragraphchar">
    <w:name w:val="list_0020paragraph__char"/>
    <w:rsid w:val="00D91C63"/>
  </w:style>
  <w:style w:type="character" w:customStyle="1" w:styleId="no-style-override-3">
    <w:name w:val="no-style-override-3"/>
    <w:basedOn w:val="Fuentedeprrafopredeter"/>
    <w:rsid w:val="00D91C63"/>
    <w:rPr>
      <w:rFonts w:ascii="Times New Roman" w:hAnsi="Times New Roman" w:cs="Times New Roman" w:hint="default"/>
    </w:rPr>
  </w:style>
  <w:style w:type="character" w:styleId="Mencinsinresolver">
    <w:name w:val="Unresolved Mention"/>
    <w:basedOn w:val="Fuentedeprrafopredeter"/>
    <w:uiPriority w:val="99"/>
    <w:semiHidden/>
    <w:unhideWhenUsed/>
    <w:rsid w:val="00D91C63"/>
    <w:rPr>
      <w:color w:val="605E5C"/>
      <w:shd w:val="clear" w:color="auto" w:fill="E1DFDD"/>
    </w:rPr>
  </w:style>
  <w:style w:type="paragraph" w:customStyle="1" w:styleId="TableParagraph">
    <w:name w:val="Table Paragraph"/>
    <w:basedOn w:val="Normal"/>
    <w:uiPriority w:val="1"/>
    <w:qFormat/>
    <w:rsid w:val="00D91C63"/>
    <w:pPr>
      <w:widowControl w:val="0"/>
      <w:autoSpaceDE w:val="0"/>
      <w:autoSpaceDN w:val="0"/>
      <w:spacing w:after="0" w:line="220" w:lineRule="exact"/>
      <w:ind w:left="557" w:right="546"/>
      <w:jc w:val="center"/>
    </w:pPr>
    <w:rPr>
      <w:rFonts w:ascii="Liberation Sans Narrow" w:eastAsia="Liberation Sans Narrow" w:hAnsi="Liberation Sans Narrow" w:cs="Liberation Sans Narrow"/>
      <w:color w:val="auto"/>
      <w:lang w:val="es-ES" w:eastAsia="en-US"/>
    </w:rPr>
  </w:style>
  <w:style w:type="table" w:customStyle="1" w:styleId="NormalTable2">
    <w:name w:val="Normal Table2"/>
    <w:uiPriority w:val="2"/>
    <w:semiHidden/>
    <w:unhideWhenUsed/>
    <w:qFormat/>
    <w:rsid w:val="00D91C6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NormalWebCar">
    <w:name w:val="Normal (Web) Car"/>
    <w:link w:val="NormalWeb"/>
    <w:uiPriority w:val="99"/>
    <w:locked/>
    <w:rsid w:val="00D91C63"/>
    <w:rPr>
      <w:rFonts w:ascii="Times New Roman" w:eastAsia="Times New Roman" w:hAnsi="Times New Roman" w:cs="Times New Roman"/>
      <w:sz w:val="24"/>
      <w:szCs w:val="24"/>
      <w:lang w:val="es-PE" w:eastAsia="es-PE"/>
    </w:rPr>
  </w:style>
  <w:style w:type="paragraph" w:customStyle="1" w:styleId="BlockText1">
    <w:name w:val="Block Text1"/>
    <w:basedOn w:val="Normal"/>
    <w:uiPriority w:val="99"/>
    <w:rsid w:val="00D91C63"/>
    <w:pPr>
      <w:overflowPunct w:val="0"/>
      <w:autoSpaceDE w:val="0"/>
      <w:autoSpaceDN w:val="0"/>
      <w:adjustRightInd w:val="0"/>
      <w:spacing w:after="0" w:line="240" w:lineRule="auto"/>
      <w:ind w:left="360" w:right="-30"/>
      <w:jc w:val="both"/>
      <w:textAlignment w:val="baseline"/>
    </w:pPr>
    <w:rPr>
      <w:rFonts w:ascii="Arial Narrow" w:eastAsia="Times New Roman" w:hAnsi="Arial Narrow" w:cs="Times New Roman"/>
      <w:color w:val="auto"/>
      <w:szCs w:val="20"/>
      <w:lang w:val="es-ES_tradnl" w:eastAsia="es-ES"/>
    </w:rPr>
  </w:style>
  <w:style w:type="paragraph" w:customStyle="1" w:styleId="Textonumerado0">
    <w:name w:val="Texto numerado"/>
    <w:basedOn w:val="Prrafodelista"/>
    <w:qFormat/>
    <w:rsid w:val="00D91C63"/>
    <w:pPr>
      <w:tabs>
        <w:tab w:val="num" w:pos="8157"/>
      </w:tabs>
      <w:spacing w:line="240" w:lineRule="auto"/>
      <w:ind w:left="8157" w:hanging="360"/>
      <w:jc w:val="both"/>
    </w:pPr>
    <w:rPr>
      <w:rFonts w:eastAsia="Times New Roman"/>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6743">
      <w:bodyDiv w:val="1"/>
      <w:marLeft w:val="0"/>
      <w:marRight w:val="0"/>
      <w:marTop w:val="0"/>
      <w:marBottom w:val="0"/>
      <w:divBdr>
        <w:top w:val="none" w:sz="0" w:space="0" w:color="auto"/>
        <w:left w:val="none" w:sz="0" w:space="0" w:color="auto"/>
        <w:bottom w:val="none" w:sz="0" w:space="0" w:color="auto"/>
        <w:right w:val="none" w:sz="0" w:space="0" w:color="auto"/>
      </w:divBdr>
    </w:div>
    <w:div w:id="124592431">
      <w:bodyDiv w:val="1"/>
      <w:marLeft w:val="0"/>
      <w:marRight w:val="0"/>
      <w:marTop w:val="0"/>
      <w:marBottom w:val="0"/>
      <w:divBdr>
        <w:top w:val="none" w:sz="0" w:space="0" w:color="auto"/>
        <w:left w:val="none" w:sz="0" w:space="0" w:color="auto"/>
        <w:bottom w:val="none" w:sz="0" w:space="0" w:color="auto"/>
        <w:right w:val="none" w:sz="0" w:space="0" w:color="auto"/>
      </w:divBdr>
    </w:div>
    <w:div w:id="152644418">
      <w:bodyDiv w:val="1"/>
      <w:marLeft w:val="0"/>
      <w:marRight w:val="0"/>
      <w:marTop w:val="0"/>
      <w:marBottom w:val="0"/>
      <w:divBdr>
        <w:top w:val="none" w:sz="0" w:space="0" w:color="auto"/>
        <w:left w:val="none" w:sz="0" w:space="0" w:color="auto"/>
        <w:bottom w:val="none" w:sz="0" w:space="0" w:color="auto"/>
        <w:right w:val="none" w:sz="0" w:space="0" w:color="auto"/>
      </w:divBdr>
    </w:div>
    <w:div w:id="223487171">
      <w:bodyDiv w:val="1"/>
      <w:marLeft w:val="0"/>
      <w:marRight w:val="0"/>
      <w:marTop w:val="0"/>
      <w:marBottom w:val="0"/>
      <w:divBdr>
        <w:top w:val="none" w:sz="0" w:space="0" w:color="auto"/>
        <w:left w:val="none" w:sz="0" w:space="0" w:color="auto"/>
        <w:bottom w:val="none" w:sz="0" w:space="0" w:color="auto"/>
        <w:right w:val="none" w:sz="0" w:space="0" w:color="auto"/>
      </w:divBdr>
    </w:div>
    <w:div w:id="471214308">
      <w:bodyDiv w:val="1"/>
      <w:marLeft w:val="0"/>
      <w:marRight w:val="0"/>
      <w:marTop w:val="0"/>
      <w:marBottom w:val="0"/>
      <w:divBdr>
        <w:top w:val="none" w:sz="0" w:space="0" w:color="auto"/>
        <w:left w:val="none" w:sz="0" w:space="0" w:color="auto"/>
        <w:bottom w:val="none" w:sz="0" w:space="0" w:color="auto"/>
        <w:right w:val="none" w:sz="0" w:space="0" w:color="auto"/>
      </w:divBdr>
    </w:div>
    <w:div w:id="659119905">
      <w:bodyDiv w:val="1"/>
      <w:marLeft w:val="0"/>
      <w:marRight w:val="0"/>
      <w:marTop w:val="0"/>
      <w:marBottom w:val="0"/>
      <w:divBdr>
        <w:top w:val="none" w:sz="0" w:space="0" w:color="auto"/>
        <w:left w:val="none" w:sz="0" w:space="0" w:color="auto"/>
        <w:bottom w:val="none" w:sz="0" w:space="0" w:color="auto"/>
        <w:right w:val="none" w:sz="0" w:space="0" w:color="auto"/>
      </w:divBdr>
    </w:div>
    <w:div w:id="789934659">
      <w:bodyDiv w:val="1"/>
      <w:marLeft w:val="0"/>
      <w:marRight w:val="0"/>
      <w:marTop w:val="0"/>
      <w:marBottom w:val="0"/>
      <w:divBdr>
        <w:top w:val="none" w:sz="0" w:space="0" w:color="auto"/>
        <w:left w:val="none" w:sz="0" w:space="0" w:color="auto"/>
        <w:bottom w:val="none" w:sz="0" w:space="0" w:color="auto"/>
        <w:right w:val="none" w:sz="0" w:space="0" w:color="auto"/>
      </w:divBdr>
    </w:div>
    <w:div w:id="841354015">
      <w:bodyDiv w:val="1"/>
      <w:marLeft w:val="0"/>
      <w:marRight w:val="0"/>
      <w:marTop w:val="0"/>
      <w:marBottom w:val="0"/>
      <w:divBdr>
        <w:top w:val="none" w:sz="0" w:space="0" w:color="auto"/>
        <w:left w:val="none" w:sz="0" w:space="0" w:color="auto"/>
        <w:bottom w:val="none" w:sz="0" w:space="0" w:color="auto"/>
        <w:right w:val="none" w:sz="0" w:space="0" w:color="auto"/>
      </w:divBdr>
    </w:div>
    <w:div w:id="925727998">
      <w:bodyDiv w:val="1"/>
      <w:marLeft w:val="0"/>
      <w:marRight w:val="0"/>
      <w:marTop w:val="0"/>
      <w:marBottom w:val="0"/>
      <w:divBdr>
        <w:top w:val="none" w:sz="0" w:space="0" w:color="auto"/>
        <w:left w:val="none" w:sz="0" w:space="0" w:color="auto"/>
        <w:bottom w:val="none" w:sz="0" w:space="0" w:color="auto"/>
        <w:right w:val="none" w:sz="0" w:space="0" w:color="auto"/>
      </w:divBdr>
    </w:div>
    <w:div w:id="933712680">
      <w:bodyDiv w:val="1"/>
      <w:marLeft w:val="0"/>
      <w:marRight w:val="0"/>
      <w:marTop w:val="0"/>
      <w:marBottom w:val="0"/>
      <w:divBdr>
        <w:top w:val="none" w:sz="0" w:space="0" w:color="auto"/>
        <w:left w:val="none" w:sz="0" w:space="0" w:color="auto"/>
        <w:bottom w:val="none" w:sz="0" w:space="0" w:color="auto"/>
        <w:right w:val="none" w:sz="0" w:space="0" w:color="auto"/>
      </w:divBdr>
    </w:div>
    <w:div w:id="1232808880">
      <w:bodyDiv w:val="1"/>
      <w:marLeft w:val="0"/>
      <w:marRight w:val="0"/>
      <w:marTop w:val="0"/>
      <w:marBottom w:val="0"/>
      <w:divBdr>
        <w:top w:val="none" w:sz="0" w:space="0" w:color="auto"/>
        <w:left w:val="none" w:sz="0" w:space="0" w:color="auto"/>
        <w:bottom w:val="none" w:sz="0" w:space="0" w:color="auto"/>
        <w:right w:val="none" w:sz="0" w:space="0" w:color="auto"/>
      </w:divBdr>
    </w:div>
    <w:div w:id="1302148500">
      <w:bodyDiv w:val="1"/>
      <w:marLeft w:val="0"/>
      <w:marRight w:val="0"/>
      <w:marTop w:val="0"/>
      <w:marBottom w:val="0"/>
      <w:divBdr>
        <w:top w:val="none" w:sz="0" w:space="0" w:color="auto"/>
        <w:left w:val="none" w:sz="0" w:space="0" w:color="auto"/>
        <w:bottom w:val="none" w:sz="0" w:space="0" w:color="auto"/>
        <w:right w:val="none" w:sz="0" w:space="0" w:color="auto"/>
      </w:divBdr>
    </w:div>
    <w:div w:id="1371496932">
      <w:bodyDiv w:val="1"/>
      <w:marLeft w:val="0"/>
      <w:marRight w:val="0"/>
      <w:marTop w:val="0"/>
      <w:marBottom w:val="0"/>
      <w:divBdr>
        <w:top w:val="none" w:sz="0" w:space="0" w:color="auto"/>
        <w:left w:val="none" w:sz="0" w:space="0" w:color="auto"/>
        <w:bottom w:val="none" w:sz="0" w:space="0" w:color="auto"/>
        <w:right w:val="none" w:sz="0" w:space="0" w:color="auto"/>
      </w:divBdr>
    </w:div>
    <w:div w:id="1531994801">
      <w:bodyDiv w:val="1"/>
      <w:marLeft w:val="0"/>
      <w:marRight w:val="0"/>
      <w:marTop w:val="0"/>
      <w:marBottom w:val="0"/>
      <w:divBdr>
        <w:top w:val="none" w:sz="0" w:space="0" w:color="auto"/>
        <w:left w:val="none" w:sz="0" w:space="0" w:color="auto"/>
        <w:bottom w:val="none" w:sz="0" w:space="0" w:color="auto"/>
        <w:right w:val="none" w:sz="0" w:space="0" w:color="auto"/>
      </w:divBdr>
    </w:div>
    <w:div w:id="1546746555">
      <w:bodyDiv w:val="1"/>
      <w:marLeft w:val="0"/>
      <w:marRight w:val="0"/>
      <w:marTop w:val="0"/>
      <w:marBottom w:val="0"/>
      <w:divBdr>
        <w:top w:val="none" w:sz="0" w:space="0" w:color="auto"/>
        <w:left w:val="none" w:sz="0" w:space="0" w:color="auto"/>
        <w:bottom w:val="none" w:sz="0" w:space="0" w:color="auto"/>
        <w:right w:val="none" w:sz="0" w:space="0" w:color="auto"/>
      </w:divBdr>
    </w:div>
    <w:div w:id="1601909677">
      <w:bodyDiv w:val="1"/>
      <w:marLeft w:val="0"/>
      <w:marRight w:val="0"/>
      <w:marTop w:val="0"/>
      <w:marBottom w:val="0"/>
      <w:divBdr>
        <w:top w:val="none" w:sz="0" w:space="0" w:color="auto"/>
        <w:left w:val="none" w:sz="0" w:space="0" w:color="auto"/>
        <w:bottom w:val="none" w:sz="0" w:space="0" w:color="auto"/>
        <w:right w:val="none" w:sz="0" w:space="0" w:color="auto"/>
      </w:divBdr>
      <w:divsChild>
        <w:div w:id="587155997">
          <w:marLeft w:val="0"/>
          <w:marRight w:val="0"/>
          <w:marTop w:val="0"/>
          <w:marBottom w:val="0"/>
          <w:divBdr>
            <w:top w:val="none" w:sz="0" w:space="0" w:color="auto"/>
            <w:left w:val="none" w:sz="0" w:space="0" w:color="auto"/>
            <w:bottom w:val="none" w:sz="0" w:space="0" w:color="auto"/>
            <w:right w:val="none" w:sz="0" w:space="0" w:color="auto"/>
          </w:divBdr>
        </w:div>
      </w:divsChild>
    </w:div>
    <w:div w:id="1722438032">
      <w:bodyDiv w:val="1"/>
      <w:marLeft w:val="0"/>
      <w:marRight w:val="0"/>
      <w:marTop w:val="0"/>
      <w:marBottom w:val="0"/>
      <w:divBdr>
        <w:top w:val="none" w:sz="0" w:space="0" w:color="auto"/>
        <w:left w:val="none" w:sz="0" w:space="0" w:color="auto"/>
        <w:bottom w:val="none" w:sz="0" w:space="0" w:color="auto"/>
        <w:right w:val="none" w:sz="0" w:space="0" w:color="auto"/>
      </w:divBdr>
    </w:div>
    <w:div w:id="1770738533">
      <w:bodyDiv w:val="1"/>
      <w:marLeft w:val="0"/>
      <w:marRight w:val="0"/>
      <w:marTop w:val="0"/>
      <w:marBottom w:val="0"/>
      <w:divBdr>
        <w:top w:val="none" w:sz="0" w:space="0" w:color="auto"/>
        <w:left w:val="none" w:sz="0" w:space="0" w:color="auto"/>
        <w:bottom w:val="none" w:sz="0" w:space="0" w:color="auto"/>
        <w:right w:val="none" w:sz="0" w:space="0" w:color="auto"/>
      </w:divBdr>
    </w:div>
    <w:div w:id="1775243817">
      <w:bodyDiv w:val="1"/>
      <w:marLeft w:val="0"/>
      <w:marRight w:val="0"/>
      <w:marTop w:val="0"/>
      <w:marBottom w:val="0"/>
      <w:divBdr>
        <w:top w:val="none" w:sz="0" w:space="0" w:color="auto"/>
        <w:left w:val="none" w:sz="0" w:space="0" w:color="auto"/>
        <w:bottom w:val="none" w:sz="0" w:space="0" w:color="auto"/>
        <w:right w:val="none" w:sz="0" w:space="0" w:color="auto"/>
      </w:divBdr>
    </w:div>
    <w:div w:id="1880823706">
      <w:bodyDiv w:val="1"/>
      <w:marLeft w:val="0"/>
      <w:marRight w:val="0"/>
      <w:marTop w:val="0"/>
      <w:marBottom w:val="0"/>
      <w:divBdr>
        <w:top w:val="none" w:sz="0" w:space="0" w:color="auto"/>
        <w:left w:val="none" w:sz="0" w:space="0" w:color="auto"/>
        <w:bottom w:val="none" w:sz="0" w:space="0" w:color="auto"/>
        <w:right w:val="none" w:sz="0" w:space="0" w:color="auto"/>
      </w:divBdr>
    </w:div>
    <w:div w:id="1913463176">
      <w:bodyDiv w:val="1"/>
      <w:marLeft w:val="0"/>
      <w:marRight w:val="0"/>
      <w:marTop w:val="0"/>
      <w:marBottom w:val="0"/>
      <w:divBdr>
        <w:top w:val="none" w:sz="0" w:space="0" w:color="auto"/>
        <w:left w:val="none" w:sz="0" w:space="0" w:color="auto"/>
        <w:bottom w:val="none" w:sz="0" w:space="0" w:color="auto"/>
        <w:right w:val="none" w:sz="0" w:space="0" w:color="auto"/>
      </w:divBdr>
    </w:div>
    <w:div w:id="1936935823">
      <w:bodyDiv w:val="1"/>
      <w:marLeft w:val="0"/>
      <w:marRight w:val="0"/>
      <w:marTop w:val="0"/>
      <w:marBottom w:val="0"/>
      <w:divBdr>
        <w:top w:val="none" w:sz="0" w:space="0" w:color="auto"/>
        <w:left w:val="none" w:sz="0" w:space="0" w:color="auto"/>
        <w:bottom w:val="none" w:sz="0" w:space="0" w:color="auto"/>
        <w:right w:val="none" w:sz="0" w:space="0" w:color="auto"/>
      </w:divBdr>
    </w:div>
    <w:div w:id="1945724834">
      <w:bodyDiv w:val="1"/>
      <w:marLeft w:val="0"/>
      <w:marRight w:val="0"/>
      <w:marTop w:val="0"/>
      <w:marBottom w:val="0"/>
      <w:divBdr>
        <w:top w:val="none" w:sz="0" w:space="0" w:color="auto"/>
        <w:left w:val="none" w:sz="0" w:space="0" w:color="auto"/>
        <w:bottom w:val="none" w:sz="0" w:space="0" w:color="auto"/>
        <w:right w:val="none" w:sz="0" w:space="0" w:color="auto"/>
      </w:divBdr>
    </w:div>
    <w:div w:id="194669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diagramColors" Target="diagrams/colors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s>
</file>

<file path=word/_rels/footnotes.xml.rels><?xml version="1.0" encoding="UTF-8" standalone="yes"?>
<Relationships xmlns="http://schemas.openxmlformats.org/package/2006/relationships"><Relationship Id="rId2" Type="http://schemas.openxmlformats.org/officeDocument/2006/relationships/hyperlink" Target="https://www.icd10data.com/ICD10CM/Codes/H00-H59/H53-H54/H53-/H53.4" TargetMode="External"/><Relationship Id="rId1" Type="http://schemas.openxmlformats.org/officeDocument/2006/relationships/hyperlink" Target="https://medlineplus.gov/spanish/ency/article/001620.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DBAE4A-05C5-44D5-AECD-78707E220DDD}" type="doc">
      <dgm:prSet loTypeId="urn:microsoft.com/office/officeart/2005/8/layout/process1" loCatId="process" qsTypeId="urn:microsoft.com/office/officeart/2005/8/quickstyle/simple1" qsCatId="simple" csTypeId="urn:microsoft.com/office/officeart/2005/8/colors/accent0_1" csCatId="mainScheme" phldr="1"/>
      <dgm:spPr/>
    </dgm:pt>
    <dgm:pt modelId="{18FE8594-D762-43BB-BE5F-36A5FD720AFC}">
      <dgm:prSet phldrT="[Texto]" custT="1"/>
      <dgm:spPr/>
      <dgm:t>
        <a:bodyPr/>
        <a:lstStyle/>
        <a:p>
          <a:r>
            <a:rPr lang="es-PE" sz="900" b="1">
              <a:latin typeface="Arial" panose="020B0604020202020204" pitchFamily="34" charset="0"/>
              <a:cs typeface="Arial" panose="020B0604020202020204" pitchFamily="34" charset="0"/>
            </a:rPr>
            <a:t>2011</a:t>
          </a:r>
        </a:p>
        <a:p>
          <a:r>
            <a:rPr lang="es-PE" sz="900">
              <a:latin typeface="Arial" panose="020B0604020202020204" pitchFamily="34" charset="0"/>
              <a:cs typeface="Arial" panose="020B0604020202020204" pitchFamily="34" charset="0"/>
            </a:rPr>
            <a:t>Diagnóstico de glaucoma</a:t>
          </a:r>
        </a:p>
      </dgm:t>
    </dgm:pt>
    <dgm:pt modelId="{E56E9940-E02E-4443-A10D-02879B63689B}" type="parTrans" cxnId="{934DA47C-5FAE-422F-B640-57BCAE360799}">
      <dgm:prSet/>
      <dgm:spPr/>
      <dgm:t>
        <a:bodyPr/>
        <a:lstStyle/>
        <a:p>
          <a:endParaRPr lang="es-PE" sz="900">
            <a:latin typeface="Arial" panose="020B0604020202020204" pitchFamily="34" charset="0"/>
            <a:cs typeface="Arial" panose="020B0604020202020204" pitchFamily="34" charset="0"/>
          </a:endParaRPr>
        </a:p>
      </dgm:t>
    </dgm:pt>
    <dgm:pt modelId="{5CFBA429-1013-447A-9141-1B81C192C1FA}" type="sibTrans" cxnId="{934DA47C-5FAE-422F-B640-57BCAE360799}">
      <dgm:prSet custT="1"/>
      <dgm:spPr/>
      <dgm:t>
        <a:bodyPr/>
        <a:lstStyle/>
        <a:p>
          <a:endParaRPr lang="es-PE" sz="900">
            <a:latin typeface="Arial" panose="020B0604020202020204" pitchFamily="34" charset="0"/>
            <a:cs typeface="Arial" panose="020B0604020202020204" pitchFamily="34" charset="0"/>
          </a:endParaRPr>
        </a:p>
      </dgm:t>
    </dgm:pt>
    <dgm:pt modelId="{DEAE5540-C9E7-4E72-8454-23B7FE4F0E8F}">
      <dgm:prSet phldrT="[Texto]" custT="1"/>
      <dgm:spPr/>
      <dgm:t>
        <a:bodyPr/>
        <a:lstStyle/>
        <a:p>
          <a:r>
            <a:rPr lang="es-PE" sz="900" b="1">
              <a:latin typeface="Arial" panose="020B0604020202020204" pitchFamily="34" charset="0"/>
              <a:cs typeface="Arial" panose="020B0604020202020204" pitchFamily="34" charset="0"/>
            </a:rPr>
            <a:t>19/03/2021</a:t>
          </a:r>
        </a:p>
        <a:p>
          <a:r>
            <a:rPr lang="es-PE" sz="900" b="0">
              <a:latin typeface="Arial" panose="020B0604020202020204" pitchFamily="34" charset="0"/>
              <a:cs typeface="Arial" panose="020B0604020202020204" pitchFamily="34" charset="0"/>
            </a:rPr>
            <a:t>Informe médico sustento del dictamen del COMAFP</a:t>
          </a:r>
          <a:endParaRPr lang="es-PE" sz="900" b="1">
            <a:latin typeface="Arial" panose="020B0604020202020204" pitchFamily="34" charset="0"/>
            <a:cs typeface="Arial" panose="020B0604020202020204" pitchFamily="34" charset="0"/>
          </a:endParaRPr>
        </a:p>
      </dgm:t>
    </dgm:pt>
    <dgm:pt modelId="{68F31DD0-3A25-459B-A951-0778DAACC046}" type="parTrans" cxnId="{43439AB1-DBED-46DF-9AE1-745287A0D357}">
      <dgm:prSet/>
      <dgm:spPr/>
      <dgm:t>
        <a:bodyPr/>
        <a:lstStyle/>
        <a:p>
          <a:endParaRPr lang="es-PE" sz="900">
            <a:latin typeface="Arial" panose="020B0604020202020204" pitchFamily="34" charset="0"/>
            <a:cs typeface="Arial" panose="020B0604020202020204" pitchFamily="34" charset="0"/>
          </a:endParaRPr>
        </a:p>
      </dgm:t>
    </dgm:pt>
    <dgm:pt modelId="{486E9C75-7CC4-43A6-8E67-0EB9ADFDC6B7}" type="sibTrans" cxnId="{43439AB1-DBED-46DF-9AE1-745287A0D357}">
      <dgm:prSet custT="1"/>
      <dgm:spPr/>
      <dgm:t>
        <a:bodyPr/>
        <a:lstStyle/>
        <a:p>
          <a:endParaRPr lang="es-PE" sz="900">
            <a:latin typeface="Arial" panose="020B0604020202020204" pitchFamily="34" charset="0"/>
            <a:cs typeface="Arial" panose="020B0604020202020204" pitchFamily="34" charset="0"/>
          </a:endParaRPr>
        </a:p>
      </dgm:t>
    </dgm:pt>
    <dgm:pt modelId="{11694261-3429-4231-AD54-9C5E03D47770}">
      <dgm:prSet phldrT="[Texto]" custT="1"/>
      <dgm:spPr/>
      <dgm:t>
        <a:bodyPr/>
        <a:lstStyle/>
        <a:p>
          <a:r>
            <a:rPr lang="es-PE" sz="900" b="1">
              <a:latin typeface="Arial" panose="020B0604020202020204" pitchFamily="34" charset="0"/>
              <a:cs typeface="Arial" panose="020B0604020202020204" pitchFamily="34" charset="0"/>
            </a:rPr>
            <a:t>22/04/2024</a:t>
          </a:r>
        </a:p>
        <a:p>
          <a:r>
            <a:rPr lang="es-PE" sz="900">
              <a:latin typeface="Arial" panose="020B0604020202020204" pitchFamily="34" charset="0"/>
              <a:cs typeface="Arial" panose="020B0604020202020204" pitchFamily="34" charset="0"/>
            </a:rPr>
            <a:t> Rechazo de la cobertura por pre existencia</a:t>
          </a:r>
        </a:p>
      </dgm:t>
    </dgm:pt>
    <dgm:pt modelId="{E26BB6F0-6C3C-4884-A145-4FA5CF68DC90}" type="parTrans" cxnId="{D08A628F-C606-4626-9E2A-4B2C1FC4A884}">
      <dgm:prSet/>
      <dgm:spPr/>
      <dgm:t>
        <a:bodyPr/>
        <a:lstStyle/>
        <a:p>
          <a:endParaRPr lang="es-PE" sz="900">
            <a:latin typeface="Arial" panose="020B0604020202020204" pitchFamily="34" charset="0"/>
            <a:cs typeface="Arial" panose="020B0604020202020204" pitchFamily="34" charset="0"/>
          </a:endParaRPr>
        </a:p>
      </dgm:t>
    </dgm:pt>
    <dgm:pt modelId="{20D07C96-F64E-4815-B386-54632FD42957}" type="sibTrans" cxnId="{D08A628F-C606-4626-9E2A-4B2C1FC4A884}">
      <dgm:prSet/>
      <dgm:spPr/>
      <dgm:t>
        <a:bodyPr/>
        <a:lstStyle/>
        <a:p>
          <a:endParaRPr lang="es-PE" sz="900">
            <a:latin typeface="Arial" panose="020B0604020202020204" pitchFamily="34" charset="0"/>
            <a:cs typeface="Arial" panose="020B0604020202020204" pitchFamily="34" charset="0"/>
          </a:endParaRPr>
        </a:p>
      </dgm:t>
    </dgm:pt>
    <dgm:pt modelId="{859EA02F-0E05-44FC-B5BF-1C83619BF592}">
      <dgm:prSet custT="1"/>
      <dgm:spPr/>
      <dgm:t>
        <a:bodyPr/>
        <a:lstStyle/>
        <a:p>
          <a:r>
            <a:rPr lang="es-PE" sz="900" b="1">
              <a:latin typeface="Arial" panose="020B0604020202020204" pitchFamily="34" charset="0"/>
              <a:cs typeface="Arial" panose="020B0604020202020204" pitchFamily="34" charset="0"/>
            </a:rPr>
            <a:t>29/11/2023</a:t>
          </a:r>
        </a:p>
        <a:p>
          <a:r>
            <a:rPr lang="es-PE" sz="900" b="0">
              <a:latin typeface="Arial" panose="020B0604020202020204" pitchFamily="34" charset="0"/>
              <a:cs typeface="Arial" panose="020B0604020202020204" pitchFamily="34" charset="0"/>
            </a:rPr>
            <a:t>Suscripción </a:t>
          </a:r>
          <a:r>
            <a:rPr lang="es-ES" sz="900" b="0">
              <a:latin typeface="Arial" panose="020B0604020202020204" pitchFamily="34" charset="0"/>
              <a:cs typeface="Arial" panose="020B0604020202020204" pitchFamily="34" charset="0"/>
            </a:rPr>
            <a:t>del Seguro de Desgravamen</a:t>
          </a:r>
          <a:endParaRPr lang="es-PE" sz="900">
            <a:latin typeface="Arial" panose="020B0604020202020204" pitchFamily="34" charset="0"/>
            <a:cs typeface="Arial" panose="020B0604020202020204" pitchFamily="34" charset="0"/>
          </a:endParaRPr>
        </a:p>
      </dgm:t>
    </dgm:pt>
    <dgm:pt modelId="{B607D8F6-66FE-4849-859E-AD19CF64B4D6}" type="parTrans" cxnId="{28A27527-964B-42E4-B10A-149B6476E6A3}">
      <dgm:prSet/>
      <dgm:spPr/>
      <dgm:t>
        <a:bodyPr/>
        <a:lstStyle/>
        <a:p>
          <a:endParaRPr lang="es-PE" sz="900">
            <a:latin typeface="Arial" panose="020B0604020202020204" pitchFamily="34" charset="0"/>
            <a:cs typeface="Arial" panose="020B0604020202020204" pitchFamily="34" charset="0"/>
          </a:endParaRPr>
        </a:p>
      </dgm:t>
    </dgm:pt>
    <dgm:pt modelId="{1B4FF744-E908-4888-87CC-B5714D0CB34B}" type="sibTrans" cxnId="{28A27527-964B-42E4-B10A-149B6476E6A3}">
      <dgm:prSet custT="1"/>
      <dgm:spPr/>
      <dgm:t>
        <a:bodyPr/>
        <a:lstStyle/>
        <a:p>
          <a:endParaRPr lang="es-PE" sz="900">
            <a:latin typeface="Arial" panose="020B0604020202020204" pitchFamily="34" charset="0"/>
            <a:cs typeface="Arial" panose="020B0604020202020204" pitchFamily="34" charset="0"/>
          </a:endParaRPr>
        </a:p>
      </dgm:t>
    </dgm:pt>
    <dgm:pt modelId="{93211D4B-31E3-4C80-94A1-A612BEE1320E}" type="pres">
      <dgm:prSet presAssocID="{14DBAE4A-05C5-44D5-AECD-78707E220DDD}" presName="Name0" presStyleCnt="0">
        <dgm:presLayoutVars>
          <dgm:dir/>
          <dgm:resizeHandles val="exact"/>
        </dgm:presLayoutVars>
      </dgm:prSet>
      <dgm:spPr/>
    </dgm:pt>
    <dgm:pt modelId="{AA3F717E-C7D9-4ED5-B387-B593711AFE21}" type="pres">
      <dgm:prSet presAssocID="{18FE8594-D762-43BB-BE5F-36A5FD720AFC}" presName="node" presStyleLbl="node1" presStyleIdx="0" presStyleCnt="4" custScaleY="99335">
        <dgm:presLayoutVars>
          <dgm:bulletEnabled val="1"/>
        </dgm:presLayoutVars>
      </dgm:prSet>
      <dgm:spPr/>
    </dgm:pt>
    <dgm:pt modelId="{E54F5F7E-A4DE-4130-BF40-FEFFECC0971F}" type="pres">
      <dgm:prSet presAssocID="{5CFBA429-1013-447A-9141-1B81C192C1FA}" presName="sibTrans" presStyleLbl="sibTrans2D1" presStyleIdx="0" presStyleCnt="3"/>
      <dgm:spPr/>
    </dgm:pt>
    <dgm:pt modelId="{8886A3E8-EE0A-4B21-9B63-EC4E361305B3}" type="pres">
      <dgm:prSet presAssocID="{5CFBA429-1013-447A-9141-1B81C192C1FA}" presName="connectorText" presStyleLbl="sibTrans2D1" presStyleIdx="0" presStyleCnt="3"/>
      <dgm:spPr/>
    </dgm:pt>
    <dgm:pt modelId="{7EE9B38D-ECC3-40DB-B543-F6BA59DBC3E0}" type="pres">
      <dgm:prSet presAssocID="{DEAE5540-C9E7-4E72-8454-23B7FE4F0E8F}" presName="node" presStyleLbl="node1" presStyleIdx="1" presStyleCnt="4" custScaleX="107042">
        <dgm:presLayoutVars>
          <dgm:bulletEnabled val="1"/>
        </dgm:presLayoutVars>
      </dgm:prSet>
      <dgm:spPr/>
    </dgm:pt>
    <dgm:pt modelId="{5E61B023-3910-4DE2-A38D-92C13BE15F75}" type="pres">
      <dgm:prSet presAssocID="{486E9C75-7CC4-43A6-8E67-0EB9ADFDC6B7}" presName="sibTrans" presStyleLbl="sibTrans2D1" presStyleIdx="1" presStyleCnt="3"/>
      <dgm:spPr/>
    </dgm:pt>
    <dgm:pt modelId="{0712C6A0-88A2-430A-8D32-594AA16E8BA6}" type="pres">
      <dgm:prSet presAssocID="{486E9C75-7CC4-43A6-8E67-0EB9ADFDC6B7}" presName="connectorText" presStyleLbl="sibTrans2D1" presStyleIdx="1" presStyleCnt="3"/>
      <dgm:spPr/>
    </dgm:pt>
    <dgm:pt modelId="{6D068CC6-8033-439A-9AAF-70319649C127}" type="pres">
      <dgm:prSet presAssocID="{859EA02F-0E05-44FC-B5BF-1C83619BF592}" presName="node" presStyleLbl="node1" presStyleIdx="2" presStyleCnt="4" custScaleX="110043">
        <dgm:presLayoutVars>
          <dgm:bulletEnabled val="1"/>
        </dgm:presLayoutVars>
      </dgm:prSet>
      <dgm:spPr/>
    </dgm:pt>
    <dgm:pt modelId="{A477DDBB-F6F7-4A00-A600-6DA1E7813055}" type="pres">
      <dgm:prSet presAssocID="{1B4FF744-E908-4888-87CC-B5714D0CB34B}" presName="sibTrans" presStyleLbl="sibTrans2D1" presStyleIdx="2" presStyleCnt="3"/>
      <dgm:spPr/>
    </dgm:pt>
    <dgm:pt modelId="{3D2957DE-4437-411E-8534-7CB71E95C2D7}" type="pres">
      <dgm:prSet presAssocID="{1B4FF744-E908-4888-87CC-B5714D0CB34B}" presName="connectorText" presStyleLbl="sibTrans2D1" presStyleIdx="2" presStyleCnt="3"/>
      <dgm:spPr/>
    </dgm:pt>
    <dgm:pt modelId="{5DAB9486-513D-456F-9DD7-37B0CF3012D2}" type="pres">
      <dgm:prSet presAssocID="{11694261-3429-4231-AD54-9C5E03D47770}" presName="node" presStyleLbl="node1" presStyleIdx="3" presStyleCnt="4">
        <dgm:presLayoutVars>
          <dgm:bulletEnabled val="1"/>
        </dgm:presLayoutVars>
      </dgm:prSet>
      <dgm:spPr/>
    </dgm:pt>
  </dgm:ptLst>
  <dgm:cxnLst>
    <dgm:cxn modelId="{CED21D04-D0C9-40E1-97BD-95AAFBE39B50}" type="presOf" srcId="{5CFBA429-1013-447A-9141-1B81C192C1FA}" destId="{8886A3E8-EE0A-4B21-9B63-EC4E361305B3}" srcOrd="1" destOrd="0" presId="urn:microsoft.com/office/officeart/2005/8/layout/process1"/>
    <dgm:cxn modelId="{28A27527-964B-42E4-B10A-149B6476E6A3}" srcId="{14DBAE4A-05C5-44D5-AECD-78707E220DDD}" destId="{859EA02F-0E05-44FC-B5BF-1C83619BF592}" srcOrd="2" destOrd="0" parTransId="{B607D8F6-66FE-4849-859E-AD19CF64B4D6}" sibTransId="{1B4FF744-E908-4888-87CC-B5714D0CB34B}"/>
    <dgm:cxn modelId="{D2216362-B633-4A33-B551-859FAA42355B}" type="presOf" srcId="{859EA02F-0E05-44FC-B5BF-1C83619BF592}" destId="{6D068CC6-8033-439A-9AAF-70319649C127}" srcOrd="0" destOrd="0" presId="urn:microsoft.com/office/officeart/2005/8/layout/process1"/>
    <dgm:cxn modelId="{FBC0E675-1FDF-47A3-9FA0-3571C00EECD1}" type="presOf" srcId="{18FE8594-D762-43BB-BE5F-36A5FD720AFC}" destId="{AA3F717E-C7D9-4ED5-B387-B593711AFE21}" srcOrd="0" destOrd="0" presId="urn:microsoft.com/office/officeart/2005/8/layout/process1"/>
    <dgm:cxn modelId="{56D3EE75-232F-4BBE-9CB1-1CBFDA8C91B6}" type="presOf" srcId="{5CFBA429-1013-447A-9141-1B81C192C1FA}" destId="{E54F5F7E-A4DE-4130-BF40-FEFFECC0971F}" srcOrd="0" destOrd="0" presId="urn:microsoft.com/office/officeart/2005/8/layout/process1"/>
    <dgm:cxn modelId="{934DA47C-5FAE-422F-B640-57BCAE360799}" srcId="{14DBAE4A-05C5-44D5-AECD-78707E220DDD}" destId="{18FE8594-D762-43BB-BE5F-36A5FD720AFC}" srcOrd="0" destOrd="0" parTransId="{E56E9940-E02E-4443-A10D-02879B63689B}" sibTransId="{5CFBA429-1013-447A-9141-1B81C192C1FA}"/>
    <dgm:cxn modelId="{8DE3477E-A7B6-4BE8-8377-8E04CB690239}" type="presOf" srcId="{14DBAE4A-05C5-44D5-AECD-78707E220DDD}" destId="{93211D4B-31E3-4C80-94A1-A612BEE1320E}" srcOrd="0" destOrd="0" presId="urn:microsoft.com/office/officeart/2005/8/layout/process1"/>
    <dgm:cxn modelId="{4615057F-E010-43E5-8185-8229E1B8162A}" type="presOf" srcId="{DEAE5540-C9E7-4E72-8454-23B7FE4F0E8F}" destId="{7EE9B38D-ECC3-40DB-B543-F6BA59DBC3E0}" srcOrd="0" destOrd="0" presId="urn:microsoft.com/office/officeart/2005/8/layout/process1"/>
    <dgm:cxn modelId="{58FBE286-42C8-4E99-B85D-18C8390A0973}" type="presOf" srcId="{11694261-3429-4231-AD54-9C5E03D47770}" destId="{5DAB9486-513D-456F-9DD7-37B0CF3012D2}" srcOrd="0" destOrd="0" presId="urn:microsoft.com/office/officeart/2005/8/layout/process1"/>
    <dgm:cxn modelId="{D08A628F-C606-4626-9E2A-4B2C1FC4A884}" srcId="{14DBAE4A-05C5-44D5-AECD-78707E220DDD}" destId="{11694261-3429-4231-AD54-9C5E03D47770}" srcOrd="3" destOrd="0" parTransId="{E26BB6F0-6C3C-4884-A145-4FA5CF68DC90}" sibTransId="{20D07C96-F64E-4815-B386-54632FD42957}"/>
    <dgm:cxn modelId="{C0FAE697-C076-4D34-9B49-35C461E10617}" type="presOf" srcId="{486E9C75-7CC4-43A6-8E67-0EB9ADFDC6B7}" destId="{0712C6A0-88A2-430A-8D32-594AA16E8BA6}" srcOrd="1" destOrd="0" presId="urn:microsoft.com/office/officeart/2005/8/layout/process1"/>
    <dgm:cxn modelId="{F5094A9F-83ED-442F-9CFD-AE5AE11BF99B}" type="presOf" srcId="{1B4FF744-E908-4888-87CC-B5714D0CB34B}" destId="{A477DDBB-F6F7-4A00-A600-6DA1E7813055}" srcOrd="0" destOrd="0" presId="urn:microsoft.com/office/officeart/2005/8/layout/process1"/>
    <dgm:cxn modelId="{C9EEC4AB-CEA2-4F8B-B573-7601F0EF1310}" type="presOf" srcId="{1B4FF744-E908-4888-87CC-B5714D0CB34B}" destId="{3D2957DE-4437-411E-8534-7CB71E95C2D7}" srcOrd="1" destOrd="0" presId="urn:microsoft.com/office/officeart/2005/8/layout/process1"/>
    <dgm:cxn modelId="{43439AB1-DBED-46DF-9AE1-745287A0D357}" srcId="{14DBAE4A-05C5-44D5-AECD-78707E220DDD}" destId="{DEAE5540-C9E7-4E72-8454-23B7FE4F0E8F}" srcOrd="1" destOrd="0" parTransId="{68F31DD0-3A25-459B-A951-0778DAACC046}" sibTransId="{486E9C75-7CC4-43A6-8E67-0EB9ADFDC6B7}"/>
    <dgm:cxn modelId="{6751A1DA-57FC-445A-A9D8-88E9D0328072}" type="presOf" srcId="{486E9C75-7CC4-43A6-8E67-0EB9ADFDC6B7}" destId="{5E61B023-3910-4DE2-A38D-92C13BE15F75}" srcOrd="0" destOrd="0" presId="urn:microsoft.com/office/officeart/2005/8/layout/process1"/>
    <dgm:cxn modelId="{D92AC05E-971A-4A16-8675-81403BBE3A63}" type="presParOf" srcId="{93211D4B-31E3-4C80-94A1-A612BEE1320E}" destId="{AA3F717E-C7D9-4ED5-B387-B593711AFE21}" srcOrd="0" destOrd="0" presId="urn:microsoft.com/office/officeart/2005/8/layout/process1"/>
    <dgm:cxn modelId="{2EFC7345-B778-446B-B1C4-332F068DD7AA}" type="presParOf" srcId="{93211D4B-31E3-4C80-94A1-A612BEE1320E}" destId="{E54F5F7E-A4DE-4130-BF40-FEFFECC0971F}" srcOrd="1" destOrd="0" presId="urn:microsoft.com/office/officeart/2005/8/layout/process1"/>
    <dgm:cxn modelId="{B0ABD56B-980A-4096-A42F-3FAFB5A7E749}" type="presParOf" srcId="{E54F5F7E-A4DE-4130-BF40-FEFFECC0971F}" destId="{8886A3E8-EE0A-4B21-9B63-EC4E361305B3}" srcOrd="0" destOrd="0" presId="urn:microsoft.com/office/officeart/2005/8/layout/process1"/>
    <dgm:cxn modelId="{087A97E4-FDE9-440F-A456-8A1A48628EE5}" type="presParOf" srcId="{93211D4B-31E3-4C80-94A1-A612BEE1320E}" destId="{7EE9B38D-ECC3-40DB-B543-F6BA59DBC3E0}" srcOrd="2" destOrd="0" presId="urn:microsoft.com/office/officeart/2005/8/layout/process1"/>
    <dgm:cxn modelId="{0FC7B6D1-3245-483A-8EDB-DB82400408E1}" type="presParOf" srcId="{93211D4B-31E3-4C80-94A1-A612BEE1320E}" destId="{5E61B023-3910-4DE2-A38D-92C13BE15F75}" srcOrd="3" destOrd="0" presId="urn:microsoft.com/office/officeart/2005/8/layout/process1"/>
    <dgm:cxn modelId="{63440FAA-1C14-4085-BAF9-3A99CF50CCC1}" type="presParOf" srcId="{5E61B023-3910-4DE2-A38D-92C13BE15F75}" destId="{0712C6A0-88A2-430A-8D32-594AA16E8BA6}" srcOrd="0" destOrd="0" presId="urn:microsoft.com/office/officeart/2005/8/layout/process1"/>
    <dgm:cxn modelId="{C7E90FB2-89CF-47BF-BCE1-86D9ADA82E52}" type="presParOf" srcId="{93211D4B-31E3-4C80-94A1-A612BEE1320E}" destId="{6D068CC6-8033-439A-9AAF-70319649C127}" srcOrd="4" destOrd="0" presId="urn:microsoft.com/office/officeart/2005/8/layout/process1"/>
    <dgm:cxn modelId="{FC11FB5A-2368-41BE-9467-4A56834C8AE3}" type="presParOf" srcId="{93211D4B-31E3-4C80-94A1-A612BEE1320E}" destId="{A477DDBB-F6F7-4A00-A600-6DA1E7813055}" srcOrd="5" destOrd="0" presId="urn:microsoft.com/office/officeart/2005/8/layout/process1"/>
    <dgm:cxn modelId="{80575424-DB3D-426E-8767-71774A8E9281}" type="presParOf" srcId="{A477DDBB-F6F7-4A00-A600-6DA1E7813055}" destId="{3D2957DE-4437-411E-8534-7CB71E95C2D7}" srcOrd="0" destOrd="0" presId="urn:microsoft.com/office/officeart/2005/8/layout/process1"/>
    <dgm:cxn modelId="{469BB75A-E313-437F-99E1-71BB882F1D86}" type="presParOf" srcId="{93211D4B-31E3-4C80-94A1-A612BEE1320E}" destId="{5DAB9486-513D-456F-9DD7-37B0CF3012D2}" srcOrd="6"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3F717E-C7D9-4ED5-B387-B593711AFE21}">
      <dsp:nvSpPr>
        <dsp:cNvPr id="0" name=""/>
        <dsp:cNvSpPr/>
      </dsp:nvSpPr>
      <dsp:spPr>
        <a:xfrm>
          <a:off x="2215" y="300379"/>
          <a:ext cx="989476" cy="75560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PE" sz="900" b="1" kern="1200">
              <a:latin typeface="Arial" panose="020B0604020202020204" pitchFamily="34" charset="0"/>
              <a:cs typeface="Arial" panose="020B0604020202020204" pitchFamily="34" charset="0"/>
            </a:rPr>
            <a:t>2011</a:t>
          </a:r>
        </a:p>
        <a:p>
          <a:pPr marL="0" lvl="0" indent="0" algn="ctr" defTabSz="400050">
            <a:lnSpc>
              <a:spcPct val="90000"/>
            </a:lnSpc>
            <a:spcBef>
              <a:spcPct val="0"/>
            </a:spcBef>
            <a:spcAft>
              <a:spcPct val="35000"/>
            </a:spcAft>
            <a:buNone/>
          </a:pPr>
          <a:r>
            <a:rPr lang="es-PE" sz="900" kern="1200">
              <a:latin typeface="Arial" panose="020B0604020202020204" pitchFamily="34" charset="0"/>
              <a:cs typeface="Arial" panose="020B0604020202020204" pitchFamily="34" charset="0"/>
            </a:rPr>
            <a:t>Diagnóstico de glaucoma</a:t>
          </a:r>
        </a:p>
      </dsp:txBody>
      <dsp:txXfrm>
        <a:off x="24346" y="322510"/>
        <a:ext cx="945214" cy="711339"/>
      </dsp:txXfrm>
    </dsp:sp>
    <dsp:sp modelId="{E54F5F7E-A4DE-4130-BF40-FEFFECC0971F}">
      <dsp:nvSpPr>
        <dsp:cNvPr id="0" name=""/>
        <dsp:cNvSpPr/>
      </dsp:nvSpPr>
      <dsp:spPr>
        <a:xfrm>
          <a:off x="1090639" y="555484"/>
          <a:ext cx="209768" cy="24539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PE" sz="900" kern="1200">
            <a:latin typeface="Arial" panose="020B0604020202020204" pitchFamily="34" charset="0"/>
            <a:cs typeface="Arial" panose="020B0604020202020204" pitchFamily="34" charset="0"/>
          </a:endParaRPr>
        </a:p>
      </dsp:txBody>
      <dsp:txXfrm>
        <a:off x="1090639" y="604562"/>
        <a:ext cx="146838" cy="147234"/>
      </dsp:txXfrm>
    </dsp:sp>
    <dsp:sp modelId="{7EE9B38D-ECC3-40DB-B543-F6BA59DBC3E0}">
      <dsp:nvSpPr>
        <dsp:cNvPr id="0" name=""/>
        <dsp:cNvSpPr/>
      </dsp:nvSpPr>
      <dsp:spPr>
        <a:xfrm>
          <a:off x="1387482" y="297850"/>
          <a:ext cx="1059155" cy="76065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PE" sz="900" b="1" kern="1200">
              <a:latin typeface="Arial" panose="020B0604020202020204" pitchFamily="34" charset="0"/>
              <a:cs typeface="Arial" panose="020B0604020202020204" pitchFamily="34" charset="0"/>
            </a:rPr>
            <a:t>19/03/2021</a:t>
          </a:r>
        </a:p>
        <a:p>
          <a:pPr marL="0" lvl="0" indent="0" algn="ctr" defTabSz="400050">
            <a:lnSpc>
              <a:spcPct val="90000"/>
            </a:lnSpc>
            <a:spcBef>
              <a:spcPct val="0"/>
            </a:spcBef>
            <a:spcAft>
              <a:spcPct val="35000"/>
            </a:spcAft>
            <a:buNone/>
          </a:pPr>
          <a:r>
            <a:rPr lang="es-PE" sz="900" b="0" kern="1200">
              <a:latin typeface="Arial" panose="020B0604020202020204" pitchFamily="34" charset="0"/>
              <a:cs typeface="Arial" panose="020B0604020202020204" pitchFamily="34" charset="0"/>
            </a:rPr>
            <a:t>Informe médico sustento del dictamen del COMAFP</a:t>
          </a:r>
          <a:endParaRPr lang="es-PE" sz="900" b="1" kern="1200">
            <a:latin typeface="Arial" panose="020B0604020202020204" pitchFamily="34" charset="0"/>
            <a:cs typeface="Arial" panose="020B0604020202020204" pitchFamily="34" charset="0"/>
          </a:endParaRPr>
        </a:p>
      </dsp:txBody>
      <dsp:txXfrm>
        <a:off x="1409761" y="320129"/>
        <a:ext cx="1014597" cy="716101"/>
      </dsp:txXfrm>
    </dsp:sp>
    <dsp:sp modelId="{5E61B023-3910-4DE2-A38D-92C13BE15F75}">
      <dsp:nvSpPr>
        <dsp:cNvPr id="0" name=""/>
        <dsp:cNvSpPr/>
      </dsp:nvSpPr>
      <dsp:spPr>
        <a:xfrm>
          <a:off x="2545585" y="555484"/>
          <a:ext cx="209768" cy="24539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PE" sz="900" kern="1200">
            <a:latin typeface="Arial" panose="020B0604020202020204" pitchFamily="34" charset="0"/>
            <a:cs typeface="Arial" panose="020B0604020202020204" pitchFamily="34" charset="0"/>
          </a:endParaRPr>
        </a:p>
      </dsp:txBody>
      <dsp:txXfrm>
        <a:off x="2545585" y="604562"/>
        <a:ext cx="146838" cy="147234"/>
      </dsp:txXfrm>
    </dsp:sp>
    <dsp:sp modelId="{6D068CC6-8033-439A-9AAF-70319649C127}">
      <dsp:nvSpPr>
        <dsp:cNvPr id="0" name=""/>
        <dsp:cNvSpPr/>
      </dsp:nvSpPr>
      <dsp:spPr>
        <a:xfrm>
          <a:off x="2842428" y="297850"/>
          <a:ext cx="1088849" cy="76065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PE" sz="900" b="1" kern="1200">
              <a:latin typeface="Arial" panose="020B0604020202020204" pitchFamily="34" charset="0"/>
              <a:cs typeface="Arial" panose="020B0604020202020204" pitchFamily="34" charset="0"/>
            </a:rPr>
            <a:t>29/11/2023</a:t>
          </a:r>
        </a:p>
        <a:p>
          <a:pPr marL="0" lvl="0" indent="0" algn="ctr" defTabSz="400050">
            <a:lnSpc>
              <a:spcPct val="90000"/>
            </a:lnSpc>
            <a:spcBef>
              <a:spcPct val="0"/>
            </a:spcBef>
            <a:spcAft>
              <a:spcPct val="35000"/>
            </a:spcAft>
            <a:buNone/>
          </a:pPr>
          <a:r>
            <a:rPr lang="es-PE" sz="900" b="0" kern="1200">
              <a:latin typeface="Arial" panose="020B0604020202020204" pitchFamily="34" charset="0"/>
              <a:cs typeface="Arial" panose="020B0604020202020204" pitchFamily="34" charset="0"/>
            </a:rPr>
            <a:t>Suscripción </a:t>
          </a:r>
          <a:r>
            <a:rPr lang="es-ES" sz="900" b="0" kern="1200">
              <a:latin typeface="Arial" panose="020B0604020202020204" pitchFamily="34" charset="0"/>
              <a:cs typeface="Arial" panose="020B0604020202020204" pitchFamily="34" charset="0"/>
            </a:rPr>
            <a:t>del Seguro de Desgravamen</a:t>
          </a:r>
          <a:endParaRPr lang="es-PE" sz="900" kern="1200">
            <a:latin typeface="Arial" panose="020B0604020202020204" pitchFamily="34" charset="0"/>
            <a:cs typeface="Arial" panose="020B0604020202020204" pitchFamily="34" charset="0"/>
          </a:endParaRPr>
        </a:p>
      </dsp:txBody>
      <dsp:txXfrm>
        <a:off x="2864707" y="320129"/>
        <a:ext cx="1044291" cy="716101"/>
      </dsp:txXfrm>
    </dsp:sp>
    <dsp:sp modelId="{A477DDBB-F6F7-4A00-A600-6DA1E7813055}">
      <dsp:nvSpPr>
        <dsp:cNvPr id="0" name=""/>
        <dsp:cNvSpPr/>
      </dsp:nvSpPr>
      <dsp:spPr>
        <a:xfrm>
          <a:off x="4030225" y="555484"/>
          <a:ext cx="209768" cy="24539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PE" sz="900" kern="1200">
            <a:latin typeface="Arial" panose="020B0604020202020204" pitchFamily="34" charset="0"/>
            <a:cs typeface="Arial" panose="020B0604020202020204" pitchFamily="34" charset="0"/>
          </a:endParaRPr>
        </a:p>
      </dsp:txBody>
      <dsp:txXfrm>
        <a:off x="4030225" y="604562"/>
        <a:ext cx="146838" cy="147234"/>
      </dsp:txXfrm>
    </dsp:sp>
    <dsp:sp modelId="{5DAB9486-513D-456F-9DD7-37B0CF3012D2}">
      <dsp:nvSpPr>
        <dsp:cNvPr id="0" name=""/>
        <dsp:cNvSpPr/>
      </dsp:nvSpPr>
      <dsp:spPr>
        <a:xfrm>
          <a:off x="4327068" y="297850"/>
          <a:ext cx="989476" cy="76065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PE" sz="900" b="1" kern="1200">
              <a:latin typeface="Arial" panose="020B0604020202020204" pitchFamily="34" charset="0"/>
              <a:cs typeface="Arial" panose="020B0604020202020204" pitchFamily="34" charset="0"/>
            </a:rPr>
            <a:t>22/04/2024</a:t>
          </a:r>
        </a:p>
        <a:p>
          <a:pPr marL="0" lvl="0" indent="0" algn="ctr" defTabSz="400050">
            <a:lnSpc>
              <a:spcPct val="90000"/>
            </a:lnSpc>
            <a:spcBef>
              <a:spcPct val="0"/>
            </a:spcBef>
            <a:spcAft>
              <a:spcPct val="35000"/>
            </a:spcAft>
            <a:buNone/>
          </a:pPr>
          <a:r>
            <a:rPr lang="es-PE" sz="900" kern="1200">
              <a:latin typeface="Arial" panose="020B0604020202020204" pitchFamily="34" charset="0"/>
              <a:cs typeface="Arial" panose="020B0604020202020204" pitchFamily="34" charset="0"/>
            </a:rPr>
            <a:t> Rechazo de la cobertura por pre existencia</a:t>
          </a:r>
        </a:p>
      </dsp:txBody>
      <dsp:txXfrm>
        <a:off x="4349347" y="320129"/>
        <a:ext cx="944918" cy="71610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7C1020E0626C64A80831195583E3307" ma:contentTypeVersion="15" ma:contentTypeDescription="Crear nuevo documento." ma:contentTypeScope="" ma:versionID="e619da1f028f8c675a62f17329e6d41b">
  <xsd:schema xmlns:xsd="http://www.w3.org/2001/XMLSchema" xmlns:xs="http://www.w3.org/2001/XMLSchema" xmlns:p="http://schemas.microsoft.com/office/2006/metadata/properties" xmlns:ns2="d6ca5d36-5c9f-4653-bec8-1cb66b9015e0" xmlns:ns3="197bea04-8fd4-41c2-b4d9-6399dae3f3d4" targetNamespace="http://schemas.microsoft.com/office/2006/metadata/properties" ma:root="true" ma:fieldsID="fbf40b4717cfba9edab551b9a5387de7" ns2:_="" ns3:_="">
    <xsd:import namespace="d6ca5d36-5c9f-4653-bec8-1cb66b9015e0"/>
    <xsd:import namespace="197bea04-8fd4-41c2-b4d9-6399dae3f3d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7bea04-8fd4-41c2-b4d9-6399dae3f3d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D53DSPH32EA6-503695647-8229</_dlc_DocId>
    <_dlc_DocIdUrl xmlns="d6ca5d36-5c9f-4653-bec8-1cb66b9015e0">
      <Url>https://indecopi.sharepoint.com/sites/cc1_docs/_layouts/15/DocIdRedir.aspx?ID=D53DSPH32EA6-503695647-8229</Url>
      <Description>D53DSPH32EA6-503695647-8229</Description>
    </_dlc_DocIdUrl>
    <lcf76f155ced4ddcb4097134ff3c332f xmlns="197bea04-8fd4-41c2-b4d9-6399dae3f3d4">
      <Terms xmlns="http://schemas.microsoft.com/office/infopath/2007/PartnerControls"/>
    </lcf76f155ced4ddcb4097134ff3c332f>
    <TaxCatchAll xmlns="d6ca5d36-5c9f-4653-bec8-1cb66b9015e0"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049BAA-E945-4846-B585-EA886B268BF6}"/>
</file>

<file path=customXml/itemProps2.xml><?xml version="1.0" encoding="utf-8"?>
<ds:datastoreItem xmlns:ds="http://schemas.openxmlformats.org/officeDocument/2006/customXml" ds:itemID="{17E73B72-B737-4702-956F-1A09A502103A}">
  <ds:schemaRefs>
    <ds:schemaRef ds:uri="http://schemas.openxmlformats.org/officeDocument/2006/bibliography"/>
  </ds:schemaRefs>
</ds:datastoreItem>
</file>

<file path=customXml/itemProps3.xml><?xml version="1.0" encoding="utf-8"?>
<ds:datastoreItem xmlns:ds="http://schemas.openxmlformats.org/officeDocument/2006/customXml" ds:itemID="{7BFD71F8-6818-4D78-ACE8-10E4E70BE453}">
  <ds:schemaRefs>
    <ds:schemaRef ds:uri="http://schemas.microsoft.com/office/2006/metadata/properties"/>
    <ds:schemaRef ds:uri="http://schemas.microsoft.com/office/infopath/2007/PartnerControls"/>
    <ds:schemaRef ds:uri="d6ca5d36-5c9f-4653-bec8-1cb66b9015e0"/>
    <ds:schemaRef ds:uri="197bea04-8fd4-41c2-b4d9-6399dae3f3d4"/>
  </ds:schemaRefs>
</ds:datastoreItem>
</file>

<file path=customXml/itemProps4.xml><?xml version="1.0" encoding="utf-8"?>
<ds:datastoreItem xmlns:ds="http://schemas.openxmlformats.org/officeDocument/2006/customXml" ds:itemID="{A6650351-6F3F-4577-A962-432456EF7DF1}">
  <ds:schemaRefs>
    <ds:schemaRef ds:uri="http://schemas.microsoft.com/sharepoint/events"/>
  </ds:schemaRefs>
</ds:datastoreItem>
</file>

<file path=customXml/itemProps5.xml><?xml version="1.0" encoding="utf-8"?>
<ds:datastoreItem xmlns:ds="http://schemas.openxmlformats.org/officeDocument/2006/customXml" ds:itemID="{07604E1F-C0F6-4920-A93F-0D1A63E18E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14</Pages>
  <Words>4373</Words>
  <Characters>23136</Characters>
  <Application>Microsoft Office Word</Application>
  <DocSecurity>0</DocSecurity>
  <Lines>482</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Inga</dc:creator>
  <cp:keywords/>
  <cp:lastModifiedBy>Sandro Jose Polanco Cano</cp:lastModifiedBy>
  <cp:revision>188</cp:revision>
  <cp:lastPrinted>2020-03-06T16:12:00Z</cp:lastPrinted>
  <dcterms:created xsi:type="dcterms:W3CDTF">2022-11-25T17:43:00Z</dcterms:created>
  <dcterms:modified xsi:type="dcterms:W3CDTF">2026-03-16T23:39:00Z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0x01010077C1020E0626C64A80831195583E3307</vt:lpwstr>
  </property>
  <property fmtid="{D5CDD505-2E9C-101B-9397-08002B2CF9AE}" pid="3" name="_dlc_DocIdItemGuid">
    <vt:lpwstr>805fa3c5-8435-47fe-bc5a-e60ab41701a9</vt:lpwstr>
  </property>
  <property fmtid="{D5CDD505-2E9C-101B-9397-08002B2CF9AE}" pid="4" name="MediaServiceImageTags">
    <vt:lpwstr/>
  </property>
</Properties>
</file>