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32E31" w14:textId="77777777" w:rsidR="00911A42" w:rsidRPr="00911A42" w:rsidRDefault="00911A42" w:rsidP="00911A42">
      <w:pPr>
        <w:widowControl w:val="0"/>
        <w:rPr>
          <w:rFonts w:cs="Arial"/>
          <w:bCs/>
          <w:i/>
          <w:iCs/>
          <w:sz w:val="16"/>
          <w:szCs w:val="16"/>
          <w:lang w:val="es-PE"/>
        </w:rPr>
      </w:pPr>
      <w:r w:rsidRPr="00911A42">
        <w:rPr>
          <w:rFonts w:cs="Arial"/>
          <w:bCs/>
          <w:i/>
          <w:iCs/>
          <w:sz w:val="16"/>
          <w:szCs w:val="16"/>
          <w:lang w:val="es-PE"/>
        </w:rPr>
        <w:t>Elaborado por: Camila Ballena</w:t>
      </w:r>
    </w:p>
    <w:p w14:paraId="2D0FF9A0" w14:textId="2230AF08" w:rsidR="00911A42" w:rsidRPr="00911A42" w:rsidRDefault="00911A42" w:rsidP="00911A42">
      <w:pPr>
        <w:widowControl w:val="0"/>
        <w:rPr>
          <w:rFonts w:cs="Arial"/>
          <w:bCs/>
          <w:i/>
          <w:iCs/>
          <w:sz w:val="16"/>
          <w:szCs w:val="16"/>
          <w:lang w:val="es-PE"/>
        </w:rPr>
      </w:pPr>
      <w:r w:rsidRPr="00911A42">
        <w:rPr>
          <w:rFonts w:cs="Arial"/>
          <w:bCs/>
          <w:i/>
          <w:iCs/>
          <w:sz w:val="16"/>
          <w:szCs w:val="16"/>
          <w:lang w:val="es-PE"/>
        </w:rPr>
        <w:t xml:space="preserve">Supervisado por: </w:t>
      </w:r>
      <w:r w:rsidR="00523671" w:rsidRPr="00523671">
        <w:rPr>
          <w:rFonts w:cs="Arial"/>
          <w:bCs/>
          <w:i/>
          <w:iCs/>
          <w:sz w:val="16"/>
          <w:szCs w:val="16"/>
          <w:lang w:val="es-PE"/>
        </w:rPr>
        <w:t>Luis Gamonal</w:t>
      </w:r>
    </w:p>
    <w:p w14:paraId="58E83149" w14:textId="77777777" w:rsidR="00911A42" w:rsidRPr="00911A42" w:rsidRDefault="00911A42" w:rsidP="00911A42">
      <w:pPr>
        <w:widowControl w:val="0"/>
        <w:rPr>
          <w:rFonts w:cs="Arial"/>
          <w:bCs/>
          <w:i/>
          <w:iCs/>
          <w:sz w:val="16"/>
          <w:szCs w:val="16"/>
          <w:lang w:val="es-PE"/>
        </w:rPr>
      </w:pPr>
      <w:r w:rsidRPr="00911A42">
        <w:rPr>
          <w:rFonts w:cs="Arial"/>
          <w:bCs/>
          <w:i/>
          <w:iCs/>
          <w:sz w:val="16"/>
          <w:szCs w:val="16"/>
          <w:lang w:val="es-PE"/>
        </w:rPr>
        <w:t>Equipo: Créditos 1</w:t>
      </w:r>
    </w:p>
    <w:p w14:paraId="5EB7A645" w14:textId="29762B38" w:rsidR="00911A42" w:rsidRPr="00911A42" w:rsidRDefault="00911A42" w:rsidP="00911A42">
      <w:pPr>
        <w:widowControl w:val="0"/>
        <w:rPr>
          <w:rFonts w:cs="Arial"/>
          <w:bCs/>
          <w:i/>
          <w:iCs/>
          <w:sz w:val="16"/>
          <w:szCs w:val="16"/>
          <w:lang w:val="es-PE"/>
        </w:rPr>
      </w:pPr>
      <w:r w:rsidRPr="00911A42">
        <w:rPr>
          <w:rFonts w:cs="Arial"/>
          <w:bCs/>
          <w:i/>
          <w:iCs/>
          <w:sz w:val="16"/>
          <w:szCs w:val="16"/>
          <w:lang w:val="es-PE"/>
        </w:rPr>
        <w:t>Vencimiento:</w:t>
      </w:r>
      <w:r>
        <w:rPr>
          <w:rFonts w:cs="Arial"/>
          <w:bCs/>
          <w:i/>
          <w:iCs/>
          <w:sz w:val="16"/>
          <w:szCs w:val="16"/>
          <w:lang w:val="es-PE"/>
        </w:rPr>
        <w:t>20/04/2026</w:t>
      </w:r>
    </w:p>
    <w:p w14:paraId="5EBEAD4E" w14:textId="77777777" w:rsidR="00911A42" w:rsidRDefault="00911A42" w:rsidP="00911A42">
      <w:pPr>
        <w:widowControl w:val="0"/>
        <w:rPr>
          <w:rFonts w:cs="Arial"/>
          <w:b/>
          <w:sz w:val="32"/>
          <w:szCs w:val="32"/>
          <w:lang w:val="es-PE"/>
        </w:rPr>
      </w:pPr>
    </w:p>
    <w:p w14:paraId="53E5A726" w14:textId="77777777" w:rsidR="00911A42" w:rsidRDefault="00911A42" w:rsidP="00F7595C">
      <w:pPr>
        <w:widowControl w:val="0"/>
        <w:jc w:val="center"/>
        <w:rPr>
          <w:rFonts w:cs="Arial"/>
          <w:b/>
          <w:sz w:val="32"/>
          <w:szCs w:val="32"/>
          <w:lang w:val="es-PE"/>
        </w:rPr>
      </w:pPr>
    </w:p>
    <w:p w14:paraId="44EDE1D9" w14:textId="540B6319" w:rsidR="008E3A2B" w:rsidRPr="00BC6D81" w:rsidRDefault="008E3A2B" w:rsidP="00F7595C">
      <w:pPr>
        <w:widowControl w:val="0"/>
        <w:jc w:val="center"/>
        <w:rPr>
          <w:rFonts w:cs="Arial"/>
          <w:b/>
          <w:sz w:val="32"/>
          <w:szCs w:val="32"/>
          <w:lang w:val="es-PE"/>
        </w:rPr>
      </w:pPr>
      <w:r w:rsidRPr="00BC6D81">
        <w:rPr>
          <w:rFonts w:cs="Arial"/>
          <w:b/>
          <w:sz w:val="32"/>
          <w:szCs w:val="32"/>
          <w:lang w:val="es-PE"/>
        </w:rPr>
        <w:t xml:space="preserve">RESOLUCIÓN FINAL Nº </w:t>
      </w:r>
      <w:r w:rsidR="00911A42">
        <w:rPr>
          <w:rFonts w:cs="Arial"/>
          <w:b/>
          <w:sz w:val="32"/>
          <w:szCs w:val="32"/>
          <w:lang w:val="es-PE"/>
        </w:rPr>
        <w:t>XXXX</w:t>
      </w:r>
      <w:r w:rsidR="00B52258">
        <w:rPr>
          <w:rFonts w:cs="Arial"/>
          <w:b/>
          <w:sz w:val="32"/>
          <w:szCs w:val="32"/>
          <w:lang w:val="es-PE"/>
        </w:rPr>
        <w:t>-</w:t>
      </w:r>
      <w:r w:rsidRPr="00BC6D81">
        <w:rPr>
          <w:rFonts w:cs="Arial"/>
          <w:b/>
          <w:sz w:val="32"/>
          <w:szCs w:val="32"/>
          <w:lang w:val="es-PE"/>
        </w:rPr>
        <w:t>2025/CC1</w:t>
      </w:r>
    </w:p>
    <w:p w14:paraId="74FE1EAA" w14:textId="77777777" w:rsidR="008E3A2B" w:rsidRDefault="008E3A2B" w:rsidP="00F7595C">
      <w:pPr>
        <w:pStyle w:val="Descriptores"/>
        <w:jc w:val="both"/>
        <w:rPr>
          <w:rFonts w:cs="Arial"/>
          <w:sz w:val="22"/>
          <w:szCs w:val="22"/>
          <w:lang w:val="es-PE"/>
        </w:rPr>
      </w:pPr>
    </w:p>
    <w:p w14:paraId="257A32D6" w14:textId="77777777" w:rsidR="00B52258" w:rsidRPr="00BC6D81" w:rsidRDefault="00B52258" w:rsidP="00F7595C">
      <w:pPr>
        <w:pStyle w:val="Descriptores"/>
        <w:jc w:val="both"/>
        <w:rPr>
          <w:rFonts w:cs="Arial"/>
          <w:sz w:val="22"/>
          <w:szCs w:val="22"/>
          <w:lang w:val="es-PE"/>
        </w:rPr>
      </w:pPr>
    </w:p>
    <w:p w14:paraId="53EB61FB" w14:textId="1991139F" w:rsidR="008E3A2B" w:rsidRPr="00BC6D81" w:rsidRDefault="008E3A2B" w:rsidP="00F7595C">
      <w:pPr>
        <w:widowControl w:val="0"/>
        <w:tabs>
          <w:tab w:val="left" w:pos="1080"/>
          <w:tab w:val="left" w:pos="1260"/>
          <w:tab w:val="left" w:pos="1620"/>
          <w:tab w:val="left" w:pos="1800"/>
          <w:tab w:val="left" w:pos="2268"/>
          <w:tab w:val="left" w:pos="2694"/>
        </w:tabs>
        <w:ind w:left="2694" w:hanging="2694"/>
        <w:jc w:val="both"/>
        <w:rPr>
          <w:rFonts w:cs="Arial"/>
          <w:b/>
          <w:bCs/>
        </w:rPr>
      </w:pPr>
      <w:r w:rsidRPr="00BC6D81">
        <w:rPr>
          <w:rFonts w:eastAsia="Calibri" w:cs="Arial"/>
          <w:b/>
          <w:bCs/>
          <w:lang w:val="es-PE" w:eastAsia="en-US"/>
        </w:rPr>
        <w:t>DENUNCIANTE</w:t>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t>:</w:t>
      </w:r>
      <w:r w:rsidRPr="00BC6D81">
        <w:rPr>
          <w:rFonts w:eastAsia="Calibri" w:cs="Arial"/>
          <w:b/>
          <w:bCs/>
          <w:lang w:val="es-PE" w:eastAsia="en-US"/>
        </w:rPr>
        <w:tab/>
      </w:r>
      <w:r w:rsidR="00911A42">
        <w:rPr>
          <w:b/>
          <w:bCs/>
        </w:rPr>
        <w:t>KIATARI MARISELA RAMAS SILVA (SEÑORA RAMAS)</w:t>
      </w:r>
    </w:p>
    <w:p w14:paraId="081ACEB3" w14:textId="7356F6FE" w:rsidR="008E3A2B" w:rsidRPr="00BC6D81" w:rsidRDefault="008E3A2B" w:rsidP="00F7595C">
      <w:pPr>
        <w:widowControl w:val="0"/>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sidRPr="00BC6D81">
        <w:rPr>
          <w:rFonts w:eastAsia="Calibri" w:cs="Arial"/>
          <w:b/>
          <w:bCs/>
          <w:lang w:val="es-PE" w:eastAsia="en-US"/>
        </w:rPr>
        <w:t xml:space="preserve">DENUNCIADO </w:t>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t xml:space="preserve">: </w:t>
      </w:r>
      <w:r w:rsidRPr="00BC6D81">
        <w:rPr>
          <w:rFonts w:eastAsia="Calibri" w:cs="Arial"/>
          <w:b/>
          <w:bCs/>
          <w:lang w:val="es-PE" w:eastAsia="en-US"/>
        </w:rPr>
        <w:tab/>
      </w:r>
      <w:r w:rsidR="00AF6378" w:rsidRPr="794C3AF4">
        <w:rPr>
          <w:b/>
          <w:bCs/>
        </w:rPr>
        <w:t>CAJA RURAL DE AHORRO Y CRÉDITO RAÍZ S.A.A. EN LIQUIDACIÓN</w:t>
      </w:r>
      <w:r w:rsidR="00AF6378" w:rsidRPr="00BC6D81">
        <w:rPr>
          <w:rFonts w:eastAsia="Calibri" w:cs="Arial"/>
          <w:b/>
          <w:bCs/>
          <w:lang w:eastAsia="en-US"/>
        </w:rPr>
        <w:t xml:space="preserve"> </w:t>
      </w:r>
      <w:r w:rsidRPr="00BC6D81">
        <w:rPr>
          <w:rFonts w:eastAsia="Calibri" w:cs="Arial"/>
          <w:b/>
          <w:bCs/>
          <w:lang w:eastAsia="en-US"/>
        </w:rPr>
        <w:t>(</w:t>
      </w:r>
      <w:r w:rsidR="00AF6378">
        <w:rPr>
          <w:b/>
          <w:bCs/>
        </w:rPr>
        <w:t>CAJA</w:t>
      </w:r>
      <w:r w:rsidRPr="00BC6D81">
        <w:rPr>
          <w:rFonts w:eastAsia="Calibri" w:cs="Arial"/>
          <w:b/>
          <w:bCs/>
          <w:lang w:eastAsia="en-US"/>
        </w:rPr>
        <w:t>)</w:t>
      </w:r>
    </w:p>
    <w:p w14:paraId="3EB9C944" w14:textId="77777777" w:rsidR="00290EF9" w:rsidRDefault="008E3A2B" w:rsidP="00F7595C">
      <w:pPr>
        <w:widowControl w:val="0"/>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sidRPr="00BC6D81">
        <w:rPr>
          <w:rFonts w:eastAsia="Calibri" w:cs="Arial"/>
          <w:b/>
          <w:bCs/>
          <w:lang w:val="es-PE" w:eastAsia="en-US"/>
        </w:rPr>
        <w:t>MATERIAS</w:t>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t xml:space="preserve">: </w:t>
      </w:r>
      <w:r w:rsidRPr="00BC6D81">
        <w:rPr>
          <w:rFonts w:eastAsia="Calibri" w:cs="Arial"/>
          <w:b/>
          <w:bCs/>
          <w:lang w:val="es-PE" w:eastAsia="en-US"/>
        </w:rPr>
        <w:tab/>
        <w:t>PROTECCIÓN AL CONSUMIDOR</w:t>
      </w:r>
    </w:p>
    <w:p w14:paraId="57410F32" w14:textId="0773F60B" w:rsidR="00290EF9" w:rsidRDefault="00290EF9" w:rsidP="00F7595C">
      <w:pPr>
        <w:widowControl w:val="0"/>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t>DEBER DE IDONEIDAD</w:t>
      </w:r>
    </w:p>
    <w:p w14:paraId="47FB30F5" w14:textId="7025C395" w:rsidR="008E3A2B" w:rsidRPr="00BC6D81" w:rsidRDefault="00290EF9" w:rsidP="00F7595C">
      <w:pPr>
        <w:widowControl w:val="0"/>
        <w:tabs>
          <w:tab w:val="left" w:pos="1080"/>
          <w:tab w:val="left" w:pos="1260"/>
          <w:tab w:val="left" w:pos="1620"/>
          <w:tab w:val="left" w:pos="1800"/>
          <w:tab w:val="left" w:pos="2268"/>
          <w:tab w:val="left" w:pos="2694"/>
        </w:tabs>
        <w:ind w:left="2694" w:hanging="2694"/>
        <w:jc w:val="both"/>
        <w:rPr>
          <w:rFonts w:eastAsia="Calibri" w:cs="Arial"/>
          <w:b/>
          <w:bCs/>
          <w:lang w:val="es-PE" w:eastAsia="en-US"/>
        </w:rPr>
      </w:pP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Pr>
          <w:rFonts w:eastAsia="Calibri" w:cs="Arial"/>
          <w:b/>
          <w:bCs/>
          <w:lang w:val="es-PE" w:eastAsia="en-US"/>
        </w:rPr>
        <w:tab/>
      </w:r>
      <w:r w:rsidR="00AF6378">
        <w:rPr>
          <w:rFonts w:eastAsia="Calibri" w:cs="Arial"/>
          <w:b/>
          <w:bCs/>
          <w:lang w:val="es-PE" w:eastAsia="en-US"/>
        </w:rPr>
        <w:t>IMPROCEDENCIA</w:t>
      </w:r>
      <w:r w:rsidR="008E3A2B" w:rsidRPr="00BC6D81">
        <w:rPr>
          <w:rFonts w:eastAsia="Calibri" w:cs="Arial"/>
          <w:b/>
          <w:bCs/>
          <w:lang w:val="es-PE" w:eastAsia="en-US"/>
        </w:rPr>
        <w:tab/>
      </w:r>
    </w:p>
    <w:p w14:paraId="0A921141" w14:textId="2D3E19E7" w:rsidR="008E3A2B" w:rsidRPr="00BC6D81" w:rsidRDefault="008E3A2B" w:rsidP="00F7595C">
      <w:pPr>
        <w:widowControl w:val="0"/>
        <w:tabs>
          <w:tab w:val="left" w:pos="1080"/>
          <w:tab w:val="left" w:pos="1260"/>
          <w:tab w:val="left" w:pos="1620"/>
          <w:tab w:val="left" w:pos="1800"/>
          <w:tab w:val="left" w:pos="2268"/>
          <w:tab w:val="left" w:pos="2694"/>
        </w:tabs>
        <w:jc w:val="both"/>
        <w:rPr>
          <w:rFonts w:eastAsia="Calibri" w:cs="Arial"/>
          <w:b/>
          <w:bCs/>
          <w:lang w:val="es-PE" w:eastAsia="en-US"/>
        </w:rPr>
      </w:pPr>
      <w:r w:rsidRPr="00BC6D81">
        <w:rPr>
          <w:rFonts w:eastAsia="Calibri" w:cs="Arial"/>
          <w:b/>
          <w:bCs/>
          <w:lang w:val="es-PE" w:eastAsia="en-US"/>
        </w:rPr>
        <w:t>ACTIVIDAD</w:t>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r>
      <w:r w:rsidRPr="00BC6D81">
        <w:rPr>
          <w:rFonts w:eastAsia="Calibri" w:cs="Arial"/>
          <w:b/>
          <w:bCs/>
          <w:lang w:val="es-PE" w:eastAsia="en-US"/>
        </w:rPr>
        <w:tab/>
        <w:t xml:space="preserve">: </w:t>
      </w:r>
      <w:r w:rsidRPr="00BC6D81">
        <w:rPr>
          <w:rFonts w:eastAsia="Calibri" w:cs="Arial"/>
          <w:b/>
          <w:bCs/>
          <w:lang w:val="es-PE" w:eastAsia="en-US"/>
        </w:rPr>
        <w:tab/>
      </w:r>
      <w:r w:rsidR="00290EF9" w:rsidRPr="00E3224D">
        <w:rPr>
          <w:rFonts w:eastAsia="Calibri" w:cs="Arial"/>
          <w:b/>
          <w:bCs/>
          <w:lang w:val="es-PE" w:eastAsia="en-US"/>
        </w:rPr>
        <w:t>SISTEMA FINANCIERO</w:t>
      </w:r>
      <w:r w:rsidR="00012996">
        <w:rPr>
          <w:rFonts w:eastAsia="Calibri" w:cs="Arial"/>
          <w:b/>
          <w:bCs/>
          <w:lang w:val="es-PE" w:eastAsia="en-US"/>
        </w:rPr>
        <w:t xml:space="preserve"> </w:t>
      </w:r>
      <w:r w:rsidR="00F7595C">
        <w:rPr>
          <w:rFonts w:eastAsia="Calibri" w:cs="Arial"/>
          <w:b/>
          <w:bCs/>
          <w:lang w:val="es-PE" w:eastAsia="en-US"/>
        </w:rPr>
        <w:t>NO BANCARIO</w:t>
      </w:r>
    </w:p>
    <w:p w14:paraId="20ACB3D2" w14:textId="77777777" w:rsidR="008E3A2B" w:rsidRPr="008E3A2B" w:rsidRDefault="008E3A2B" w:rsidP="00F7595C">
      <w:pPr>
        <w:widowControl w:val="0"/>
        <w:tabs>
          <w:tab w:val="left" w:pos="1080"/>
          <w:tab w:val="left" w:pos="1260"/>
          <w:tab w:val="left" w:pos="1620"/>
          <w:tab w:val="left" w:pos="1800"/>
          <w:tab w:val="left" w:pos="2268"/>
          <w:tab w:val="left" w:pos="2694"/>
        </w:tabs>
        <w:ind w:left="2694" w:hanging="2694"/>
        <w:jc w:val="both"/>
        <w:rPr>
          <w:rFonts w:eastAsia="Arial" w:cs="Arial"/>
          <w:b/>
          <w:i/>
          <w:highlight w:val="yellow"/>
          <w:lang w:val="es-PE"/>
        </w:rPr>
      </w:pPr>
    </w:p>
    <w:p w14:paraId="0098B529" w14:textId="77777777" w:rsidR="008E3A2B" w:rsidRPr="00F94B12" w:rsidRDefault="008E3A2B" w:rsidP="00F7595C">
      <w:pPr>
        <w:widowControl w:val="0"/>
        <w:tabs>
          <w:tab w:val="left" w:pos="1080"/>
          <w:tab w:val="left" w:pos="1260"/>
          <w:tab w:val="left" w:pos="1620"/>
          <w:tab w:val="left" w:pos="1800"/>
          <w:tab w:val="left" w:pos="2268"/>
          <w:tab w:val="left" w:pos="2694"/>
        </w:tabs>
        <w:jc w:val="both"/>
        <w:rPr>
          <w:rFonts w:eastAsia="Arial" w:cs="Arial"/>
          <w:b/>
          <w:i/>
          <w:iCs/>
          <w:lang w:val="es-PE"/>
        </w:rPr>
      </w:pPr>
    </w:p>
    <w:p w14:paraId="7D6A8BE1" w14:textId="053FE400" w:rsidR="008E3A2B" w:rsidRPr="00F94B12" w:rsidRDefault="008E3A2B" w:rsidP="00F7595C">
      <w:pPr>
        <w:widowControl w:val="0"/>
        <w:tabs>
          <w:tab w:val="left" w:pos="1080"/>
          <w:tab w:val="left" w:pos="1260"/>
          <w:tab w:val="left" w:pos="1620"/>
          <w:tab w:val="left" w:pos="1800"/>
          <w:tab w:val="left" w:pos="2268"/>
          <w:tab w:val="left" w:pos="2694"/>
        </w:tabs>
        <w:ind w:left="2694" w:hanging="2694"/>
        <w:jc w:val="both"/>
        <w:rPr>
          <w:rFonts w:cs="Arial"/>
          <w:szCs w:val="22"/>
          <w:lang w:val="es-PE"/>
        </w:rPr>
      </w:pPr>
      <w:r w:rsidRPr="00F94B12">
        <w:rPr>
          <w:rFonts w:cs="Arial"/>
          <w:szCs w:val="22"/>
          <w:lang w:val="es-PE"/>
        </w:rPr>
        <w:t>Lima,</w:t>
      </w:r>
      <w:bookmarkStart w:id="0" w:name="Fecha"/>
      <w:r w:rsidRPr="00F94B12">
        <w:rPr>
          <w:rFonts w:cs="Arial"/>
          <w:szCs w:val="22"/>
          <w:lang w:val="es-PE"/>
        </w:rPr>
        <w:t xml:space="preserve"> </w:t>
      </w:r>
      <w:bookmarkEnd w:id="0"/>
      <w:r w:rsidR="00911A42">
        <w:rPr>
          <w:rFonts w:cs="Arial"/>
          <w:szCs w:val="22"/>
          <w:lang w:val="es-PE"/>
        </w:rPr>
        <w:t>XX</w:t>
      </w:r>
      <w:r w:rsidRPr="00F94B12">
        <w:rPr>
          <w:rFonts w:cs="Arial"/>
          <w:szCs w:val="22"/>
          <w:lang w:val="es-PE"/>
        </w:rPr>
        <w:t xml:space="preserve"> de </w:t>
      </w:r>
      <w:r w:rsidR="00911A42" w:rsidRPr="00200637">
        <w:rPr>
          <w:rFonts w:cs="Arial"/>
          <w:szCs w:val="22"/>
          <w:highlight w:val="magenta"/>
          <w:lang w:val="es-PE"/>
        </w:rPr>
        <w:t>noviembre</w:t>
      </w:r>
      <w:r w:rsidRPr="00200637">
        <w:rPr>
          <w:rFonts w:cs="Arial"/>
          <w:szCs w:val="22"/>
          <w:highlight w:val="magenta"/>
          <w:lang w:val="es-PE"/>
        </w:rPr>
        <w:t xml:space="preserve"> de 2025</w:t>
      </w:r>
      <w:r w:rsidR="0082307A">
        <w:rPr>
          <w:rFonts w:cs="Arial"/>
          <w:szCs w:val="22"/>
          <w:lang w:val="es-PE"/>
        </w:rPr>
        <w:t xml:space="preserve">  </w:t>
      </w:r>
    </w:p>
    <w:p w14:paraId="7B853A76" w14:textId="77777777" w:rsidR="008E3A2B" w:rsidRPr="00F94B12" w:rsidRDefault="008E3A2B" w:rsidP="00F7595C">
      <w:pPr>
        <w:widowControl w:val="0"/>
        <w:jc w:val="both"/>
        <w:rPr>
          <w:rFonts w:cs="Arial"/>
          <w:szCs w:val="22"/>
          <w:lang w:val="es-PE"/>
        </w:rPr>
      </w:pPr>
    </w:p>
    <w:p w14:paraId="4120B2AF" w14:textId="77777777" w:rsidR="008E3A2B" w:rsidRPr="00F94B12" w:rsidRDefault="008E3A2B" w:rsidP="00F7595C">
      <w:pPr>
        <w:widowControl w:val="0"/>
        <w:contextualSpacing/>
        <w:rPr>
          <w:rFonts w:cs="Arial"/>
          <w:b/>
          <w:bCs/>
          <w:lang w:val="es-ES_tradnl"/>
        </w:rPr>
      </w:pPr>
      <w:r w:rsidRPr="00F94B12">
        <w:rPr>
          <w:rFonts w:cs="Arial"/>
          <w:b/>
          <w:bCs/>
          <w:lang w:val="es-ES_tradnl"/>
        </w:rPr>
        <w:t>ANTECEDENTES</w:t>
      </w:r>
    </w:p>
    <w:p w14:paraId="4E4FD668" w14:textId="20B6A7E2" w:rsidR="003D68B9" w:rsidRPr="003D68B9" w:rsidRDefault="003D68B9" w:rsidP="00F7595C">
      <w:pPr>
        <w:widowControl w:val="0"/>
        <w:jc w:val="both"/>
        <w:rPr>
          <w:rFonts w:eastAsia="Arial Narrow" w:cs="Arial"/>
        </w:rPr>
      </w:pPr>
    </w:p>
    <w:p w14:paraId="11C9E770" w14:textId="11D46DFC" w:rsidR="00AF6378" w:rsidRPr="00315527" w:rsidRDefault="00AF6378" w:rsidP="00F7595C">
      <w:pPr>
        <w:pStyle w:val="Prrafodelista"/>
        <w:widowControl w:val="0"/>
        <w:numPr>
          <w:ilvl w:val="3"/>
          <w:numId w:val="21"/>
        </w:numPr>
        <w:ind w:left="567" w:hanging="567"/>
        <w:jc w:val="both"/>
      </w:pPr>
      <w:bookmarkStart w:id="1" w:name="_Hlk193450357"/>
      <w:r w:rsidRPr="001329B5">
        <w:t>Mediante</w:t>
      </w:r>
      <w:r>
        <w:t xml:space="preserve"> escrito </w:t>
      </w:r>
      <w:r w:rsidRPr="00152401">
        <w:t xml:space="preserve">del </w:t>
      </w:r>
      <w:r w:rsidR="00911A42">
        <w:t>10 de julio</w:t>
      </w:r>
      <w:r w:rsidRPr="00152401">
        <w:t xml:space="preserve"> de 202</w:t>
      </w:r>
      <w:r w:rsidR="00911A42">
        <w:t>5</w:t>
      </w:r>
      <w:r>
        <w:rPr>
          <w:rStyle w:val="Refdenotaalpie"/>
        </w:rPr>
        <w:footnoteReference w:id="1"/>
      </w:r>
      <w:r>
        <w:t xml:space="preserve">, la señora </w:t>
      </w:r>
      <w:r w:rsidR="00911A42">
        <w:t>Ramas</w:t>
      </w:r>
      <w:r>
        <w:t xml:space="preserve"> denunció a </w:t>
      </w:r>
      <w:r>
        <w:rPr>
          <w:bCs/>
        </w:rPr>
        <w:t>la Caja</w:t>
      </w:r>
      <w:r w:rsidRPr="001329B5">
        <w:t xml:space="preserve"> por presuntas infracciones a la Ley N° 29571, Código de Protección y Defensa del Consumidor</w:t>
      </w:r>
      <w:r w:rsidRPr="001329B5">
        <w:rPr>
          <w:rStyle w:val="Refdenotaalpie"/>
        </w:rPr>
        <w:footnoteReference w:id="2"/>
      </w:r>
      <w:r w:rsidRPr="001329B5">
        <w:t xml:space="preserve"> (en adelante, Código)</w:t>
      </w:r>
      <w:r>
        <w:t xml:space="preserve">, señalando lo siguiente: </w:t>
      </w:r>
    </w:p>
    <w:p w14:paraId="09C074BB" w14:textId="77777777" w:rsidR="00AF6378" w:rsidRDefault="00AF6378" w:rsidP="00F7595C">
      <w:pPr>
        <w:widowControl w:val="0"/>
        <w:jc w:val="both"/>
      </w:pPr>
    </w:p>
    <w:p w14:paraId="39A131EE" w14:textId="54203763" w:rsidR="00911A42" w:rsidRDefault="00911A42" w:rsidP="00911A42">
      <w:pPr>
        <w:pStyle w:val="Prrafodelista"/>
        <w:widowControl w:val="0"/>
        <w:numPr>
          <w:ilvl w:val="0"/>
          <w:numId w:val="30"/>
        </w:numPr>
        <w:ind w:left="1134" w:hanging="567"/>
        <w:jc w:val="both"/>
      </w:pPr>
      <w:r w:rsidRPr="24D66CF8">
        <w:t xml:space="preserve">El </w:t>
      </w:r>
      <w:r>
        <w:t xml:space="preserve">4 de marzo de 2921 contrató el crédito N° 25***86, el mismo que fue cancelado, emitiéndose el 13 de mayo de 2023 la constancia N° </w:t>
      </w:r>
      <w:r w:rsidRPr="00911A42">
        <w:t>267</w:t>
      </w:r>
      <w:r>
        <w:t>71</w:t>
      </w:r>
      <w:r w:rsidRPr="00911A42">
        <w:t>/16/DCARRERAA/16/E</w:t>
      </w:r>
      <w:r>
        <w:t xml:space="preserve"> que acreditaba ello</w:t>
      </w:r>
    </w:p>
    <w:p w14:paraId="0F2C82C3" w14:textId="77777777" w:rsidR="00911A42" w:rsidRDefault="00911A42" w:rsidP="00911A42">
      <w:pPr>
        <w:pStyle w:val="Prrafodelista"/>
        <w:widowControl w:val="0"/>
        <w:ind w:left="1134"/>
        <w:jc w:val="both"/>
      </w:pPr>
    </w:p>
    <w:p w14:paraId="374AD086" w14:textId="02767788" w:rsidR="00AF6378" w:rsidRDefault="00AF6378" w:rsidP="00F7595C">
      <w:pPr>
        <w:pStyle w:val="Prrafodelista"/>
        <w:widowControl w:val="0"/>
        <w:numPr>
          <w:ilvl w:val="0"/>
          <w:numId w:val="30"/>
        </w:numPr>
        <w:ind w:left="1134" w:hanging="567"/>
        <w:jc w:val="both"/>
      </w:pPr>
      <w:r w:rsidRPr="24D66CF8">
        <w:t xml:space="preserve">El </w:t>
      </w:r>
      <w:r w:rsidR="00911A42">
        <w:t xml:space="preserve">22 de agosto de 2022 contrató el crédito N° 28***38, el mismo que fue cancelado, emitiéndose el 13 de mayo de 2023 la constancia N° </w:t>
      </w:r>
      <w:r w:rsidR="00911A42" w:rsidRPr="00911A42">
        <w:t>26769/16/DCARRERAA/16/E</w:t>
      </w:r>
      <w:r w:rsidR="00911A42">
        <w:t xml:space="preserve"> que acreditaba ello</w:t>
      </w:r>
    </w:p>
    <w:p w14:paraId="7EBF65BA" w14:textId="77777777" w:rsidR="00911A42" w:rsidRDefault="00911A42" w:rsidP="00911A42">
      <w:pPr>
        <w:pStyle w:val="Prrafodelista"/>
        <w:widowControl w:val="0"/>
        <w:ind w:left="1134"/>
        <w:jc w:val="both"/>
      </w:pPr>
    </w:p>
    <w:p w14:paraId="008D48DE" w14:textId="15D4477E" w:rsidR="00911A42" w:rsidRDefault="00911A42" w:rsidP="00F7595C">
      <w:pPr>
        <w:pStyle w:val="Prrafodelista"/>
        <w:widowControl w:val="0"/>
        <w:numPr>
          <w:ilvl w:val="0"/>
          <w:numId w:val="30"/>
        </w:numPr>
        <w:ind w:left="1134" w:hanging="567"/>
        <w:jc w:val="both"/>
      </w:pPr>
      <w:r>
        <w:t>El 29 de noviembre de 2022 se contrató el crédito N° 28***77</w:t>
      </w:r>
      <w:r w:rsidRPr="00911A42">
        <w:t xml:space="preserve"> </w:t>
      </w:r>
      <w:r>
        <w:t xml:space="preserve">el mismo que fue cancelado, emitiéndose el 13 de mayo de 2023 la constancia N° </w:t>
      </w:r>
      <w:r w:rsidRPr="00911A42">
        <w:t>267</w:t>
      </w:r>
      <w:r>
        <w:t>70</w:t>
      </w:r>
      <w:r w:rsidRPr="00911A42">
        <w:t>/16/DCARRERAA/16/E</w:t>
      </w:r>
      <w:r>
        <w:t xml:space="preserve"> que acreditaba ello.</w:t>
      </w:r>
    </w:p>
    <w:p w14:paraId="4B145E1D" w14:textId="77777777" w:rsidR="00911A42" w:rsidRDefault="00911A42" w:rsidP="00911A42">
      <w:pPr>
        <w:pStyle w:val="Prrafodelista"/>
      </w:pPr>
    </w:p>
    <w:p w14:paraId="6EF51430" w14:textId="70525399" w:rsidR="00911A42" w:rsidRDefault="00911A42" w:rsidP="00F7595C">
      <w:pPr>
        <w:pStyle w:val="Prrafodelista"/>
        <w:widowControl w:val="0"/>
        <w:numPr>
          <w:ilvl w:val="0"/>
          <w:numId w:val="30"/>
        </w:numPr>
        <w:ind w:left="1134" w:hanging="567"/>
        <w:jc w:val="both"/>
      </w:pPr>
      <w:r>
        <w:t>En marzo de 2024, solicitó a la CMAC Piura S.A.C. un crédito; sin embargo, ello no fue otorgado pues figuraba reportado con una calificación negativa. Resalta que no puede acceder a créditos financieros.</w:t>
      </w:r>
    </w:p>
    <w:p w14:paraId="19E2B3C7" w14:textId="77777777" w:rsidR="00AF6378" w:rsidRPr="001329B5" w:rsidRDefault="00AF6378" w:rsidP="00F7595C">
      <w:pPr>
        <w:widowControl w:val="0"/>
        <w:contextualSpacing/>
        <w:jc w:val="both"/>
      </w:pPr>
    </w:p>
    <w:p w14:paraId="29179CF4" w14:textId="600903F5" w:rsidR="00AF6378" w:rsidRDefault="00AF6378" w:rsidP="00F7595C">
      <w:pPr>
        <w:pStyle w:val="Prrafodelista"/>
        <w:widowControl w:val="0"/>
        <w:numPr>
          <w:ilvl w:val="3"/>
          <w:numId w:val="21"/>
        </w:numPr>
        <w:ind w:left="567" w:hanging="567"/>
        <w:jc w:val="both"/>
      </w:pPr>
      <w:r w:rsidRPr="004A652A">
        <w:t xml:space="preserve">La señora </w:t>
      </w:r>
      <w:r w:rsidR="00911A42">
        <w:t>Ramas</w:t>
      </w:r>
      <w:r w:rsidRPr="004A652A">
        <w:t xml:space="preserve">, solicitó en calidad de medida correctiva que </w:t>
      </w:r>
      <w:r w:rsidR="00911A42">
        <w:t>(i) se anulen las deudas, (ii) cesen las llamadas efectuadas y (iii) se rectifique su perfil crediticio</w:t>
      </w:r>
      <w:r w:rsidRPr="004A652A">
        <w:t xml:space="preserve">. </w:t>
      </w:r>
      <w:r w:rsidR="00911A42">
        <w:t>Cabe resaltar que no</w:t>
      </w:r>
      <w:r w:rsidRPr="004A652A">
        <w:t xml:space="preserve"> requirió el pago de los costos y costas del procedimiento.</w:t>
      </w:r>
    </w:p>
    <w:p w14:paraId="09ED174F" w14:textId="77777777" w:rsidR="00AF6378" w:rsidRDefault="00AF6378" w:rsidP="00F7595C">
      <w:pPr>
        <w:pStyle w:val="Prrafodelista"/>
        <w:widowControl w:val="0"/>
        <w:ind w:left="567"/>
        <w:jc w:val="both"/>
      </w:pPr>
    </w:p>
    <w:bookmarkEnd w:id="1"/>
    <w:p w14:paraId="3581D648" w14:textId="77777777" w:rsidR="00911A42" w:rsidRDefault="00911A42" w:rsidP="00911A42">
      <w:pPr>
        <w:widowControl w:val="0"/>
        <w:ind w:left="567" w:hanging="567"/>
        <w:jc w:val="both"/>
        <w:rPr>
          <w:rFonts w:eastAsia="Arial" w:cs="Arial"/>
          <w:b/>
        </w:rPr>
      </w:pPr>
      <w:r w:rsidRPr="00183889">
        <w:rPr>
          <w:rFonts w:eastAsia="Arial" w:cs="Arial"/>
          <w:b/>
        </w:rPr>
        <w:t>ANÁLISIS</w:t>
      </w:r>
    </w:p>
    <w:p w14:paraId="51064BD1" w14:textId="77777777" w:rsidR="00911A42" w:rsidRPr="00183889" w:rsidRDefault="00911A42" w:rsidP="00911A42">
      <w:pPr>
        <w:widowControl w:val="0"/>
        <w:ind w:left="567" w:hanging="567"/>
        <w:jc w:val="both"/>
        <w:rPr>
          <w:rFonts w:eastAsia="Arial" w:cs="Arial"/>
          <w:b/>
        </w:rPr>
      </w:pPr>
    </w:p>
    <w:p w14:paraId="79976B96" w14:textId="77777777" w:rsidR="00911A42" w:rsidRPr="00183889" w:rsidRDefault="00911A42" w:rsidP="00911A42">
      <w:pPr>
        <w:widowControl w:val="0"/>
        <w:jc w:val="both"/>
        <w:rPr>
          <w:rFonts w:cs="Arial"/>
        </w:rPr>
      </w:pPr>
      <w:r w:rsidRPr="00183889">
        <w:rPr>
          <w:rFonts w:eastAsia="Arial" w:cs="Arial"/>
          <w:b/>
        </w:rPr>
        <w:t xml:space="preserve">MARCO JURÍDICO APLICABLE </w:t>
      </w:r>
      <w:r>
        <w:rPr>
          <w:rFonts w:eastAsia="Arial" w:cs="Arial"/>
          <w:b/>
        </w:rPr>
        <w:t xml:space="preserve">PARA ESTABLECER LA PROTECCIÓN EN FUNCIÓN AL CÓDIGO </w:t>
      </w:r>
    </w:p>
    <w:p w14:paraId="41075174" w14:textId="77777777" w:rsidR="00911A42" w:rsidRPr="00183889" w:rsidRDefault="00911A42" w:rsidP="00911A42">
      <w:pPr>
        <w:widowControl w:val="0"/>
        <w:jc w:val="both"/>
        <w:rPr>
          <w:rFonts w:cs="Arial"/>
        </w:rPr>
      </w:pPr>
    </w:p>
    <w:p w14:paraId="50CCA1A3" w14:textId="77777777" w:rsidR="00911A42" w:rsidRPr="00183889" w:rsidRDefault="00911A42" w:rsidP="00911A42">
      <w:pPr>
        <w:widowControl w:val="0"/>
        <w:tabs>
          <w:tab w:val="left" w:pos="567"/>
        </w:tabs>
        <w:ind w:left="567" w:hanging="567"/>
        <w:jc w:val="both"/>
        <w:rPr>
          <w:rFonts w:cs="Arial"/>
          <w:b/>
        </w:rPr>
      </w:pPr>
      <w:r w:rsidRPr="00183889">
        <w:rPr>
          <w:rFonts w:eastAsia="Arial" w:cs="Arial"/>
          <w:b/>
        </w:rPr>
        <w:t xml:space="preserve">(i) </w:t>
      </w:r>
      <w:r w:rsidRPr="00183889">
        <w:rPr>
          <w:rFonts w:eastAsia="Arial" w:cs="Arial"/>
          <w:b/>
        </w:rPr>
        <w:tab/>
      </w:r>
      <w:r w:rsidRPr="00F4042D">
        <w:rPr>
          <w:rFonts w:eastAsia="Arial Narrow" w:cs="Arial"/>
          <w:b/>
          <w:bCs/>
          <w:u w:val="single"/>
        </w:rPr>
        <w:t>Respecto al régimen de intervención y de disolución y liquidación de una entidad financiera supervisada por la SBS</w:t>
      </w:r>
    </w:p>
    <w:p w14:paraId="5561C387" w14:textId="77777777" w:rsidR="00911A42" w:rsidRPr="00183889" w:rsidRDefault="00911A42" w:rsidP="00911A42">
      <w:pPr>
        <w:widowControl w:val="0"/>
        <w:jc w:val="both"/>
        <w:rPr>
          <w:rFonts w:cs="Arial"/>
        </w:rPr>
      </w:pPr>
    </w:p>
    <w:p w14:paraId="7687FD2D"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El artículo 345 del Texto Concordado de la Ley N°26702, Ley Genera del Sistema Financiero y del Sistema de Seguros y Orgánica de la Superintendencia de Banca y Seguros (en adelante, Ley General), señala que es función de la SBS proteger los intereses del público en el ámbito de los sistemas financieros y de seguros; de tal manera que ejerce control y supervisión de las empresas que desarrollan en dichos sectores.</w:t>
      </w:r>
      <w:r w:rsidRPr="00F1271B">
        <w:rPr>
          <w:vertAlign w:val="superscript"/>
        </w:rPr>
        <w:footnoteReference w:id="3"/>
      </w:r>
    </w:p>
    <w:p w14:paraId="16841B41" w14:textId="77777777" w:rsidR="00911A42" w:rsidRDefault="00911A42" w:rsidP="00911A42">
      <w:pPr>
        <w:pStyle w:val="Prrafodelista"/>
        <w:widowControl w:val="0"/>
        <w:ind w:left="567"/>
        <w:jc w:val="both"/>
        <w:rPr>
          <w:rFonts w:eastAsia="Arial Narrow"/>
        </w:rPr>
      </w:pPr>
    </w:p>
    <w:p w14:paraId="3BB6D34D" w14:textId="77777777" w:rsidR="00911A42" w:rsidRPr="00911A42" w:rsidRDefault="00911A42" w:rsidP="00911A42">
      <w:pPr>
        <w:pStyle w:val="Prrafodelista"/>
        <w:widowControl w:val="0"/>
        <w:numPr>
          <w:ilvl w:val="3"/>
          <w:numId w:val="21"/>
        </w:numPr>
        <w:ind w:left="567" w:hanging="567"/>
        <w:jc w:val="both"/>
        <w:rPr>
          <w:rFonts w:eastAsia="Arial Narrow"/>
        </w:rPr>
      </w:pPr>
      <w:r w:rsidRPr="00911A42">
        <w:rPr>
          <w:rFonts w:eastAsia="Arial Narrow"/>
          <w:shd w:val="clear" w:color="auto" w:fill="FFFFFF"/>
        </w:rPr>
        <w:t>Asimismo, el artículo 347° de la Ley General precisa que es función de la SBS preservar la confianza, estabilidad y solidez del Sistema Financiero y cautelar los intereses del ahorrista a efectos de que estos no se vean perjudicados ante una crisis que afecte de manera significativa el patrimonio de las entidades financieras</w:t>
      </w:r>
      <w:r w:rsidRPr="00F1271B">
        <w:rPr>
          <w:vertAlign w:val="superscript"/>
        </w:rPr>
        <w:footnoteReference w:id="4"/>
      </w:r>
      <w:r w:rsidRPr="00911A42">
        <w:rPr>
          <w:rFonts w:eastAsia="Arial Narrow"/>
          <w:shd w:val="clear" w:color="auto" w:fill="FFFFFF"/>
        </w:rPr>
        <w:t xml:space="preserve">. </w:t>
      </w:r>
    </w:p>
    <w:p w14:paraId="6FD4FAC6" w14:textId="77777777" w:rsidR="00911A42" w:rsidRPr="00911A42" w:rsidRDefault="00911A42" w:rsidP="00911A42">
      <w:pPr>
        <w:pStyle w:val="Prrafodelista"/>
        <w:rPr>
          <w:rFonts w:eastAsia="Arial Narrow"/>
        </w:rPr>
      </w:pPr>
    </w:p>
    <w:p w14:paraId="3150B85F"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En función a dichas atribuciones, la SBS se encuentra en la posibilidad de adoptar medidas concretas frente a aquellas entidades financieras que se hubiesen visto afectadas significativamente en su patrimonio con el fin de cautelar el ahorro del público y la estabilidad del sistema financiero.</w:t>
      </w:r>
    </w:p>
    <w:p w14:paraId="00BDE85C" w14:textId="77777777" w:rsidR="00911A42" w:rsidRPr="00911A42" w:rsidRDefault="00911A42" w:rsidP="00911A42">
      <w:pPr>
        <w:pStyle w:val="Prrafodelista"/>
        <w:rPr>
          <w:rFonts w:eastAsia="Arial Narrow"/>
        </w:rPr>
      </w:pPr>
    </w:p>
    <w:p w14:paraId="4D858582"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Así, el artículo 355° de la Ley General precisa que en el caso de que una empresa del sector financiero presente inestabilidad financiera o administración deficiente, la SBS podrá determinar el patrimonio real y efectuar los ajustes patrimoniales que correspondan con cargo a las reservas y capital social; incluso se encontrará en la posibilidad de prohibirla realización de ciertas actividades que, en general, impliquen riesgos significativos para la estabilidad de la entidad financiera</w:t>
      </w:r>
      <w:r w:rsidRPr="00F1271B">
        <w:rPr>
          <w:vertAlign w:val="superscript"/>
        </w:rPr>
        <w:footnoteReference w:id="5"/>
      </w:r>
      <w:r w:rsidRPr="00911A42">
        <w:rPr>
          <w:rFonts w:eastAsia="Arial Narrow"/>
        </w:rPr>
        <w:t>.</w:t>
      </w:r>
    </w:p>
    <w:p w14:paraId="165F9CB4" w14:textId="77777777" w:rsidR="00911A42" w:rsidRPr="00911A42" w:rsidRDefault="00911A42" w:rsidP="00911A42">
      <w:pPr>
        <w:pStyle w:val="Prrafodelista"/>
        <w:rPr>
          <w:rFonts w:eastAsia="Arial Narrow"/>
        </w:rPr>
      </w:pPr>
    </w:p>
    <w:p w14:paraId="2E3309FC" w14:textId="77777777" w:rsidR="00C856DE" w:rsidRDefault="00911A42" w:rsidP="00C856DE">
      <w:pPr>
        <w:pStyle w:val="Prrafodelista"/>
        <w:widowControl w:val="0"/>
        <w:numPr>
          <w:ilvl w:val="3"/>
          <w:numId w:val="21"/>
        </w:numPr>
        <w:ind w:left="567" w:hanging="567"/>
        <w:jc w:val="both"/>
        <w:rPr>
          <w:rFonts w:eastAsia="Arial Narrow"/>
        </w:rPr>
      </w:pPr>
      <w:r w:rsidRPr="00911A42">
        <w:rPr>
          <w:rFonts w:eastAsia="Arial Narrow"/>
        </w:rPr>
        <w:t xml:space="preserve">En atención a estas facultades, mediante Resolución SBS N° 0455-1999, que aprueba el Reglamento de Regímenes Especiales y de la Liquidación de las Empresas del Sistema Financiero y de los Sistemas de Seguros, la SBS reguló el proceso de intervención y liquidación de la </w:t>
      </w:r>
      <w:r w:rsidR="00750ED8">
        <w:rPr>
          <w:rFonts w:eastAsia="Arial Narrow"/>
        </w:rPr>
        <w:t>Caja</w:t>
      </w:r>
      <w:r w:rsidRPr="00911A42">
        <w:rPr>
          <w:rFonts w:eastAsia="Arial Narrow"/>
        </w:rPr>
        <w:t xml:space="preserve">, cuyo funcionamiento se encuentra legislado a través de la Ley General, y otras Normas Concordantes, respecto de la Regulación y Supervisión de las Financieras </w:t>
      </w:r>
    </w:p>
    <w:p w14:paraId="7712D485" w14:textId="77777777" w:rsidR="00C856DE" w:rsidRDefault="00C856DE" w:rsidP="00C856DE">
      <w:pPr>
        <w:pStyle w:val="Prrafodelista"/>
      </w:pPr>
    </w:p>
    <w:p w14:paraId="448CCAAB" w14:textId="2996EFDC" w:rsidR="00C856DE" w:rsidRPr="00C856DE" w:rsidRDefault="00C856DE" w:rsidP="00C856DE">
      <w:pPr>
        <w:pStyle w:val="Prrafodelista"/>
        <w:widowControl w:val="0"/>
        <w:numPr>
          <w:ilvl w:val="3"/>
          <w:numId w:val="21"/>
        </w:numPr>
        <w:ind w:left="567" w:hanging="567"/>
        <w:jc w:val="both"/>
        <w:rPr>
          <w:rFonts w:eastAsia="Arial Narrow"/>
          <w:highlight w:val="yellow"/>
        </w:rPr>
      </w:pPr>
      <w:r w:rsidRPr="00C856DE">
        <w:rPr>
          <w:highlight w:val="yellow"/>
        </w:rPr>
        <w:t>Es así que, de conformidad con lo dispuesto en el numeral 4 del artículo 104° de la Ley General</w:t>
      </w:r>
      <w:r w:rsidRPr="00C856DE">
        <w:rPr>
          <w:rStyle w:val="Refdenotaalpie"/>
          <w:highlight w:val="yellow"/>
        </w:rPr>
        <w:footnoteReference w:id="6"/>
      </w:r>
      <w:r w:rsidRPr="00C856DE">
        <w:rPr>
          <w:highlight w:val="yellow"/>
        </w:rPr>
        <w:t xml:space="preserve"> mediante Resolución SBS N° 02646-2023, publicada el 11 de agosto de 2023, la SBS declaró el sometimiento de Caja Raíz a un Régimen de Intervención a cargo de la SBS, en tanto su patrimonio resultó afectado en más del 50% en los últimos 12 meses. Asimismo, mediante Resolución SBS N° 02672-2023, publicada el 12 de agosto de 2023, la SBS declaró la disolución de Caja Raíz, sometida a Régimen Especial Transitorio, así como el inicio del respectivo proceso de liquidación.</w:t>
      </w:r>
    </w:p>
    <w:p w14:paraId="068C0447" w14:textId="77777777" w:rsidR="00C856DE" w:rsidRPr="00C856DE" w:rsidRDefault="00C856DE" w:rsidP="00C856DE">
      <w:pPr>
        <w:pStyle w:val="Prrafodelista"/>
        <w:widowControl w:val="0"/>
        <w:ind w:left="567"/>
        <w:jc w:val="both"/>
        <w:rPr>
          <w:rFonts w:eastAsia="Arial Narrow"/>
        </w:rPr>
      </w:pPr>
    </w:p>
    <w:p w14:paraId="6A3BA599"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El régimen de intervención se caracteriza por la suspensión de las operaciones de la entidad financiera frente a los consumidores. Así, entre las causales que motivan la aplicación de dicho régimen, se encuentran la pérdida o reducción de más del 50% del patrimonio efectivo de la entidad financiera en los últimos doce (12) meses, y la suspensión del pago de sus obligaciones</w:t>
      </w:r>
      <w:r w:rsidRPr="008D67F7">
        <w:rPr>
          <w:rStyle w:val="Refdenotaalpie"/>
          <w:rFonts w:eastAsia="Arial Narrow"/>
        </w:rPr>
        <w:footnoteReference w:id="7"/>
      </w:r>
      <w:r w:rsidRPr="00911A42">
        <w:rPr>
          <w:rFonts w:eastAsia="Arial Narrow"/>
        </w:rPr>
        <w:t xml:space="preserve">. Dicho régimen tiene una duración de hasta </w:t>
      </w:r>
      <w:r w:rsidRPr="00911A42">
        <w:rPr>
          <w:rFonts w:eastAsia="Arial Narrow"/>
        </w:rPr>
        <w:lastRenderedPageBreak/>
        <w:t>cuarenta y cinco (45) días prorrogables, por una sola vez, por un periodo idéntico.</w:t>
      </w:r>
    </w:p>
    <w:p w14:paraId="0D4CE12F" w14:textId="77777777" w:rsidR="00911A42" w:rsidRPr="00911A42" w:rsidRDefault="00911A42" w:rsidP="00911A42">
      <w:pPr>
        <w:pStyle w:val="Prrafodelista"/>
        <w:rPr>
          <w:rFonts w:eastAsia="Arial Narrow"/>
        </w:rPr>
      </w:pPr>
    </w:p>
    <w:p w14:paraId="4447E2A8" w14:textId="197CAEBD"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 xml:space="preserve">No obstante, si luego de transcurrido el referido periodo de suspensión, la autoridad reguladora advierte que aún persisten las causas </w:t>
      </w:r>
      <w:r w:rsidR="00750ED8">
        <w:rPr>
          <w:rFonts w:eastAsia="Arial Narrow"/>
        </w:rPr>
        <w:t xml:space="preserve">que </w:t>
      </w:r>
      <w:r w:rsidRPr="00911A42">
        <w:rPr>
          <w:rFonts w:eastAsia="Arial Narrow"/>
        </w:rPr>
        <w:t>motivaron el régimen de intervención, esta se encontrará en la posibilidad de declarar la disolución de la entidad financiera a fin de salvaguardar el sistema financiero y cautelar los intereses de los ahorristas.</w:t>
      </w:r>
    </w:p>
    <w:p w14:paraId="14CF176F" w14:textId="77777777" w:rsidR="00911A42" w:rsidRPr="00911A42" w:rsidRDefault="00911A42" w:rsidP="00911A42">
      <w:pPr>
        <w:pStyle w:val="Prrafodelista"/>
        <w:rPr>
          <w:rFonts w:eastAsia="Arial Narrow"/>
        </w:rPr>
      </w:pPr>
    </w:p>
    <w:p w14:paraId="3367F0F1" w14:textId="77777777" w:rsidR="00911A42" w:rsidRDefault="00911A42" w:rsidP="00911A42">
      <w:pPr>
        <w:pStyle w:val="Prrafodelista"/>
        <w:widowControl w:val="0"/>
        <w:numPr>
          <w:ilvl w:val="3"/>
          <w:numId w:val="21"/>
        </w:numPr>
        <w:ind w:left="567" w:hanging="567"/>
        <w:jc w:val="both"/>
        <w:rPr>
          <w:rFonts w:eastAsia="Arial Narrow"/>
        </w:rPr>
      </w:pPr>
      <w:r w:rsidRPr="00911A42">
        <w:rPr>
          <w:rFonts w:eastAsia="Arial Narrow"/>
        </w:rPr>
        <w:t>Dicha declaratoria se efectuará a través de una resolución emitida por la SBS, mediante la cual dispondrá la disolución de la empresa y el inicio del proceso liquidatario correspondiente, y a partir de la publicación de la referida resolución se encontrará prohibido, entre otros, iniciar contra ella procesos judiciales o administrativos destinados</w:t>
      </w:r>
      <w:r w:rsidRPr="00911A42">
        <w:rPr>
          <w:rFonts w:ascii="Calibri" w:eastAsia="Calibri" w:hAnsi="Calibri" w:cs="Calibri"/>
        </w:rPr>
        <w:t xml:space="preserve"> </w:t>
      </w:r>
      <w:r w:rsidRPr="00911A42">
        <w:rPr>
          <w:rFonts w:eastAsia="Arial Narrow"/>
        </w:rPr>
        <w:t>al cobro de acreencias a su cargo, conforme se desprende de la lectura conjunta de los artículos 106°</w:t>
      </w:r>
      <w:r w:rsidRPr="00583689">
        <w:rPr>
          <w:rStyle w:val="Refdenotaalpie"/>
          <w:rFonts w:eastAsia="Arial Narrow"/>
        </w:rPr>
        <w:footnoteReference w:id="8"/>
      </w:r>
      <w:r w:rsidRPr="00911A42">
        <w:rPr>
          <w:rFonts w:eastAsia="Arial Narrow"/>
        </w:rPr>
        <w:t xml:space="preserve"> y 116°</w:t>
      </w:r>
      <w:r w:rsidRPr="00583689">
        <w:rPr>
          <w:rStyle w:val="Refdenotaalpie"/>
          <w:rFonts w:eastAsia="Arial Narrow"/>
        </w:rPr>
        <w:footnoteReference w:id="9"/>
      </w:r>
      <w:r w:rsidRPr="00911A42">
        <w:rPr>
          <w:rFonts w:eastAsia="Arial Narrow"/>
        </w:rPr>
        <w:t xml:space="preserve"> de la Ley General.</w:t>
      </w:r>
    </w:p>
    <w:p w14:paraId="35932811" w14:textId="77777777" w:rsidR="00911A42" w:rsidRPr="00911A42" w:rsidRDefault="00911A42" w:rsidP="00911A42">
      <w:pPr>
        <w:pStyle w:val="Prrafodelista"/>
        <w:rPr>
          <w:rFonts w:eastAsia="Arial Narrow"/>
        </w:rPr>
      </w:pPr>
    </w:p>
    <w:p w14:paraId="20F61B05" w14:textId="55DA2D2D" w:rsidR="00750ED8" w:rsidRDefault="00911A42" w:rsidP="00750ED8">
      <w:pPr>
        <w:pStyle w:val="Prrafodelista"/>
        <w:widowControl w:val="0"/>
        <w:numPr>
          <w:ilvl w:val="3"/>
          <w:numId w:val="21"/>
        </w:numPr>
        <w:ind w:left="567" w:hanging="567"/>
        <w:jc w:val="both"/>
        <w:rPr>
          <w:rFonts w:eastAsia="Arial Narrow"/>
        </w:rPr>
      </w:pPr>
      <w:r w:rsidRPr="00911A42">
        <w:rPr>
          <w:rFonts w:eastAsia="Arial Narrow"/>
        </w:rPr>
        <w:t>De este modo, se concluye que no sería posible iniciar procesos judiciales o procedimientos administrativos contra una empresa del sistema financiero para el cobro de acreencias a su cargo, a partir de la fecha de publicación de la resolución que dispone su disolución o liquidación</w:t>
      </w:r>
      <w:r w:rsidR="00750ED8">
        <w:rPr>
          <w:rFonts w:eastAsia="Arial Narrow"/>
        </w:rPr>
        <w:t>.</w:t>
      </w:r>
    </w:p>
    <w:p w14:paraId="1C775806" w14:textId="77777777" w:rsidR="00750ED8" w:rsidRPr="00750ED8" w:rsidRDefault="00750ED8" w:rsidP="00750ED8">
      <w:pPr>
        <w:pStyle w:val="Prrafodelista"/>
        <w:rPr>
          <w:rFonts w:eastAsia="Arial Narrow"/>
        </w:rPr>
      </w:pPr>
    </w:p>
    <w:p w14:paraId="51276E53" w14:textId="77777777" w:rsidR="00750ED8" w:rsidRDefault="00911A42" w:rsidP="00750ED8">
      <w:pPr>
        <w:pStyle w:val="Prrafodelista"/>
        <w:widowControl w:val="0"/>
        <w:numPr>
          <w:ilvl w:val="3"/>
          <w:numId w:val="21"/>
        </w:numPr>
        <w:ind w:left="567" w:hanging="567"/>
        <w:jc w:val="both"/>
        <w:rPr>
          <w:rFonts w:eastAsia="Arial Narrow"/>
        </w:rPr>
      </w:pPr>
      <w:r w:rsidRPr="00750ED8">
        <w:rPr>
          <w:rFonts w:eastAsia="Arial Narrow"/>
        </w:rPr>
        <w:t>Cabe precisar que, cuando la norma hace referencia al cobro de acreencias a su cargo, en el marco de una relación de consumo, no solo alude a la posibilidad de que un consumidor pueda denunciar hechos relacionados a alguna obligación pecuniaria incumplida, sino también a la posibilidad de que, en general, la autoridad requiera el pago de una multa impuesta por una infracción al Código.</w:t>
      </w:r>
    </w:p>
    <w:p w14:paraId="70C04622" w14:textId="77777777" w:rsidR="00750ED8" w:rsidRPr="00750ED8" w:rsidRDefault="00750ED8" w:rsidP="00750ED8">
      <w:pPr>
        <w:pStyle w:val="Prrafodelista"/>
        <w:rPr>
          <w:rFonts w:eastAsia="Arial Narrow"/>
        </w:rPr>
      </w:pPr>
    </w:p>
    <w:p w14:paraId="43CCB7C3" w14:textId="2AE5E8F9" w:rsidR="00911A42" w:rsidRPr="00750ED8" w:rsidRDefault="00911A42" w:rsidP="00750ED8">
      <w:pPr>
        <w:pStyle w:val="Prrafodelista"/>
        <w:widowControl w:val="0"/>
        <w:numPr>
          <w:ilvl w:val="3"/>
          <w:numId w:val="21"/>
        </w:numPr>
        <w:ind w:left="567" w:hanging="567"/>
        <w:jc w:val="both"/>
        <w:rPr>
          <w:rFonts w:eastAsia="Arial Narrow"/>
        </w:rPr>
      </w:pPr>
      <w:r w:rsidRPr="00750ED8">
        <w:rPr>
          <w:rFonts w:eastAsia="Arial Narrow"/>
        </w:rPr>
        <w:t xml:space="preserve">Siguiendo esa línea, la SBS -en atención a las consultas formuladas por esta Secretaría </w:t>
      </w:r>
      <w:r w:rsidRPr="00750ED8">
        <w:rPr>
          <w:rFonts w:eastAsia="Arial Narrow"/>
        </w:rPr>
        <w:lastRenderedPageBreak/>
        <w:t>Técnica por Oficio N° 13184-2022-SBS- ha señalado, mediante Oficio N° 13184-2022- SBS, lo siguiente:</w:t>
      </w:r>
    </w:p>
    <w:p w14:paraId="1FB27E2C" w14:textId="77777777" w:rsidR="00911A42" w:rsidRPr="00B36CCB" w:rsidRDefault="00911A42" w:rsidP="00911A42">
      <w:pPr>
        <w:pStyle w:val="Prrafodelista"/>
        <w:widowControl w:val="0"/>
        <w:rPr>
          <w:rFonts w:eastAsia="Arial Narrow"/>
        </w:rPr>
      </w:pPr>
    </w:p>
    <w:p w14:paraId="1D9F18A8" w14:textId="77777777" w:rsidR="00911A42" w:rsidRPr="00B36CCB" w:rsidRDefault="00911A42" w:rsidP="00911A42">
      <w:pPr>
        <w:pStyle w:val="Prrafodelista"/>
        <w:widowControl w:val="0"/>
        <w:ind w:left="1418"/>
        <w:jc w:val="both"/>
        <w:rPr>
          <w:rFonts w:eastAsia="Arial Narrow"/>
          <w:i/>
          <w:iCs/>
          <w:sz w:val="18"/>
          <w:szCs w:val="18"/>
        </w:rPr>
      </w:pPr>
      <w:r w:rsidRPr="00B36CCB">
        <w:rPr>
          <w:rFonts w:eastAsia="Arial Narrow"/>
          <w:i/>
          <w:iCs/>
          <w:sz w:val="18"/>
          <w:szCs w:val="18"/>
        </w:rPr>
        <w:t xml:space="preserve">“(…) </w:t>
      </w:r>
    </w:p>
    <w:p w14:paraId="7B81A11F" w14:textId="77777777" w:rsidR="00911A42" w:rsidRPr="00B36CCB" w:rsidRDefault="00911A42" w:rsidP="00911A42">
      <w:pPr>
        <w:pStyle w:val="Prrafodelista"/>
        <w:widowControl w:val="0"/>
        <w:ind w:left="1418"/>
        <w:jc w:val="both"/>
        <w:rPr>
          <w:rFonts w:eastAsia="Arial Narrow"/>
          <w:i/>
          <w:iCs/>
          <w:sz w:val="18"/>
          <w:szCs w:val="18"/>
        </w:rPr>
      </w:pPr>
    </w:p>
    <w:p w14:paraId="370F1607" w14:textId="77777777" w:rsidR="00911A42" w:rsidRPr="00B36CCB" w:rsidRDefault="00911A42" w:rsidP="00911A42">
      <w:pPr>
        <w:pStyle w:val="Prrafodelista"/>
        <w:widowControl w:val="0"/>
        <w:ind w:left="1701" w:hanging="283"/>
        <w:jc w:val="both"/>
        <w:rPr>
          <w:rFonts w:eastAsia="Arial Narrow"/>
          <w:i/>
          <w:iCs/>
          <w:sz w:val="18"/>
          <w:szCs w:val="18"/>
        </w:rPr>
      </w:pPr>
      <w:r w:rsidRPr="00B36CCB">
        <w:rPr>
          <w:rFonts w:eastAsia="Arial Narrow"/>
          <w:i/>
          <w:iCs/>
          <w:sz w:val="18"/>
          <w:szCs w:val="18"/>
        </w:rPr>
        <w:t xml:space="preserve">3. </w:t>
      </w:r>
      <w:r w:rsidRPr="00B36CCB">
        <w:rPr>
          <w:rFonts w:eastAsia="Arial Narrow"/>
          <w:i/>
          <w:iCs/>
          <w:sz w:val="18"/>
          <w:szCs w:val="18"/>
        </w:rPr>
        <w:tab/>
        <w:t xml:space="preserve">Considerando los términos del numeral 1) del artículo 116 de la Ley General ¿el enunciado referido a “iniciar procedimientos administrativos” abarca también el inicio de investigaciones u otro tipo de actuaciones? </w:t>
      </w:r>
    </w:p>
    <w:p w14:paraId="58CCD672" w14:textId="77777777" w:rsidR="00911A42" w:rsidRPr="00B36CCB" w:rsidRDefault="00911A42" w:rsidP="00911A42">
      <w:pPr>
        <w:pStyle w:val="Prrafodelista"/>
        <w:widowControl w:val="0"/>
        <w:ind w:left="1418"/>
        <w:jc w:val="both"/>
        <w:rPr>
          <w:rFonts w:eastAsia="Arial Narrow"/>
          <w:i/>
          <w:iCs/>
          <w:sz w:val="18"/>
          <w:szCs w:val="18"/>
        </w:rPr>
      </w:pPr>
    </w:p>
    <w:p w14:paraId="454BAD54" w14:textId="77777777" w:rsidR="00911A42" w:rsidRPr="00B36CCB" w:rsidRDefault="00911A42" w:rsidP="00911A42">
      <w:pPr>
        <w:pStyle w:val="Prrafodelista"/>
        <w:widowControl w:val="0"/>
        <w:ind w:left="1701"/>
        <w:jc w:val="both"/>
        <w:rPr>
          <w:rFonts w:eastAsia="Arial Narrow"/>
          <w:i/>
          <w:iCs/>
          <w:sz w:val="18"/>
          <w:szCs w:val="18"/>
        </w:rPr>
      </w:pPr>
      <w:r w:rsidRPr="00B36CCB">
        <w:rPr>
          <w:rFonts w:eastAsia="Arial Narrow"/>
          <w:i/>
          <w:iCs/>
          <w:sz w:val="18"/>
          <w:szCs w:val="18"/>
        </w:rPr>
        <w:t>De acuerdo a la literalidad de la norma, la prohibición consiste en el inicio de proceso judiciales o administrativos, sin hacerse mención del inicio de investigaciones o actuaciones de otra índole.</w:t>
      </w:r>
    </w:p>
    <w:p w14:paraId="03454829" w14:textId="77777777" w:rsidR="00911A42" w:rsidRPr="00B36CCB" w:rsidRDefault="00911A42" w:rsidP="00911A42">
      <w:pPr>
        <w:pStyle w:val="Prrafodelista"/>
        <w:widowControl w:val="0"/>
        <w:ind w:left="1418"/>
        <w:jc w:val="both"/>
        <w:rPr>
          <w:rFonts w:eastAsia="Arial Narrow"/>
          <w:i/>
          <w:iCs/>
          <w:sz w:val="18"/>
          <w:szCs w:val="18"/>
        </w:rPr>
      </w:pPr>
    </w:p>
    <w:p w14:paraId="13EDFBCD" w14:textId="77777777" w:rsidR="00911A42" w:rsidRPr="00B36CCB" w:rsidRDefault="00911A42" w:rsidP="00911A42">
      <w:pPr>
        <w:pStyle w:val="Prrafodelista"/>
        <w:widowControl w:val="0"/>
        <w:ind w:left="1701" w:hanging="283"/>
        <w:jc w:val="both"/>
        <w:rPr>
          <w:rFonts w:eastAsia="Arial Narrow"/>
          <w:i/>
          <w:iCs/>
          <w:sz w:val="18"/>
          <w:szCs w:val="18"/>
        </w:rPr>
      </w:pPr>
      <w:r w:rsidRPr="00B36CCB">
        <w:rPr>
          <w:rFonts w:eastAsia="Arial Narrow"/>
          <w:i/>
          <w:iCs/>
          <w:sz w:val="18"/>
          <w:szCs w:val="18"/>
        </w:rPr>
        <w:t xml:space="preserve">4. </w:t>
      </w:r>
      <w:r w:rsidRPr="00B36CCB">
        <w:rPr>
          <w:rFonts w:eastAsia="Arial Narrow"/>
          <w:i/>
          <w:iCs/>
          <w:sz w:val="18"/>
          <w:szCs w:val="18"/>
        </w:rPr>
        <w:tab/>
        <w:t xml:space="preserve">Considerando los términos del numeral 1) del artículo 116 de la Ley General ¿a qué se refiere el término “acreencias”? ¿implica todo tipo de obligación que pueda presentar la entidad financiera ante particulares y/o el Estado, o dicho término, únicamente hace alusión a obligaciones crediticias? </w:t>
      </w:r>
    </w:p>
    <w:p w14:paraId="2BE1B614" w14:textId="77777777" w:rsidR="00911A42" w:rsidRPr="00B36CCB" w:rsidRDefault="00911A42" w:rsidP="00911A42">
      <w:pPr>
        <w:pStyle w:val="Prrafodelista"/>
        <w:widowControl w:val="0"/>
        <w:ind w:left="1418"/>
        <w:jc w:val="both"/>
        <w:rPr>
          <w:rFonts w:eastAsia="Arial Narrow"/>
          <w:i/>
          <w:iCs/>
          <w:sz w:val="18"/>
          <w:szCs w:val="18"/>
        </w:rPr>
      </w:pPr>
    </w:p>
    <w:p w14:paraId="0D12D624" w14:textId="77777777" w:rsidR="00911A42" w:rsidRPr="00B36CCB" w:rsidRDefault="00911A42" w:rsidP="00911A42">
      <w:pPr>
        <w:pStyle w:val="Prrafodelista"/>
        <w:widowControl w:val="0"/>
        <w:ind w:left="1701"/>
        <w:jc w:val="both"/>
        <w:rPr>
          <w:rFonts w:eastAsia="Arial Narrow"/>
          <w:i/>
          <w:iCs/>
          <w:sz w:val="18"/>
          <w:szCs w:val="18"/>
        </w:rPr>
      </w:pPr>
      <w:r w:rsidRPr="00B36CCB">
        <w:rPr>
          <w:rFonts w:eastAsia="Arial Narrow"/>
          <w:i/>
          <w:iCs/>
          <w:sz w:val="18"/>
          <w:szCs w:val="18"/>
        </w:rPr>
        <w:t>Al respecto, la norma no hace distinciones, de modo tal que es aplicable a todo tipo de acreencias a cargo de la empresa, con independencia del contenido de la obligación aludida o identidad o naturaleza pública o privada del acreedor.</w:t>
      </w:r>
    </w:p>
    <w:p w14:paraId="26ADD163" w14:textId="77777777" w:rsidR="00911A42" w:rsidRPr="00B36CCB" w:rsidRDefault="00911A42" w:rsidP="00911A42">
      <w:pPr>
        <w:pStyle w:val="Prrafodelista"/>
        <w:widowControl w:val="0"/>
        <w:ind w:left="1418"/>
        <w:jc w:val="both"/>
        <w:rPr>
          <w:rFonts w:eastAsia="Arial Narrow"/>
          <w:i/>
          <w:iCs/>
          <w:sz w:val="18"/>
          <w:szCs w:val="18"/>
        </w:rPr>
      </w:pPr>
    </w:p>
    <w:p w14:paraId="7546802E" w14:textId="77777777" w:rsidR="00911A42" w:rsidRPr="00B36CCB" w:rsidRDefault="00911A42" w:rsidP="00911A42">
      <w:pPr>
        <w:pStyle w:val="Prrafodelista"/>
        <w:widowControl w:val="0"/>
        <w:ind w:left="1701" w:hanging="283"/>
        <w:jc w:val="both"/>
        <w:rPr>
          <w:rFonts w:eastAsia="Arial Narrow"/>
          <w:i/>
          <w:iCs/>
          <w:sz w:val="18"/>
          <w:szCs w:val="18"/>
        </w:rPr>
      </w:pPr>
      <w:r w:rsidRPr="00B36CCB">
        <w:rPr>
          <w:rFonts w:eastAsia="Arial Narrow"/>
          <w:i/>
          <w:iCs/>
          <w:sz w:val="18"/>
          <w:szCs w:val="18"/>
        </w:rPr>
        <w:t xml:space="preserve">5. </w:t>
      </w:r>
      <w:r w:rsidRPr="00B36CCB">
        <w:rPr>
          <w:rFonts w:eastAsia="Arial Narrow"/>
          <w:i/>
          <w:iCs/>
          <w:sz w:val="18"/>
          <w:szCs w:val="18"/>
        </w:rPr>
        <w:tab/>
        <w:t xml:space="preserve">Considerando los términos del numeral 1) del artículo 116 de la Ley General ¿qué tipo de procedimientos administrativos calificarían para el cobro de “acreencias”? Precisar si, entre estos, se encuentra el procedimiento administrativo sancionador, el mismo que eventualmente puede concluir con una sanción pecuniaria. </w:t>
      </w:r>
    </w:p>
    <w:p w14:paraId="2CB04DE9" w14:textId="77777777" w:rsidR="00911A42" w:rsidRPr="00B36CCB" w:rsidRDefault="00911A42" w:rsidP="00911A42">
      <w:pPr>
        <w:pStyle w:val="Prrafodelista"/>
        <w:widowControl w:val="0"/>
        <w:ind w:left="1418"/>
        <w:jc w:val="both"/>
        <w:rPr>
          <w:rFonts w:eastAsia="Arial Narrow"/>
          <w:i/>
          <w:iCs/>
          <w:sz w:val="18"/>
          <w:szCs w:val="18"/>
        </w:rPr>
      </w:pPr>
    </w:p>
    <w:p w14:paraId="02A9BE63" w14:textId="77777777" w:rsidR="00911A42" w:rsidRPr="00B36CCB" w:rsidRDefault="00911A42" w:rsidP="00911A42">
      <w:pPr>
        <w:pStyle w:val="Prrafodelista"/>
        <w:widowControl w:val="0"/>
        <w:ind w:left="1701"/>
        <w:jc w:val="both"/>
        <w:rPr>
          <w:rFonts w:eastAsia="Arial Narrow"/>
          <w:i/>
          <w:iCs/>
          <w:sz w:val="18"/>
          <w:szCs w:val="18"/>
        </w:rPr>
      </w:pPr>
      <w:r w:rsidRPr="00B36CCB">
        <w:rPr>
          <w:rFonts w:eastAsia="Arial Narrow"/>
          <w:i/>
          <w:iCs/>
          <w:sz w:val="18"/>
          <w:szCs w:val="18"/>
        </w:rPr>
        <w:t xml:space="preserve">La norma tampoco hace distinción respecto al tipo de procedimientos administrativos que calificarían para el cobro de derechos de crédito. En ese sentido, se considera que se encuentran comprendidos dentro de la prohibición cualesquiera procedimientos administrativos que puedan tener por efecto una obligación de pago a cargo de la empresa intervenida o disuelta, como podría ser el caso en el cual se inicie a la empresa un procedimiento administrativo sancionador. </w:t>
      </w:r>
    </w:p>
    <w:p w14:paraId="44F98E2B" w14:textId="77777777" w:rsidR="00911A42" w:rsidRPr="00B36CCB" w:rsidRDefault="00911A42" w:rsidP="00911A42">
      <w:pPr>
        <w:pStyle w:val="Prrafodelista"/>
        <w:widowControl w:val="0"/>
        <w:ind w:left="1418"/>
        <w:jc w:val="both"/>
        <w:rPr>
          <w:rFonts w:eastAsia="Arial Narrow"/>
          <w:i/>
          <w:iCs/>
          <w:sz w:val="18"/>
          <w:szCs w:val="18"/>
        </w:rPr>
      </w:pPr>
    </w:p>
    <w:p w14:paraId="34CFD5ED" w14:textId="77777777" w:rsidR="00911A42" w:rsidRPr="00B36CCB" w:rsidRDefault="00911A42" w:rsidP="00911A42">
      <w:pPr>
        <w:pStyle w:val="Prrafodelista"/>
        <w:widowControl w:val="0"/>
        <w:ind w:left="1701" w:hanging="283"/>
        <w:jc w:val="both"/>
        <w:rPr>
          <w:rFonts w:eastAsia="Arial Narrow"/>
          <w:i/>
          <w:iCs/>
          <w:sz w:val="18"/>
          <w:szCs w:val="18"/>
        </w:rPr>
      </w:pPr>
      <w:r w:rsidRPr="00B36CCB">
        <w:rPr>
          <w:rFonts w:eastAsia="Arial Narrow"/>
          <w:i/>
          <w:iCs/>
          <w:sz w:val="18"/>
          <w:szCs w:val="18"/>
        </w:rPr>
        <w:t xml:space="preserve">6. </w:t>
      </w:r>
      <w:r w:rsidRPr="00B36CCB">
        <w:rPr>
          <w:rFonts w:eastAsia="Arial Narrow"/>
          <w:i/>
          <w:iCs/>
          <w:sz w:val="18"/>
          <w:szCs w:val="18"/>
        </w:rPr>
        <w:tab/>
        <w:t xml:space="preserve">Considerando los términos del numeral 1) del artículo 116 de la Ley General ¿es posible iniciar acciones administrativas o de otra índole para la ejecución de sanciones por infracciones administrativas? </w:t>
      </w:r>
    </w:p>
    <w:p w14:paraId="244EA876" w14:textId="77777777" w:rsidR="00911A42" w:rsidRPr="00B36CCB" w:rsidRDefault="00911A42" w:rsidP="00911A42">
      <w:pPr>
        <w:pStyle w:val="Prrafodelista"/>
        <w:widowControl w:val="0"/>
        <w:ind w:left="1418"/>
        <w:jc w:val="both"/>
        <w:rPr>
          <w:rFonts w:eastAsia="Arial Narrow"/>
          <w:b/>
          <w:bCs/>
          <w:i/>
          <w:iCs/>
          <w:sz w:val="18"/>
          <w:szCs w:val="18"/>
        </w:rPr>
      </w:pPr>
    </w:p>
    <w:p w14:paraId="78A175A7" w14:textId="77777777" w:rsidR="00911A42" w:rsidRPr="00B36CCB" w:rsidRDefault="00911A42" w:rsidP="00911A42">
      <w:pPr>
        <w:pStyle w:val="Prrafodelista"/>
        <w:widowControl w:val="0"/>
        <w:ind w:left="1418" w:firstLine="283"/>
        <w:jc w:val="both"/>
        <w:rPr>
          <w:rFonts w:eastAsia="Arial Narrow"/>
          <w:b/>
          <w:bCs/>
          <w:i/>
          <w:iCs/>
          <w:sz w:val="18"/>
          <w:szCs w:val="18"/>
        </w:rPr>
      </w:pPr>
      <w:r w:rsidRPr="00B36CCB">
        <w:rPr>
          <w:rFonts w:eastAsia="Arial Narrow"/>
          <w:b/>
          <w:bCs/>
          <w:i/>
          <w:iCs/>
          <w:sz w:val="18"/>
          <w:szCs w:val="18"/>
        </w:rPr>
        <w:t>No es factible, ya que la prohibición es expresa.”</w:t>
      </w:r>
    </w:p>
    <w:p w14:paraId="652B901C" w14:textId="77777777" w:rsidR="00911A42" w:rsidRPr="002C3C10" w:rsidRDefault="00911A42" w:rsidP="00911A42">
      <w:pPr>
        <w:pStyle w:val="Prrafodelista"/>
        <w:widowControl w:val="0"/>
        <w:rPr>
          <w:rFonts w:eastAsia="Arial Narrow"/>
        </w:rPr>
      </w:pPr>
    </w:p>
    <w:p w14:paraId="7C4C75B2" w14:textId="77777777" w:rsidR="00C856DE" w:rsidRDefault="00911A42" w:rsidP="00C856DE">
      <w:pPr>
        <w:pStyle w:val="Prrafodelista"/>
        <w:widowControl w:val="0"/>
        <w:numPr>
          <w:ilvl w:val="3"/>
          <w:numId w:val="21"/>
        </w:numPr>
        <w:ind w:left="567" w:hanging="567"/>
        <w:jc w:val="both"/>
        <w:rPr>
          <w:rFonts w:eastAsia="Arial Narrow"/>
        </w:rPr>
      </w:pPr>
      <w:r w:rsidRPr="00C856DE">
        <w:rPr>
          <w:rFonts w:eastAsia="Arial Narrow"/>
        </w:rPr>
        <w:t xml:space="preserve">Conforme se puede advertir del citado Oficio, la SBS coincide con la Secretaría Técnica cuando afirma que no es factible iniciar un procedimiento administrativo sancionador contra una empresa sometida a un régimen de intervención o de disolución y liquidación, en tanto que el término “acreencias” al que hace alusión el artículo 11° de la Ley General, no solo hace mención a obligaciones de carácter crediticias o pecuniarias de la entidad financiera, </w:t>
      </w:r>
      <w:r w:rsidRPr="00C856DE">
        <w:rPr>
          <w:rFonts w:eastAsia="Arial Narrow"/>
          <w:u w:val="single"/>
        </w:rPr>
        <w:t>sino que además comprende las posibles multas que pudieran ser impuestas, en el marco de un procedimiento administrativo sancionador</w:t>
      </w:r>
      <w:r w:rsidRPr="00C856DE">
        <w:rPr>
          <w:rFonts w:eastAsia="Arial Narrow"/>
        </w:rPr>
        <w:t>, por una autoridad administrativa, como lo es el Indecopi cuando en ejercicio de su potestad sancionadora impone una multa sobre el proveedor denunciado, por haber infringido las normas del Código.</w:t>
      </w:r>
    </w:p>
    <w:p w14:paraId="2E2CF5FD" w14:textId="77777777" w:rsidR="00C856DE" w:rsidRDefault="00C856DE" w:rsidP="00C856DE">
      <w:pPr>
        <w:pStyle w:val="Prrafodelista"/>
        <w:widowControl w:val="0"/>
        <w:ind w:left="567"/>
        <w:jc w:val="both"/>
        <w:rPr>
          <w:rFonts w:eastAsia="Arial Narrow"/>
        </w:rPr>
      </w:pPr>
    </w:p>
    <w:p w14:paraId="1C0AFB27" w14:textId="1C4C1777" w:rsidR="00911A42" w:rsidRPr="00C856DE" w:rsidRDefault="00911A42" w:rsidP="00C856DE">
      <w:pPr>
        <w:pStyle w:val="Prrafodelista"/>
        <w:widowControl w:val="0"/>
        <w:numPr>
          <w:ilvl w:val="3"/>
          <w:numId w:val="21"/>
        </w:numPr>
        <w:ind w:left="567" w:hanging="567"/>
        <w:jc w:val="both"/>
        <w:rPr>
          <w:rFonts w:eastAsia="Arial Narrow"/>
        </w:rPr>
      </w:pPr>
      <w:r w:rsidRPr="00C856DE">
        <w:rPr>
          <w:rFonts w:eastAsia="Arial Narrow"/>
        </w:rPr>
        <w:t>Por tanto, en atención a los argumentos antes desarrollados, esta Comisión es del criterio que en ningún supuesto será posible iniciar un procedimiento administrativo sancionador contra una entidad bancaria o financiera que haya sido declarada en intervención y liquidación por la SBS.</w:t>
      </w:r>
    </w:p>
    <w:p w14:paraId="524BEA58" w14:textId="77777777" w:rsidR="00911A42" w:rsidRPr="00183889" w:rsidRDefault="00911A42" w:rsidP="00911A42">
      <w:pPr>
        <w:widowControl w:val="0"/>
        <w:tabs>
          <w:tab w:val="left" w:pos="2127"/>
        </w:tabs>
        <w:jc w:val="both"/>
        <w:rPr>
          <w:rFonts w:cs="Arial"/>
        </w:rPr>
      </w:pPr>
    </w:p>
    <w:p w14:paraId="456A0E48" w14:textId="77777777" w:rsidR="00911A42" w:rsidRPr="00183889" w:rsidRDefault="00911A42" w:rsidP="00911A42">
      <w:pPr>
        <w:widowControl w:val="0"/>
        <w:jc w:val="both"/>
        <w:rPr>
          <w:rFonts w:cs="Arial"/>
        </w:rPr>
      </w:pPr>
      <w:r w:rsidRPr="00183889">
        <w:rPr>
          <w:rFonts w:eastAsia="Arial" w:cs="Arial"/>
          <w:b/>
        </w:rPr>
        <w:lastRenderedPageBreak/>
        <w:t>RESUELVE</w:t>
      </w:r>
    </w:p>
    <w:p w14:paraId="10B2B19B" w14:textId="77777777" w:rsidR="00911A42" w:rsidRPr="00183889" w:rsidRDefault="00911A42" w:rsidP="00911A42">
      <w:pPr>
        <w:widowControl w:val="0"/>
        <w:jc w:val="both"/>
        <w:rPr>
          <w:rFonts w:cs="Arial"/>
        </w:rPr>
      </w:pPr>
    </w:p>
    <w:p w14:paraId="32544BCB" w14:textId="245B6B05" w:rsidR="00911A42" w:rsidRPr="00750ED8" w:rsidRDefault="00911A42" w:rsidP="00911A42">
      <w:pPr>
        <w:pStyle w:val="Sinespaciado"/>
        <w:jc w:val="both"/>
        <w:rPr>
          <w:rFonts w:ascii="Arial" w:hAnsi="Arial" w:cs="Arial"/>
          <w:color w:val="auto"/>
          <w:sz w:val="22"/>
          <w:lang w:val="es-ES" w:eastAsia="es-ES"/>
        </w:rPr>
      </w:pPr>
      <w:r w:rsidRPr="00750ED8">
        <w:rPr>
          <w:rFonts w:ascii="Arial" w:hAnsi="Arial" w:cs="Arial"/>
          <w:b/>
          <w:bCs/>
          <w:color w:val="auto"/>
          <w:sz w:val="22"/>
          <w:lang w:val="es-ES" w:eastAsia="es-ES"/>
        </w:rPr>
        <w:t>PRIMERO</w:t>
      </w:r>
      <w:r w:rsidRPr="00750ED8">
        <w:rPr>
          <w:rFonts w:ascii="Arial" w:hAnsi="Arial" w:cs="Arial"/>
          <w:color w:val="auto"/>
          <w:sz w:val="22"/>
          <w:lang w:val="es-ES" w:eastAsia="es-ES"/>
        </w:rPr>
        <w:t xml:space="preserve">: declarar improcedente la denuncia interpuesta por la señora </w:t>
      </w:r>
      <w:r w:rsidR="00750ED8">
        <w:rPr>
          <w:rFonts w:ascii="Arial" w:hAnsi="Arial" w:cs="Arial"/>
          <w:color w:val="auto"/>
          <w:sz w:val="22"/>
          <w:lang w:val="es-ES" w:eastAsia="es-ES"/>
        </w:rPr>
        <w:t>Kiatari Marisela Ramos Silva</w:t>
      </w:r>
      <w:r w:rsidR="00750ED8" w:rsidRPr="00750ED8">
        <w:rPr>
          <w:rFonts w:ascii="Arial" w:hAnsi="Arial" w:cs="Arial"/>
          <w:color w:val="auto"/>
          <w:sz w:val="22"/>
          <w:lang w:val="es-ES" w:eastAsia="es-ES"/>
        </w:rPr>
        <w:t xml:space="preserve"> </w:t>
      </w:r>
      <w:r w:rsidR="00C856DE" w:rsidRPr="00C856DE">
        <w:rPr>
          <w:rFonts w:ascii="Arial" w:hAnsi="Arial" w:cs="Arial"/>
          <w:color w:val="auto"/>
          <w:sz w:val="22"/>
          <w:lang w:val="es-ES" w:eastAsia="es-ES"/>
        </w:rPr>
        <w:t>contra la Caja Rural de Ahorro y Crédito Raíz S.A. en Liquidación, toda vez que a través de la Resolución SBS N°02643-2023 publicada el 11 de agosto del 2023 se declaró su sometimiento al Régimen de Intervención, y mediante Resolución SBS N° 02672-2023, publicada el 12 de agosto de 2023, se declaró su disolución; lo que trae como consecuencia la prohibición del inicio de procedimientos administrativos sancionadores e impide el avocamiento por parte de la autoridad administrativa.</w:t>
      </w:r>
    </w:p>
    <w:p w14:paraId="66EC8555" w14:textId="77777777" w:rsidR="00911A42" w:rsidRPr="00750ED8" w:rsidRDefault="00911A42" w:rsidP="00911A42">
      <w:pPr>
        <w:pStyle w:val="Sinespaciado"/>
        <w:jc w:val="both"/>
        <w:rPr>
          <w:rFonts w:ascii="Arial" w:hAnsi="Arial" w:cs="Arial"/>
          <w:color w:val="auto"/>
          <w:sz w:val="22"/>
          <w:lang w:val="es-ES" w:eastAsia="es-ES"/>
        </w:rPr>
      </w:pPr>
    </w:p>
    <w:p w14:paraId="1AC3FEE0" w14:textId="0CD71682" w:rsidR="00911A42" w:rsidRPr="00183889" w:rsidRDefault="00911A42" w:rsidP="00911A42">
      <w:pPr>
        <w:widowControl w:val="0"/>
        <w:tabs>
          <w:tab w:val="left" w:pos="0"/>
          <w:tab w:val="left" w:pos="142"/>
          <w:tab w:val="left" w:pos="2127"/>
        </w:tabs>
        <w:jc w:val="both"/>
        <w:rPr>
          <w:rFonts w:cs="Arial"/>
        </w:rPr>
      </w:pPr>
      <w:r w:rsidRPr="00183889">
        <w:rPr>
          <w:rFonts w:eastAsia="Arial" w:cs="Arial"/>
          <w:b/>
        </w:rPr>
        <w:t>SEGUNDO</w:t>
      </w:r>
      <w:r w:rsidRPr="00183889">
        <w:rPr>
          <w:rFonts w:eastAsia="Arial" w:cs="Arial"/>
        </w:rPr>
        <w:t xml:space="preserve">: </w:t>
      </w:r>
      <w:r w:rsidRPr="006907D7">
        <w:rPr>
          <w:rFonts w:eastAsia="Arial" w:cs="Arial"/>
        </w:rPr>
        <w:t xml:space="preserve">informar a </w:t>
      </w:r>
      <w:r w:rsidRPr="006907D7">
        <w:rPr>
          <w:rFonts w:eastAsia="Arial Narrow" w:cs="Arial"/>
        </w:rPr>
        <w:t xml:space="preserve">la señora </w:t>
      </w:r>
      <w:r w:rsidR="00750ED8">
        <w:rPr>
          <w:rFonts w:cs="Arial"/>
        </w:rPr>
        <w:t>Kiatari Marisela Ramos Silva</w:t>
      </w:r>
      <w:r w:rsidR="00750ED8" w:rsidRPr="00183889">
        <w:rPr>
          <w:rFonts w:cs="Arial"/>
        </w:rPr>
        <w:t xml:space="preserve"> </w:t>
      </w:r>
      <w:r w:rsidRPr="00183889">
        <w:rPr>
          <w:rFonts w:cs="Arial"/>
        </w:rPr>
        <w:t>que la presente resolución tiene vigencia desde el día de su notificación y no agota la vía administrativa. En tal sentido, se informa que, de conformidad con lo dispuesto por el artículo 38 del Decreto Legislativo Nº 807, el único recurso impugnativo que puede interponerse contra lo dispuesto por la Comisión de Protección al Consumidor N° 1 es el de apelación</w:t>
      </w:r>
      <w:r w:rsidRPr="00183889">
        <w:rPr>
          <w:rStyle w:val="Refdenotaalpie"/>
          <w:rFonts w:cs="Arial"/>
        </w:rPr>
        <w:footnoteReference w:id="10"/>
      </w:r>
      <w:r w:rsidRPr="00183889">
        <w:rPr>
          <w:rFonts w:cs="Arial"/>
        </w:rPr>
        <w:t>, el cual debe ser presentado ante dicho órgano colegiado en un plazo no mayor de quince (15) días hábiles contado a partir del día siguiente de su notificación</w:t>
      </w:r>
      <w:r w:rsidRPr="00183889">
        <w:rPr>
          <w:rStyle w:val="Refdenotaalpie"/>
          <w:rFonts w:cs="Arial"/>
        </w:rPr>
        <w:footnoteReference w:id="11"/>
      </w:r>
      <w:r w:rsidRPr="00183889">
        <w:rPr>
          <w:rFonts w:cs="Arial"/>
        </w:rPr>
        <w:t>, ello de acuerdo a lo establecido en el artículo 222 del Texto Único Ordenado de la Ley del Procedimiento Administrativo General; caso contrario, la resolución quedará consentida</w:t>
      </w:r>
      <w:r w:rsidRPr="00183889">
        <w:rPr>
          <w:rStyle w:val="Refdenotaalpie"/>
          <w:rFonts w:cs="Arial"/>
        </w:rPr>
        <w:footnoteReference w:id="12"/>
      </w:r>
      <w:r w:rsidRPr="00183889">
        <w:rPr>
          <w:rFonts w:cs="Arial"/>
        </w:rPr>
        <w:t>.</w:t>
      </w:r>
    </w:p>
    <w:p w14:paraId="51BB2A75" w14:textId="77777777" w:rsidR="00BC6D81" w:rsidRDefault="00BC6D81" w:rsidP="00F7595C">
      <w:pPr>
        <w:widowControl w:val="0"/>
        <w:jc w:val="both"/>
        <w:rPr>
          <w:rFonts w:eastAsia="Arial Narrow" w:cs="Arial"/>
          <w:highlight w:val="yellow"/>
        </w:rPr>
      </w:pPr>
    </w:p>
    <w:p w14:paraId="3CB00046" w14:textId="77777777" w:rsidR="008E3A2B" w:rsidRDefault="008E3A2B" w:rsidP="00F7595C">
      <w:pPr>
        <w:widowControl w:val="0"/>
      </w:pPr>
    </w:p>
    <w:sectPr w:rsidR="008E3A2B" w:rsidSect="00750ED8">
      <w:headerReference w:type="default" r:id="rId12"/>
      <w:footerReference w:type="even" r:id="rId13"/>
      <w:footerReference w:type="default" r:id="rId14"/>
      <w:headerReference w:type="first" r:id="rId15"/>
      <w:footerReference w:type="first" r:id="rId16"/>
      <w:pgSz w:w="11907" w:h="16840" w:code="9"/>
      <w:pgMar w:top="1985" w:right="1418" w:bottom="2127" w:left="1418" w:header="851" w:footer="5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0C95E" w14:textId="77777777" w:rsidR="00B510BE" w:rsidRDefault="00B510BE" w:rsidP="008E3A2B">
      <w:r>
        <w:separator/>
      </w:r>
    </w:p>
  </w:endnote>
  <w:endnote w:type="continuationSeparator" w:id="0">
    <w:p w14:paraId="6A42C0F2" w14:textId="77777777" w:rsidR="00B510BE" w:rsidRDefault="00B510BE" w:rsidP="008E3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3C1E" w14:textId="77777777" w:rsidR="0035356D" w:rsidRDefault="001F1E4E" w:rsidP="00207E59">
    <w:pPr>
      <w:pStyle w:val="Piedepgina"/>
      <w:framePr w:wrap="around" w:vAnchor="text" w:hAnchor="margin" w:xAlign="center" w:y="1"/>
      <w:rPr>
        <w:rStyle w:val="Nmerodepgina"/>
        <w:rFonts w:eastAsiaTheme="majorEastAsia"/>
      </w:rPr>
    </w:pPr>
    <w:r>
      <w:rPr>
        <w:rStyle w:val="Nmerodepgina"/>
        <w:rFonts w:eastAsiaTheme="majorEastAsia"/>
      </w:rPr>
      <w:fldChar w:fldCharType="begin"/>
    </w:r>
    <w:r>
      <w:rPr>
        <w:rStyle w:val="Nmerodepgina"/>
        <w:rFonts w:eastAsiaTheme="majorEastAsia"/>
      </w:rPr>
      <w:instrText xml:space="preserve">PAGE  </w:instrText>
    </w:r>
    <w:r>
      <w:rPr>
        <w:rStyle w:val="Nmerodepgina"/>
        <w:rFonts w:eastAsiaTheme="majorEastAsia"/>
      </w:rPr>
      <w:fldChar w:fldCharType="end"/>
    </w:r>
  </w:p>
  <w:p w14:paraId="3C811F0B" w14:textId="77777777" w:rsidR="0035356D" w:rsidRDefault="003535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7E95" w14:textId="77777777" w:rsidR="0035356D" w:rsidRDefault="001F1E4E" w:rsidP="00207E59">
    <w:pPr>
      <w:jc w:val="center"/>
      <w:rPr>
        <w:rFonts w:cs="Arial"/>
        <w:sz w:val="16"/>
      </w:rPr>
    </w:pPr>
    <w:r w:rsidRPr="00CC524D">
      <w:rPr>
        <w:rFonts w:cs="Arial"/>
        <w:sz w:val="16"/>
      </w:rPr>
      <w:fldChar w:fldCharType="begin"/>
    </w:r>
    <w:r w:rsidRPr="00CC524D">
      <w:rPr>
        <w:rFonts w:cs="Arial"/>
        <w:sz w:val="16"/>
      </w:rPr>
      <w:instrText>PAGE</w:instrText>
    </w:r>
    <w:r w:rsidRPr="00CC524D">
      <w:rPr>
        <w:rFonts w:cs="Arial"/>
        <w:sz w:val="16"/>
      </w:rPr>
      <w:fldChar w:fldCharType="separate"/>
    </w:r>
    <w:r>
      <w:rPr>
        <w:rFonts w:cs="Arial"/>
        <w:sz w:val="16"/>
      </w:rPr>
      <w:t>1</w:t>
    </w:r>
    <w:r w:rsidRPr="00CC524D">
      <w:rPr>
        <w:rFonts w:cs="Arial"/>
        <w:sz w:val="16"/>
      </w:rPr>
      <w:fldChar w:fldCharType="end"/>
    </w:r>
  </w:p>
  <w:p w14:paraId="1285CBE2" w14:textId="77777777" w:rsidR="0035356D" w:rsidRPr="00CC524D" w:rsidRDefault="0035356D" w:rsidP="00207E59">
    <w:pPr>
      <w:jc w:val="center"/>
      <w:rPr>
        <w:rFonts w:cs="Arial"/>
        <w:sz w:val="16"/>
      </w:rPr>
    </w:pPr>
  </w:p>
  <w:p w14:paraId="31EB67F5" w14:textId="77777777" w:rsidR="0035356D" w:rsidRPr="002940F5" w:rsidRDefault="001F1E4E" w:rsidP="00207E59">
    <w:pPr>
      <w:pStyle w:val="Sinespaciado"/>
      <w:jc w:val="center"/>
      <w:rPr>
        <w:rFonts w:ascii="Arial" w:hAnsi="Arial" w:cs="Arial"/>
        <w:b/>
        <w:bCs/>
        <w:i/>
        <w:iCs/>
        <w:sz w:val="14"/>
        <w:szCs w:val="14"/>
      </w:rPr>
    </w:pPr>
    <w:r w:rsidRPr="002940F5">
      <w:rPr>
        <w:rFonts w:ascii="Arial" w:hAnsi="Arial" w:cs="Arial"/>
        <w:b/>
        <w:bCs/>
        <w:i/>
        <w:iCs/>
        <w:sz w:val="14"/>
        <w:szCs w:val="14"/>
      </w:rPr>
      <w:t>INSTITUTO NACIONAL DE DEFENSA DE LA COMPETENCIA Y DE LA PROTECCIÓN DE LA PROPIEDAD INTELECTUAL</w:t>
    </w:r>
  </w:p>
  <w:p w14:paraId="2EFFE717" w14:textId="77777777" w:rsidR="0035356D" w:rsidRPr="002940F5" w:rsidRDefault="001F1E4E" w:rsidP="00207E59">
    <w:pPr>
      <w:pStyle w:val="Sinespaciado"/>
      <w:jc w:val="center"/>
      <w:rPr>
        <w:rFonts w:ascii="Arial" w:hAnsi="Arial" w:cs="Arial"/>
        <w:i/>
        <w:iCs/>
        <w:sz w:val="14"/>
        <w:szCs w:val="14"/>
      </w:rPr>
    </w:pPr>
    <w:r w:rsidRPr="002940F5">
      <w:rPr>
        <w:rFonts w:ascii="Arial" w:hAnsi="Arial" w:cs="Arial"/>
        <w:i/>
        <w:iCs/>
        <w:noProof/>
        <w:sz w:val="14"/>
        <w:szCs w:val="14"/>
      </w:rPr>
      <w:t>CALLE DE LA PROSA 104 - SAN BORJA, LIMA.PERÚ/ CENTRAL:(511) 224-7800</w:t>
    </w:r>
  </w:p>
  <w:p w14:paraId="2A5122F7" w14:textId="77777777" w:rsidR="0035356D" w:rsidRPr="00BE23B4" w:rsidRDefault="001F1E4E" w:rsidP="00207E59">
    <w:pPr>
      <w:pStyle w:val="Sinespaciado"/>
      <w:jc w:val="center"/>
      <w:rPr>
        <w:rFonts w:ascii="Arial" w:hAnsi="Arial" w:cs="Arial"/>
        <w:i/>
        <w:iCs/>
        <w:sz w:val="16"/>
        <w:szCs w:val="16"/>
      </w:rPr>
    </w:pPr>
    <w:hyperlink r:id="rId1" w:history="1">
      <w:r w:rsidRPr="00BE23B4">
        <w:rPr>
          <w:rFonts w:ascii="Arial" w:hAnsi="Arial" w:cs="Arial"/>
          <w:i/>
          <w:iCs/>
          <w:color w:val="467886" w:themeColor="hyperlink"/>
          <w:sz w:val="16"/>
          <w:szCs w:val="16"/>
          <w:u w:val="single"/>
        </w:rPr>
        <w:t>www.indecopi.gob.pe</w:t>
      </w:r>
    </w:hyperlink>
  </w:p>
  <w:p w14:paraId="05B72DC2" w14:textId="77777777" w:rsidR="0035356D" w:rsidRDefault="0035356D" w:rsidP="00207E59">
    <w:pPr>
      <w:pStyle w:val="Piedepgina"/>
      <w:rPr>
        <w:szCs w:val="16"/>
        <w:lang w:val="es-ES"/>
      </w:rPr>
    </w:pPr>
  </w:p>
  <w:p w14:paraId="5F631EA7" w14:textId="77777777" w:rsidR="0035356D" w:rsidRPr="003136D6" w:rsidRDefault="001F1E4E" w:rsidP="00207E59">
    <w:pPr>
      <w:pStyle w:val="Piedepgina"/>
      <w:rPr>
        <w:szCs w:val="16"/>
        <w:lang w:val="es-ES"/>
      </w:rPr>
    </w:pPr>
    <w:bookmarkStart w:id="2" w:name="_Hlk136851374"/>
    <w:bookmarkStart w:id="3" w:name="_Hlk136851375"/>
    <w:r w:rsidRPr="003136D6">
      <w:rPr>
        <w:szCs w:val="16"/>
        <w:lang w:val="es-ES"/>
      </w:rPr>
      <w:t>M-CPC-05/02</w:t>
    </w:r>
    <w:bookmarkEnd w:id="2"/>
    <w:bookmarkEnd w:id="3"/>
  </w:p>
  <w:p w14:paraId="789BC8D4" w14:textId="77777777" w:rsidR="0035356D" w:rsidRDefault="0035356D" w:rsidP="00207E5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B92F" w14:textId="77777777" w:rsidR="0035356D" w:rsidRDefault="001F1E4E">
    <w:pPr>
      <w:pStyle w:val="Piedepgina"/>
    </w:pPr>
    <w:r>
      <w:t>M-CPC-05/01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F1AFE" w14:textId="77777777" w:rsidR="00B510BE" w:rsidRDefault="00B510BE" w:rsidP="008E3A2B">
      <w:r>
        <w:separator/>
      </w:r>
    </w:p>
  </w:footnote>
  <w:footnote w:type="continuationSeparator" w:id="0">
    <w:p w14:paraId="13B74786" w14:textId="77777777" w:rsidR="00B510BE" w:rsidRDefault="00B510BE" w:rsidP="008E3A2B">
      <w:r>
        <w:continuationSeparator/>
      </w:r>
    </w:p>
  </w:footnote>
  <w:footnote w:id="1">
    <w:p w14:paraId="72DA194D" w14:textId="052B3665" w:rsidR="00AF6378" w:rsidRPr="00750ED8" w:rsidRDefault="00AF6378" w:rsidP="00911A42">
      <w:pPr>
        <w:pStyle w:val="Textonotapie"/>
        <w:ind w:left="567" w:hanging="567"/>
        <w:jc w:val="both"/>
        <w:rPr>
          <w:rFonts w:ascii="Arial" w:hAnsi="Arial" w:cs="Arial"/>
          <w:sz w:val="16"/>
          <w:szCs w:val="16"/>
        </w:rPr>
      </w:pPr>
      <w:r w:rsidRPr="006400E9">
        <w:rPr>
          <w:rStyle w:val="Refdenotaalpie"/>
          <w:rFonts w:ascii="Arial" w:hAnsi="Arial" w:cs="Arial"/>
          <w:sz w:val="17"/>
          <w:szCs w:val="17"/>
        </w:rPr>
        <w:footnoteRef/>
      </w:r>
      <w:r w:rsidRPr="006400E9">
        <w:rPr>
          <w:rFonts w:ascii="Arial" w:hAnsi="Arial" w:cs="Arial"/>
          <w:sz w:val="17"/>
          <w:szCs w:val="17"/>
        </w:rPr>
        <w:t xml:space="preserve"> </w:t>
      </w:r>
      <w:r w:rsidRPr="006400E9">
        <w:rPr>
          <w:rFonts w:ascii="Arial" w:hAnsi="Arial" w:cs="Arial"/>
          <w:sz w:val="17"/>
          <w:szCs w:val="17"/>
          <w:lang w:val="es-ES"/>
        </w:rPr>
        <w:t xml:space="preserve">        </w:t>
      </w:r>
      <w:r w:rsidR="00857A83" w:rsidRPr="006400E9">
        <w:rPr>
          <w:rFonts w:ascii="Arial" w:hAnsi="Arial" w:cs="Arial"/>
          <w:sz w:val="17"/>
          <w:szCs w:val="17"/>
          <w:lang w:val="es-ES"/>
        </w:rPr>
        <w:t xml:space="preserve"> </w:t>
      </w:r>
      <w:r w:rsidR="00911A42">
        <w:rPr>
          <w:rFonts w:ascii="Arial" w:hAnsi="Arial" w:cs="Arial"/>
          <w:sz w:val="17"/>
          <w:szCs w:val="17"/>
          <w:lang w:val="es-ES"/>
        </w:rPr>
        <w:tab/>
      </w:r>
      <w:r w:rsidRPr="006400E9">
        <w:rPr>
          <w:rFonts w:ascii="Arial" w:hAnsi="Arial" w:cs="Arial"/>
          <w:sz w:val="17"/>
          <w:szCs w:val="17"/>
        </w:rPr>
        <w:t>Med</w:t>
      </w:r>
      <w:r w:rsidRPr="00750ED8">
        <w:rPr>
          <w:rFonts w:ascii="Arial" w:hAnsi="Arial" w:cs="Arial"/>
          <w:sz w:val="16"/>
          <w:szCs w:val="16"/>
        </w:rPr>
        <w:t xml:space="preserve">iante Memorándum Nº </w:t>
      </w:r>
      <w:r w:rsidR="00911A42" w:rsidRPr="00750ED8">
        <w:rPr>
          <w:rFonts w:ascii="Arial" w:hAnsi="Arial" w:cs="Arial"/>
          <w:sz w:val="16"/>
          <w:szCs w:val="16"/>
        </w:rPr>
        <w:t>000777</w:t>
      </w:r>
      <w:r w:rsidRPr="00750ED8">
        <w:rPr>
          <w:rFonts w:ascii="Arial" w:hAnsi="Arial" w:cs="Arial"/>
          <w:sz w:val="16"/>
          <w:szCs w:val="16"/>
        </w:rPr>
        <w:t>-202</w:t>
      </w:r>
      <w:r w:rsidR="00911A42" w:rsidRPr="00750ED8">
        <w:rPr>
          <w:rFonts w:ascii="Arial" w:hAnsi="Arial" w:cs="Arial"/>
          <w:sz w:val="16"/>
          <w:szCs w:val="16"/>
        </w:rPr>
        <w:t>5</w:t>
      </w:r>
      <w:r w:rsidRPr="00750ED8">
        <w:rPr>
          <w:rFonts w:ascii="Arial" w:hAnsi="Arial" w:cs="Arial"/>
          <w:sz w:val="16"/>
          <w:szCs w:val="16"/>
        </w:rPr>
        <w:t xml:space="preserve">-CPC-PIU/INDECOPI del </w:t>
      </w:r>
      <w:r w:rsidR="00911A42" w:rsidRPr="00750ED8">
        <w:rPr>
          <w:rFonts w:ascii="Arial" w:hAnsi="Arial" w:cs="Arial"/>
          <w:sz w:val="16"/>
          <w:szCs w:val="16"/>
        </w:rPr>
        <w:t>22 de octubre de 2025</w:t>
      </w:r>
      <w:r w:rsidRPr="00750ED8">
        <w:rPr>
          <w:rFonts w:ascii="Arial" w:hAnsi="Arial" w:cs="Arial"/>
          <w:sz w:val="16"/>
          <w:szCs w:val="16"/>
        </w:rPr>
        <w:t>, la Comisión de l</w:t>
      </w:r>
      <w:r w:rsidR="00911A42" w:rsidRPr="00750ED8">
        <w:rPr>
          <w:rFonts w:ascii="Arial" w:hAnsi="Arial" w:cs="Arial"/>
          <w:sz w:val="16"/>
          <w:szCs w:val="16"/>
        </w:rPr>
        <w:t xml:space="preserve">a </w:t>
      </w:r>
      <w:r w:rsidRPr="00750ED8">
        <w:rPr>
          <w:rFonts w:ascii="Arial" w:hAnsi="Arial" w:cs="Arial"/>
          <w:sz w:val="16"/>
          <w:szCs w:val="16"/>
        </w:rPr>
        <w:t xml:space="preserve">Oficina Regional del Indecopi, remitió la presente denuncia a este despacho por razón de </w:t>
      </w:r>
      <w:r w:rsidR="00911A42" w:rsidRPr="00750ED8">
        <w:rPr>
          <w:rFonts w:ascii="Arial" w:hAnsi="Arial" w:cs="Arial"/>
          <w:sz w:val="16"/>
          <w:szCs w:val="16"/>
        </w:rPr>
        <w:t>territorio</w:t>
      </w:r>
      <w:r w:rsidRPr="00750ED8">
        <w:rPr>
          <w:rFonts w:ascii="Arial" w:hAnsi="Arial" w:cs="Arial"/>
          <w:sz w:val="16"/>
          <w:szCs w:val="16"/>
        </w:rPr>
        <w:t>.</w:t>
      </w:r>
    </w:p>
    <w:p w14:paraId="34098E51" w14:textId="77777777" w:rsidR="00AF6378" w:rsidRPr="00750ED8" w:rsidRDefault="00AF6378" w:rsidP="00AF6378">
      <w:pPr>
        <w:pStyle w:val="Textonotapie"/>
        <w:jc w:val="both"/>
        <w:rPr>
          <w:rFonts w:ascii="Arial" w:hAnsi="Arial" w:cs="Arial"/>
          <w:sz w:val="16"/>
          <w:szCs w:val="16"/>
          <w:lang w:val="es-ES"/>
        </w:rPr>
      </w:pPr>
    </w:p>
  </w:footnote>
  <w:footnote w:id="2">
    <w:p w14:paraId="6DA59044" w14:textId="77777777" w:rsidR="00AF6378" w:rsidRPr="00750ED8" w:rsidRDefault="00AF6378" w:rsidP="00AF6378">
      <w:pPr>
        <w:pStyle w:val="Textonotapie"/>
        <w:ind w:left="567" w:hanging="567"/>
        <w:jc w:val="both"/>
        <w:rPr>
          <w:rFonts w:ascii="Arial" w:hAnsi="Arial" w:cs="Arial"/>
          <w:sz w:val="16"/>
          <w:szCs w:val="16"/>
          <w:lang w:val="es-ES"/>
        </w:rPr>
      </w:pPr>
      <w:r w:rsidRPr="00750ED8">
        <w:rPr>
          <w:rStyle w:val="Refdenotaalpie"/>
          <w:rFonts w:ascii="Arial"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t>Publicado el 2 de setiembre del 2010 en el Diario Oficial El Peruano, vigente a partir del 2 de octubre de 2010 y modificado por Decreto Legislativo N° 1308.</w:t>
      </w:r>
    </w:p>
  </w:footnote>
  <w:footnote w:id="3">
    <w:p w14:paraId="6C15878D" w14:textId="77777777" w:rsidR="00911A42" w:rsidRPr="00750ED8" w:rsidRDefault="00911A42" w:rsidP="00911A42">
      <w:pPr>
        <w:widowControl w:val="0"/>
        <w:ind w:left="567" w:hanging="567"/>
        <w:jc w:val="both"/>
        <w:rPr>
          <w:rFonts w:cs="Arial"/>
          <w:b/>
          <w:bCs/>
          <w:sz w:val="16"/>
          <w:szCs w:val="16"/>
        </w:rPr>
      </w:pPr>
      <w:r w:rsidRPr="00750ED8">
        <w:rPr>
          <w:rFonts w:cs="Arial"/>
          <w:sz w:val="16"/>
          <w:szCs w:val="16"/>
          <w:vertAlign w:val="superscript"/>
        </w:rPr>
        <w:footnoteRef/>
      </w:r>
      <w:r w:rsidRPr="00750ED8">
        <w:rPr>
          <w:rFonts w:cs="Arial"/>
          <w:sz w:val="16"/>
          <w:szCs w:val="16"/>
          <w:vertAlign w:val="superscript"/>
        </w:rPr>
        <w:t xml:space="preserve"> </w:t>
      </w:r>
      <w:r w:rsidRPr="00750ED8">
        <w:rPr>
          <w:rFonts w:cs="Arial"/>
          <w:sz w:val="16"/>
          <w:szCs w:val="16"/>
        </w:rPr>
        <w:tab/>
      </w:r>
      <w:r w:rsidRPr="00750ED8">
        <w:rPr>
          <w:rFonts w:cs="Arial"/>
          <w:b/>
          <w:bCs/>
          <w:sz w:val="16"/>
          <w:szCs w:val="16"/>
        </w:rPr>
        <w:t>TEXTO CONCORDADO DE LA LEY N° 26702, LEY GENERAL DEL SISTEMA FINANCIERO Y DEL SISTEMA DE SEGURO Y ORGÁNICA DE LA SUPERINTENDENCIA DE BANCA Y SEGUROS, y sus normas modificatorias</w:t>
      </w:r>
    </w:p>
    <w:p w14:paraId="10FE2490" w14:textId="77777777" w:rsidR="00911A42" w:rsidRPr="00750ED8" w:rsidRDefault="00911A42" w:rsidP="00911A42">
      <w:pPr>
        <w:widowControl w:val="0"/>
        <w:ind w:left="567"/>
        <w:jc w:val="both"/>
        <w:rPr>
          <w:rFonts w:cs="Arial"/>
          <w:b/>
          <w:bCs/>
          <w:sz w:val="16"/>
          <w:szCs w:val="16"/>
        </w:rPr>
      </w:pPr>
      <w:r w:rsidRPr="00750ED8">
        <w:rPr>
          <w:rFonts w:cs="Arial"/>
          <w:b/>
          <w:bCs/>
          <w:sz w:val="16"/>
          <w:szCs w:val="16"/>
        </w:rPr>
        <w:t>Artículo 345°.- SUPERINTENDENCIA DE BANCA Y SEGUROS</w:t>
      </w:r>
    </w:p>
    <w:p w14:paraId="00CD5101" w14:textId="77777777" w:rsidR="00911A42" w:rsidRPr="00750ED8" w:rsidRDefault="00911A42" w:rsidP="00911A42">
      <w:pPr>
        <w:widowControl w:val="0"/>
        <w:ind w:left="567"/>
        <w:jc w:val="both"/>
        <w:rPr>
          <w:rFonts w:cs="Arial"/>
          <w:sz w:val="16"/>
          <w:szCs w:val="16"/>
        </w:rPr>
      </w:pPr>
      <w:r w:rsidRPr="00750ED8">
        <w:rPr>
          <w:rFonts w:cs="Arial"/>
          <w:sz w:val="16"/>
          <w:szCs w:val="16"/>
        </w:rPr>
        <w:t>La Superintendencia de Banca y Seguros es una institución constitucionalmente autónoma y con personería de derecho público, cuyo objeto es proteger los intereses del público en el ámbito de los sistemas financiero y de seguros.</w:t>
      </w:r>
    </w:p>
    <w:p w14:paraId="5FA938AD" w14:textId="77777777" w:rsidR="00911A42" w:rsidRPr="00750ED8" w:rsidRDefault="00911A42" w:rsidP="00911A42">
      <w:pPr>
        <w:widowControl w:val="0"/>
        <w:ind w:left="567"/>
        <w:jc w:val="both"/>
        <w:rPr>
          <w:rFonts w:cs="Arial"/>
          <w:sz w:val="16"/>
          <w:szCs w:val="16"/>
        </w:rPr>
      </w:pPr>
      <w:r w:rsidRPr="00750ED8">
        <w:rPr>
          <w:rFonts w:cs="Arial"/>
          <w:sz w:val="16"/>
          <w:szCs w:val="16"/>
        </w:rPr>
        <w:t xml:space="preserve">La Superintendencia ejerce en el ámbito de sus atribuciones, el control y la supervisión de las empresas conformantes del Sistema Financiero y Sistema de Seguros y de las demás personas naturales y jurídicas incorporadas por esta ley o por leyes especiales, de manera exclusiva en los aspectos que le corresponda. </w:t>
      </w:r>
    </w:p>
    <w:p w14:paraId="79F03038" w14:textId="77777777" w:rsidR="00911A42" w:rsidRPr="00750ED8" w:rsidRDefault="00911A42" w:rsidP="00911A42">
      <w:pPr>
        <w:widowControl w:val="0"/>
        <w:ind w:left="567"/>
        <w:jc w:val="both"/>
        <w:rPr>
          <w:rFonts w:cs="Arial"/>
          <w:sz w:val="16"/>
          <w:szCs w:val="16"/>
        </w:rPr>
      </w:pPr>
      <w:r w:rsidRPr="00750ED8">
        <w:rPr>
          <w:rFonts w:cs="Arial"/>
          <w:sz w:val="16"/>
          <w:szCs w:val="16"/>
        </w:rPr>
        <w:t>La Superintendencia supervisa el cumplimiento de la Ley Orgánica y disposiciones complementarias del Banco Central, sin perjuicio del ejercicio de su autonomía, no incluyendo lo referente a la finalidad y funciones contenidas en los artículos 83 al 85 de la Constitución Política del Perú.</w:t>
      </w:r>
    </w:p>
    <w:p w14:paraId="0E76C4D1" w14:textId="77777777" w:rsidR="00911A42" w:rsidRPr="00750ED8" w:rsidRDefault="00911A42" w:rsidP="00911A42">
      <w:pPr>
        <w:widowControl w:val="0"/>
        <w:ind w:left="567" w:hanging="567"/>
        <w:jc w:val="both"/>
        <w:rPr>
          <w:rFonts w:cs="Arial"/>
          <w:b/>
          <w:bCs/>
          <w:sz w:val="16"/>
          <w:szCs w:val="16"/>
          <w:vertAlign w:val="superscript"/>
        </w:rPr>
      </w:pPr>
    </w:p>
  </w:footnote>
  <w:footnote w:id="4">
    <w:p w14:paraId="7D692BC3" w14:textId="77777777" w:rsidR="00911A42" w:rsidRPr="00750ED8" w:rsidRDefault="00911A42" w:rsidP="00911A42">
      <w:pPr>
        <w:widowControl w:val="0"/>
        <w:ind w:left="567" w:hanging="567"/>
        <w:jc w:val="both"/>
        <w:rPr>
          <w:rFonts w:cs="Arial"/>
          <w:b/>
          <w:bCs/>
          <w:sz w:val="16"/>
          <w:szCs w:val="16"/>
        </w:rPr>
      </w:pPr>
      <w:r w:rsidRPr="00750ED8">
        <w:rPr>
          <w:rFonts w:cs="Arial"/>
          <w:sz w:val="16"/>
          <w:szCs w:val="16"/>
          <w:vertAlign w:val="superscript"/>
        </w:rPr>
        <w:footnoteRef/>
      </w:r>
      <w:r w:rsidRPr="00750ED8">
        <w:rPr>
          <w:rFonts w:cs="Arial"/>
          <w:sz w:val="16"/>
          <w:szCs w:val="16"/>
        </w:rPr>
        <w:t xml:space="preserve"> </w:t>
      </w:r>
      <w:r w:rsidRPr="00750ED8">
        <w:rPr>
          <w:rFonts w:cs="Arial"/>
          <w:sz w:val="16"/>
          <w:szCs w:val="16"/>
        </w:rPr>
        <w:tab/>
      </w:r>
      <w:r w:rsidRPr="00750ED8">
        <w:rPr>
          <w:rFonts w:cs="Arial"/>
          <w:b/>
          <w:bCs/>
          <w:sz w:val="16"/>
          <w:szCs w:val="16"/>
        </w:rPr>
        <w:t>TEXTO CONCORDADO DE LA LEY N° 26702, LEY GENERAL DEL SISTEMA FINANCIERO Y DEL SISTEMA DE SEGURO Y ORGÁNICA DE LA SUPERINTENDENCIA DE BANCA Y SEGUROS, y sus normas modificatorias</w:t>
      </w:r>
    </w:p>
    <w:p w14:paraId="46C0CDA1" w14:textId="77777777" w:rsidR="00911A42" w:rsidRPr="00750ED8" w:rsidRDefault="00911A42" w:rsidP="00911A42">
      <w:pPr>
        <w:widowControl w:val="0"/>
        <w:ind w:left="567"/>
        <w:jc w:val="both"/>
        <w:rPr>
          <w:rFonts w:cs="Arial"/>
          <w:b/>
          <w:bCs/>
          <w:sz w:val="16"/>
          <w:szCs w:val="16"/>
        </w:rPr>
      </w:pPr>
      <w:r w:rsidRPr="00750ED8">
        <w:rPr>
          <w:rFonts w:cs="Arial"/>
          <w:b/>
          <w:bCs/>
          <w:sz w:val="16"/>
          <w:szCs w:val="16"/>
        </w:rPr>
        <w:t>Artículo 347°.- FINALIDAD DE LA SUPERINTENDENCIA</w:t>
      </w:r>
    </w:p>
    <w:p w14:paraId="6D9D61A4" w14:textId="77777777" w:rsidR="00911A42" w:rsidRPr="00750ED8" w:rsidRDefault="00911A42" w:rsidP="00911A42">
      <w:pPr>
        <w:widowControl w:val="0"/>
        <w:ind w:left="567"/>
        <w:jc w:val="both"/>
        <w:rPr>
          <w:rFonts w:cs="Arial"/>
          <w:sz w:val="16"/>
          <w:szCs w:val="16"/>
        </w:rPr>
      </w:pPr>
      <w:r w:rsidRPr="00750ED8">
        <w:rPr>
          <w:rFonts w:cs="Arial"/>
          <w:sz w:val="16"/>
          <w:szCs w:val="16"/>
        </w:rPr>
        <w:t>Corresponde a la Superintendencia defender los intereses del público, cautelando la solidez económica y financiera de las personas naturales y jurídicas sujetas a su control, velando porque se cumplan las normas legales, reglamentarias y estatutarias que las rigen; ejerciendo para ello el más amplio control de todas sus operaciones y negocios y denunciando penalmente la existencia de personas naturales y jurídicas que, sin la debida autorización ejerzan las actividades señaladas en la presente ley, procediendo a la clausura de sus locales, y, en su caso, solicitando la disolución y liquidación del infractor.</w:t>
      </w:r>
    </w:p>
    <w:p w14:paraId="49B7CDB5" w14:textId="77777777" w:rsidR="00911A42" w:rsidRPr="00750ED8" w:rsidRDefault="00911A42" w:rsidP="00911A42">
      <w:pPr>
        <w:widowControl w:val="0"/>
        <w:jc w:val="both"/>
        <w:rPr>
          <w:rFonts w:cs="Arial"/>
          <w:sz w:val="16"/>
          <w:szCs w:val="16"/>
        </w:rPr>
      </w:pPr>
    </w:p>
  </w:footnote>
  <w:footnote w:id="5">
    <w:p w14:paraId="2B5B7FC8" w14:textId="77777777" w:rsidR="00911A42" w:rsidRPr="00750ED8" w:rsidRDefault="00911A42" w:rsidP="00911A42">
      <w:pPr>
        <w:widowControl w:val="0"/>
        <w:ind w:left="567" w:hanging="567"/>
        <w:jc w:val="both"/>
        <w:rPr>
          <w:rFonts w:cs="Arial"/>
          <w:b/>
          <w:bCs/>
          <w:sz w:val="16"/>
          <w:szCs w:val="16"/>
        </w:rPr>
      </w:pPr>
      <w:r w:rsidRPr="00750ED8">
        <w:rPr>
          <w:rFonts w:cs="Arial"/>
          <w:sz w:val="16"/>
          <w:szCs w:val="16"/>
          <w:vertAlign w:val="superscript"/>
        </w:rPr>
        <w:footnoteRef/>
      </w:r>
      <w:r w:rsidRPr="00750ED8">
        <w:rPr>
          <w:rFonts w:cs="Arial"/>
          <w:sz w:val="16"/>
          <w:szCs w:val="16"/>
        </w:rPr>
        <w:t xml:space="preserve"> </w:t>
      </w:r>
      <w:r w:rsidRPr="00750ED8">
        <w:rPr>
          <w:rFonts w:cs="Arial"/>
          <w:sz w:val="16"/>
          <w:szCs w:val="16"/>
        </w:rPr>
        <w:tab/>
      </w:r>
      <w:r w:rsidRPr="00750ED8">
        <w:rPr>
          <w:rFonts w:cs="Arial"/>
          <w:b/>
          <w:bCs/>
          <w:sz w:val="16"/>
          <w:szCs w:val="16"/>
        </w:rPr>
        <w:t>TEXTO CONCORDADO DE LA LEY N° 26702, LEY GENERAL DEL SISTEMA FINANCIERO Y DEL SISTEMA DE SEGURO Y ORGÁNICA DE LA SUPERINTENDENCIA DE BANCA Y SEGUROS, y sus normas modificatorias</w:t>
      </w:r>
    </w:p>
    <w:p w14:paraId="7041EC20" w14:textId="77777777" w:rsidR="00911A42" w:rsidRPr="00750ED8" w:rsidRDefault="00911A42" w:rsidP="00911A42">
      <w:pPr>
        <w:widowControl w:val="0"/>
        <w:ind w:left="567"/>
        <w:jc w:val="both"/>
        <w:rPr>
          <w:rFonts w:cs="Arial"/>
          <w:b/>
          <w:bCs/>
          <w:sz w:val="16"/>
          <w:szCs w:val="16"/>
        </w:rPr>
      </w:pPr>
      <w:r w:rsidRPr="00750ED8">
        <w:rPr>
          <w:rFonts w:cs="Arial"/>
          <w:b/>
          <w:bCs/>
          <w:sz w:val="16"/>
          <w:szCs w:val="16"/>
        </w:rPr>
        <w:t>Artículo 355°.- INFORMES SOBRE APLICACIÓN DE UTILIDADES Y EMPRESAS QUE PRESENTEN INESTABILIDAD FINANCIERA O ADMINISTRACIÓN DEFICIENTE</w:t>
      </w:r>
    </w:p>
    <w:p w14:paraId="2C0C8AFA" w14:textId="77777777" w:rsidR="00911A42" w:rsidRPr="00750ED8" w:rsidRDefault="00911A42" w:rsidP="00911A42">
      <w:pPr>
        <w:widowControl w:val="0"/>
        <w:ind w:left="567"/>
        <w:jc w:val="both"/>
        <w:rPr>
          <w:rFonts w:cs="Arial"/>
          <w:sz w:val="16"/>
          <w:szCs w:val="16"/>
        </w:rPr>
      </w:pPr>
      <w:r w:rsidRPr="00750ED8">
        <w:rPr>
          <w:rFonts w:cs="Arial"/>
          <w:sz w:val="16"/>
          <w:szCs w:val="16"/>
        </w:rPr>
        <w:t>Toda empresa está obligada a presentar a la Superintendencia un informe explicativo de los acuerdos que hubiera adoptado sobre la declaración de dividendos u otra forma de aplicación de utilidades o de disposiciones de recursos. El plazo para la entrega del referido informe es de diez (10) días hábiles, contados a partir de la fecha de adopción del acuerdo, debiendo transcurrir un plazo similar para que el contenido del mismo pueda hacerse efectivo.</w:t>
      </w:r>
    </w:p>
    <w:p w14:paraId="783C5C54" w14:textId="77777777" w:rsidR="00911A42" w:rsidRPr="00750ED8" w:rsidRDefault="00911A42" w:rsidP="00911A42">
      <w:pPr>
        <w:widowControl w:val="0"/>
        <w:ind w:left="567"/>
        <w:jc w:val="both"/>
        <w:rPr>
          <w:rFonts w:cs="Arial"/>
          <w:sz w:val="16"/>
          <w:szCs w:val="16"/>
        </w:rPr>
      </w:pPr>
      <w:r w:rsidRPr="00750ED8">
        <w:rPr>
          <w:rFonts w:cs="Arial"/>
          <w:sz w:val="16"/>
          <w:szCs w:val="16"/>
        </w:rPr>
        <w:t>La Superintendencia podrá suspender los acuerdos de aplicación de utilidades en tanto no reciba explicaciones que absuelvan satisfactoriamente las observaciones que, en relación a ellos, hubiere formulado.</w:t>
      </w:r>
    </w:p>
    <w:p w14:paraId="3EAEF59B" w14:textId="77777777" w:rsidR="00911A42" w:rsidRPr="00750ED8" w:rsidRDefault="00911A42" w:rsidP="00911A42">
      <w:pPr>
        <w:widowControl w:val="0"/>
        <w:ind w:left="567"/>
        <w:jc w:val="both"/>
        <w:rPr>
          <w:rFonts w:cs="Arial"/>
          <w:sz w:val="16"/>
          <w:szCs w:val="16"/>
        </w:rPr>
      </w:pPr>
      <w:r w:rsidRPr="00750ED8">
        <w:rPr>
          <w:rFonts w:cs="Arial"/>
          <w:sz w:val="16"/>
          <w:szCs w:val="16"/>
        </w:rPr>
        <w:t>Tratándose de Empresas que presenten inestabilidad financiera o administración deficiente, la Superintendencia deberá requerirles la evaluación y los ajustes patrimoniales que estime pertinentes. Asimismo, por un período de seis (6) meses renovable, por otro igual, la Superintendencia está facultada para prohibir a tales empresas la realización de una o más de las siguientes operaciones:</w:t>
      </w:r>
    </w:p>
    <w:p w14:paraId="59111525" w14:textId="77777777" w:rsidR="00911A42" w:rsidRPr="00750ED8" w:rsidRDefault="00911A42" w:rsidP="00911A42">
      <w:pPr>
        <w:widowControl w:val="0"/>
        <w:ind w:left="567"/>
        <w:jc w:val="both"/>
        <w:rPr>
          <w:rFonts w:cs="Arial"/>
          <w:sz w:val="16"/>
          <w:szCs w:val="16"/>
        </w:rPr>
      </w:pPr>
      <w:r w:rsidRPr="00750ED8">
        <w:rPr>
          <w:rFonts w:cs="Arial"/>
          <w:sz w:val="16"/>
          <w:szCs w:val="16"/>
        </w:rPr>
        <w:t>1. Tomar riesgos adicionales de toda naturaleza con cualquier persona natural o jurídica vinculada directa o indirectamente a la propiedad o gestión de la empresa, con o sin garantías;</w:t>
      </w:r>
    </w:p>
    <w:p w14:paraId="7F652479" w14:textId="77777777" w:rsidR="00911A42" w:rsidRPr="00750ED8" w:rsidRDefault="00911A42" w:rsidP="00911A42">
      <w:pPr>
        <w:widowControl w:val="0"/>
        <w:ind w:left="567"/>
        <w:jc w:val="both"/>
        <w:rPr>
          <w:rFonts w:cs="Arial"/>
          <w:sz w:val="16"/>
          <w:szCs w:val="16"/>
        </w:rPr>
      </w:pPr>
      <w:r w:rsidRPr="00750ED8">
        <w:rPr>
          <w:rFonts w:cs="Arial"/>
          <w:sz w:val="16"/>
          <w:szCs w:val="16"/>
        </w:rPr>
        <w:t>2. Renovar cualquier operación que implique riesgos, por más de ciento ochenta (180) días;</w:t>
      </w:r>
    </w:p>
    <w:p w14:paraId="663535B5" w14:textId="77777777" w:rsidR="00911A42" w:rsidRPr="00750ED8" w:rsidRDefault="00911A42" w:rsidP="00911A42">
      <w:pPr>
        <w:widowControl w:val="0"/>
        <w:ind w:left="567"/>
        <w:jc w:val="both"/>
        <w:rPr>
          <w:rFonts w:cs="Arial"/>
          <w:sz w:val="16"/>
          <w:szCs w:val="16"/>
        </w:rPr>
      </w:pPr>
      <w:r w:rsidRPr="00750ED8">
        <w:rPr>
          <w:rFonts w:cs="Arial"/>
          <w:sz w:val="16"/>
          <w:szCs w:val="16"/>
        </w:rPr>
        <w:t>3. Realizar operaciones que generen nuevos riesgos de mercado;</w:t>
      </w:r>
    </w:p>
    <w:p w14:paraId="225A556B" w14:textId="77777777" w:rsidR="00911A42" w:rsidRPr="00750ED8" w:rsidRDefault="00911A42" w:rsidP="00911A42">
      <w:pPr>
        <w:widowControl w:val="0"/>
        <w:ind w:left="567"/>
        <w:jc w:val="both"/>
        <w:rPr>
          <w:rFonts w:cs="Arial"/>
          <w:sz w:val="16"/>
          <w:szCs w:val="16"/>
        </w:rPr>
      </w:pPr>
      <w:r w:rsidRPr="00750ED8">
        <w:rPr>
          <w:rFonts w:cs="Arial"/>
          <w:sz w:val="16"/>
          <w:szCs w:val="16"/>
        </w:rPr>
        <w:t>4. Comprar, vender o gravar bienes muebles o inmuebles que correspondan a su activo fijo o a sus inversiones financieras permanentes;</w:t>
      </w:r>
    </w:p>
    <w:p w14:paraId="7E8BBC97" w14:textId="77777777" w:rsidR="00911A42" w:rsidRPr="00750ED8" w:rsidRDefault="00911A42" w:rsidP="00911A42">
      <w:pPr>
        <w:widowControl w:val="0"/>
        <w:ind w:left="567"/>
        <w:jc w:val="both"/>
        <w:rPr>
          <w:rFonts w:cs="Arial"/>
          <w:sz w:val="16"/>
          <w:szCs w:val="16"/>
        </w:rPr>
      </w:pPr>
      <w:r w:rsidRPr="00750ED8">
        <w:rPr>
          <w:rFonts w:cs="Arial"/>
          <w:sz w:val="16"/>
          <w:szCs w:val="16"/>
        </w:rPr>
        <w:t>5. Enajenar documentos de su cartera crediticia;</w:t>
      </w:r>
    </w:p>
    <w:p w14:paraId="51CEDB13" w14:textId="77777777" w:rsidR="00911A42" w:rsidRPr="00750ED8" w:rsidRDefault="00911A42" w:rsidP="00911A42">
      <w:pPr>
        <w:widowControl w:val="0"/>
        <w:ind w:left="567"/>
        <w:jc w:val="both"/>
        <w:rPr>
          <w:rFonts w:cs="Arial"/>
          <w:sz w:val="16"/>
          <w:szCs w:val="16"/>
        </w:rPr>
      </w:pPr>
      <w:r w:rsidRPr="00750ED8">
        <w:rPr>
          <w:rFonts w:cs="Arial"/>
          <w:sz w:val="16"/>
          <w:szCs w:val="16"/>
        </w:rPr>
        <w:t>6. Otorgar créditos sin garantía; y,</w:t>
      </w:r>
    </w:p>
    <w:p w14:paraId="07B7493D" w14:textId="77777777" w:rsidR="00911A42" w:rsidRPr="00750ED8" w:rsidRDefault="00911A42" w:rsidP="00911A42">
      <w:pPr>
        <w:widowControl w:val="0"/>
        <w:ind w:left="567"/>
        <w:jc w:val="both"/>
        <w:rPr>
          <w:rFonts w:cs="Arial"/>
          <w:sz w:val="16"/>
          <w:szCs w:val="16"/>
        </w:rPr>
      </w:pPr>
      <w:r w:rsidRPr="00750ED8">
        <w:rPr>
          <w:rFonts w:cs="Arial"/>
          <w:sz w:val="16"/>
          <w:szCs w:val="16"/>
        </w:rPr>
        <w:t>7. Otorgar poderes para la celebración de las operaciones previstas en cualquiera de los numerales anteriores. De igual manera, en el caso que una empresa presente inestabilidad financiera o administración deficiente, la Superintendencia debe disponer la evaluación y ajustes patrimoniales que estime pertinentes.</w:t>
      </w:r>
    </w:p>
    <w:p w14:paraId="1D815AC4" w14:textId="77777777" w:rsidR="00911A42" w:rsidRPr="00750ED8" w:rsidRDefault="00911A42" w:rsidP="00911A42">
      <w:pPr>
        <w:widowControl w:val="0"/>
        <w:jc w:val="both"/>
        <w:rPr>
          <w:rFonts w:cs="Arial"/>
          <w:sz w:val="16"/>
          <w:szCs w:val="16"/>
        </w:rPr>
      </w:pPr>
    </w:p>
  </w:footnote>
  <w:footnote w:id="6">
    <w:p w14:paraId="693C5458" w14:textId="77777777" w:rsidR="00C856DE" w:rsidRPr="006400E9" w:rsidRDefault="00C856DE" w:rsidP="00C856DE">
      <w:pPr>
        <w:pStyle w:val="Textonotapie"/>
        <w:ind w:left="567" w:hanging="567"/>
        <w:jc w:val="both"/>
        <w:rPr>
          <w:rFonts w:ascii="Arial" w:hAnsi="Arial" w:cs="Arial"/>
          <w:b/>
          <w:bCs/>
          <w:sz w:val="17"/>
          <w:szCs w:val="17"/>
        </w:rPr>
      </w:pPr>
      <w:r w:rsidRPr="006400E9">
        <w:rPr>
          <w:rStyle w:val="Refdenotaalpie"/>
          <w:rFonts w:ascii="Arial" w:hAnsi="Arial" w:cs="Arial"/>
          <w:sz w:val="17"/>
          <w:szCs w:val="17"/>
        </w:rPr>
        <w:footnoteRef/>
      </w:r>
      <w:r w:rsidRPr="006400E9">
        <w:rPr>
          <w:rFonts w:ascii="Arial" w:hAnsi="Arial" w:cs="Arial"/>
          <w:sz w:val="17"/>
          <w:szCs w:val="17"/>
        </w:rPr>
        <w:t xml:space="preserve">         </w:t>
      </w:r>
      <w:r w:rsidRPr="006400E9">
        <w:rPr>
          <w:rFonts w:ascii="Arial" w:hAnsi="Arial" w:cs="Arial"/>
          <w:sz w:val="17"/>
          <w:szCs w:val="17"/>
        </w:rPr>
        <w:tab/>
      </w:r>
      <w:r w:rsidRPr="006400E9">
        <w:rPr>
          <w:rFonts w:ascii="Arial" w:hAnsi="Arial" w:cs="Arial"/>
          <w:b/>
          <w:bCs/>
          <w:sz w:val="17"/>
          <w:szCs w:val="17"/>
        </w:rPr>
        <w:t xml:space="preserve">TEXTO CONCORDADO DE LA LEY N° 26702, LEY GENERAL DEL SISTEMA FINANCIERO Y DEL SISTEMA DE </w:t>
      </w:r>
    </w:p>
    <w:p w14:paraId="4A7C936D" w14:textId="77777777" w:rsidR="00C856DE" w:rsidRPr="006400E9" w:rsidRDefault="00C856DE" w:rsidP="00C856DE">
      <w:pPr>
        <w:pStyle w:val="Textonotapie"/>
        <w:ind w:left="567"/>
        <w:jc w:val="both"/>
        <w:rPr>
          <w:rFonts w:ascii="Arial" w:hAnsi="Arial" w:cs="Arial"/>
          <w:b/>
          <w:bCs/>
          <w:sz w:val="17"/>
          <w:szCs w:val="17"/>
        </w:rPr>
      </w:pPr>
      <w:r w:rsidRPr="006400E9">
        <w:rPr>
          <w:rFonts w:ascii="Arial" w:hAnsi="Arial" w:cs="Arial"/>
          <w:b/>
          <w:bCs/>
          <w:sz w:val="17"/>
          <w:szCs w:val="17"/>
        </w:rPr>
        <w:t>SEGUROA Y ORGÁNICA DE LA SUPERINTENDENCIA DE BANCA Y SEGUROS, y sus normas modificatorias</w:t>
      </w:r>
    </w:p>
    <w:p w14:paraId="2830A62C" w14:textId="77777777" w:rsidR="00C856DE" w:rsidRPr="006400E9" w:rsidRDefault="00C856DE" w:rsidP="00C856DE">
      <w:pPr>
        <w:pStyle w:val="Textonotapie"/>
        <w:ind w:left="567"/>
        <w:jc w:val="both"/>
        <w:rPr>
          <w:rFonts w:ascii="Arial" w:hAnsi="Arial" w:cs="Arial"/>
          <w:b/>
          <w:bCs/>
          <w:sz w:val="17"/>
          <w:szCs w:val="17"/>
        </w:rPr>
      </w:pPr>
      <w:r w:rsidRPr="006400E9">
        <w:rPr>
          <w:rFonts w:ascii="Arial" w:hAnsi="Arial" w:cs="Arial"/>
          <w:b/>
          <w:bCs/>
          <w:sz w:val="17"/>
          <w:szCs w:val="17"/>
        </w:rPr>
        <w:t>Artículo 104°.- CAUSALES DE INTERVENCIÓN POR INSUFICIENCIA DE PATRIMONIO EFECTIVO</w:t>
      </w:r>
    </w:p>
    <w:p w14:paraId="6D63BD33" w14:textId="77777777" w:rsidR="00C856DE" w:rsidRPr="006400E9" w:rsidRDefault="00C856DE" w:rsidP="00C856DE">
      <w:pPr>
        <w:pStyle w:val="Textonotapie"/>
        <w:ind w:left="567"/>
        <w:jc w:val="both"/>
        <w:rPr>
          <w:rFonts w:ascii="Arial" w:hAnsi="Arial" w:cs="Arial"/>
          <w:sz w:val="17"/>
          <w:szCs w:val="17"/>
        </w:rPr>
      </w:pPr>
      <w:r w:rsidRPr="006400E9">
        <w:rPr>
          <w:rFonts w:ascii="Arial" w:hAnsi="Arial" w:cs="Arial"/>
          <w:sz w:val="17"/>
          <w:szCs w:val="17"/>
        </w:rPr>
        <w:t>Son causales de intervención de una empresa de los sistemas financiero o de seguros, por</w:t>
      </w:r>
    </w:p>
    <w:p w14:paraId="265E37DA" w14:textId="77777777" w:rsidR="00C856DE" w:rsidRPr="006400E9" w:rsidRDefault="00C856DE" w:rsidP="00C856DE">
      <w:pPr>
        <w:pStyle w:val="Textonotapie"/>
        <w:ind w:left="567"/>
        <w:jc w:val="both"/>
        <w:rPr>
          <w:rFonts w:ascii="Arial" w:hAnsi="Arial" w:cs="Arial"/>
          <w:sz w:val="17"/>
          <w:szCs w:val="17"/>
        </w:rPr>
      </w:pPr>
      <w:r w:rsidRPr="006400E9">
        <w:rPr>
          <w:rFonts w:ascii="Arial" w:hAnsi="Arial" w:cs="Arial"/>
          <w:sz w:val="17"/>
          <w:szCs w:val="17"/>
        </w:rPr>
        <w:t>insuficiencia de patrimonio efectivo:</w:t>
      </w:r>
    </w:p>
    <w:p w14:paraId="07917673" w14:textId="77777777" w:rsidR="00C856DE" w:rsidRPr="006400E9" w:rsidRDefault="00C856DE" w:rsidP="00C856DE">
      <w:pPr>
        <w:pStyle w:val="Textonotapie"/>
        <w:ind w:left="567"/>
        <w:jc w:val="both"/>
        <w:rPr>
          <w:rFonts w:ascii="Arial" w:hAnsi="Arial" w:cs="Arial"/>
          <w:sz w:val="17"/>
          <w:szCs w:val="17"/>
        </w:rPr>
      </w:pPr>
      <w:r w:rsidRPr="006400E9">
        <w:rPr>
          <w:rFonts w:ascii="Arial" w:hAnsi="Arial" w:cs="Arial"/>
          <w:sz w:val="17"/>
          <w:szCs w:val="17"/>
        </w:rPr>
        <w:t>(...)</w:t>
      </w:r>
    </w:p>
    <w:p w14:paraId="7279BB7E" w14:textId="77777777" w:rsidR="00C856DE" w:rsidRPr="006400E9" w:rsidRDefault="00C856DE" w:rsidP="00C856DE">
      <w:pPr>
        <w:pStyle w:val="Textonotapie"/>
        <w:ind w:left="567"/>
        <w:jc w:val="both"/>
        <w:rPr>
          <w:rFonts w:ascii="Arial" w:hAnsi="Arial" w:cs="Arial"/>
          <w:sz w:val="17"/>
          <w:szCs w:val="17"/>
        </w:rPr>
      </w:pPr>
      <w:r w:rsidRPr="006400E9">
        <w:rPr>
          <w:rFonts w:ascii="Arial" w:hAnsi="Arial" w:cs="Arial"/>
          <w:sz w:val="17"/>
          <w:szCs w:val="17"/>
        </w:rPr>
        <w:t>4. Pérdida o reducción de más del 50% (cincuenta por ciento) del patrimonio efectivo en los últimos 12 meses.</w:t>
      </w:r>
    </w:p>
    <w:p w14:paraId="431AC6EF" w14:textId="77777777" w:rsidR="00C856DE" w:rsidRPr="006400E9" w:rsidRDefault="00C856DE" w:rsidP="00C856DE">
      <w:pPr>
        <w:pStyle w:val="Textonotapie"/>
        <w:ind w:left="567"/>
        <w:jc w:val="both"/>
        <w:rPr>
          <w:rFonts w:ascii="Arial" w:hAnsi="Arial" w:cs="Arial"/>
          <w:sz w:val="17"/>
          <w:szCs w:val="17"/>
          <w:lang w:val="es-ES"/>
        </w:rPr>
      </w:pPr>
      <w:r w:rsidRPr="006400E9">
        <w:rPr>
          <w:rFonts w:ascii="Arial" w:hAnsi="Arial" w:cs="Arial"/>
          <w:sz w:val="17"/>
          <w:szCs w:val="17"/>
        </w:rPr>
        <w:t>(...)</w:t>
      </w:r>
      <w:r w:rsidRPr="006400E9">
        <w:rPr>
          <w:rFonts w:ascii="Arial" w:hAnsi="Arial" w:cs="Arial"/>
          <w:sz w:val="17"/>
          <w:szCs w:val="17"/>
        </w:rPr>
        <w:cr/>
      </w:r>
    </w:p>
  </w:footnote>
  <w:footnote w:id="7">
    <w:p w14:paraId="25136062"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Style w:val="Refdenotaalpie"/>
          <w:rFonts w:ascii="Arial"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bCs/>
          <w:sz w:val="16"/>
          <w:szCs w:val="16"/>
        </w:rPr>
        <w:t>TEXTO CONCORDADO DE LA LEY N° 26702, LEY GENERAL DEL SISTEMA FINANCIERO Y DEL SISTEMA DE SEGUROS Y ORGÁNICA DE LA SUPERINTENDE</w:t>
      </w:r>
    </w:p>
    <w:p w14:paraId="73655189"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Fonts w:ascii="Arial" w:hAnsi="Arial" w:cs="Arial"/>
          <w:b/>
          <w:bCs/>
          <w:sz w:val="16"/>
          <w:szCs w:val="16"/>
        </w:rPr>
        <w:tab/>
        <w:t xml:space="preserve">Artículo 104º.- Causales de intervención. </w:t>
      </w:r>
    </w:p>
    <w:p w14:paraId="10F5EEFB"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Son causales de intervención de una empresa de los sistemas financiero o de seguros: </w:t>
      </w:r>
    </w:p>
    <w:p w14:paraId="45DDD08D"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 xml:space="preserve">La suspensión del pago de sus obligaciones; </w:t>
      </w:r>
    </w:p>
    <w:p w14:paraId="699681FE"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Incumplir durante la vigencia del régimen de vigilancia con los compromisos asumidos en el plan de recuperación convenido o con lo dispuesto por la Superintendencia de acuerdo a lo establecido en el Título V de la presente sección;</w:t>
      </w:r>
    </w:p>
    <w:p w14:paraId="4E05E622"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 xml:space="preserve">En el caso de empresas del sistema financiero, cuando el patrimonio efectivo sea menos de la mitad del requerido en el primer párrafo del artículo 199°; </w:t>
      </w:r>
    </w:p>
    <w:p w14:paraId="535A7FAA"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Pérdida o reducción de más del 50% (cincuenta por ciento) del patrimonio efectivo en los últimos 12 meses.</w:t>
      </w:r>
    </w:p>
    <w:p w14:paraId="51E08A61" w14:textId="77777777" w:rsidR="00911A42" w:rsidRPr="00750ED8" w:rsidRDefault="00911A42" w:rsidP="00911A42">
      <w:pPr>
        <w:pStyle w:val="Textonotapie"/>
        <w:widowControl w:val="0"/>
        <w:numPr>
          <w:ilvl w:val="0"/>
          <w:numId w:val="37"/>
        </w:numPr>
        <w:tabs>
          <w:tab w:val="left" w:pos="993"/>
        </w:tabs>
        <w:ind w:left="851" w:hanging="284"/>
        <w:rPr>
          <w:rFonts w:ascii="Arial" w:hAnsi="Arial" w:cs="Arial"/>
          <w:sz w:val="16"/>
          <w:szCs w:val="16"/>
        </w:rPr>
      </w:pPr>
      <w:r w:rsidRPr="00750ED8">
        <w:rPr>
          <w:rFonts w:ascii="Arial" w:hAnsi="Arial" w:cs="Arial"/>
          <w:sz w:val="16"/>
          <w:szCs w:val="16"/>
        </w:rPr>
        <w:t>Tratándose de empresas del sistema de seguros, la pérdida o reducción del patrimonio efectivo por debajo del 50% (cincuenta por ciento) del patrimonio de solvencia.</w:t>
      </w:r>
    </w:p>
    <w:p w14:paraId="2E297B1D" w14:textId="77777777" w:rsidR="00911A42" w:rsidRPr="00750ED8" w:rsidRDefault="00911A42" w:rsidP="00911A42">
      <w:pPr>
        <w:pStyle w:val="Textonotapie"/>
        <w:widowControl w:val="0"/>
        <w:tabs>
          <w:tab w:val="left" w:pos="993"/>
        </w:tabs>
        <w:ind w:left="851"/>
        <w:rPr>
          <w:rFonts w:ascii="Arial" w:hAnsi="Arial" w:cs="Arial"/>
          <w:sz w:val="16"/>
          <w:szCs w:val="16"/>
        </w:rPr>
      </w:pPr>
    </w:p>
  </w:footnote>
  <w:footnote w:id="8">
    <w:p w14:paraId="0864D324"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Style w:val="Refdenotaalpie"/>
          <w:rFonts w:ascii="Arial"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bCs/>
          <w:sz w:val="16"/>
          <w:szCs w:val="16"/>
        </w:rPr>
        <w:t>TEXTO CONCORDADO DE LA LEY N° 26702, LEY GENERAL DEL SISTEMA FINANCIERO Y DEL SISTEMA DE SEGUROS Y ORGÁNICA DE LA SUPERINTENDE</w:t>
      </w:r>
    </w:p>
    <w:p w14:paraId="1F04CA1F"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Fonts w:ascii="Arial" w:hAnsi="Arial" w:cs="Arial"/>
          <w:b/>
          <w:bCs/>
          <w:sz w:val="16"/>
          <w:szCs w:val="16"/>
        </w:rPr>
        <w:tab/>
        <w:t xml:space="preserve">Artículo 106.- Consecuencias de la intervención. </w:t>
      </w:r>
    </w:p>
    <w:p w14:paraId="15CACA07"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b/>
          <w:bCs/>
          <w:sz w:val="16"/>
          <w:szCs w:val="16"/>
        </w:rPr>
        <w:tab/>
      </w:r>
      <w:r w:rsidRPr="00750ED8">
        <w:rPr>
          <w:rFonts w:ascii="Arial" w:hAnsi="Arial" w:cs="Arial"/>
          <w:sz w:val="16"/>
          <w:szCs w:val="16"/>
        </w:rPr>
        <w:t>Son consecuencias indesligables de la intervención y subsisten en tanto no concluya: 1.</w:t>
      </w:r>
    </w:p>
    <w:p w14:paraId="1FB51BF4"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La competencia de la Junta General de Accionistas se limita exclusivamente a las materias de que trata este capítulo; </w:t>
      </w:r>
    </w:p>
    <w:p w14:paraId="01FE15F8"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La suspensión de las operaciones de la empresa; </w:t>
      </w:r>
    </w:p>
    <w:p w14:paraId="0B9D72A9"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La aplicación de la porción necesaria de la deuda subordinada, en su caso, a absorber las pérdidas, después de haber cumplido con lo dispuesto en el numeral 1 del Artículo 107; </w:t>
      </w:r>
    </w:p>
    <w:p w14:paraId="32446D47"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 xml:space="preserve">La aplicación de las prohibiciones contenidas en el Artículo 116, a partir de la publicación de la resolución que determine el sometimiento al régimen de intervención; y, </w:t>
      </w:r>
    </w:p>
    <w:p w14:paraId="062109E4"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sz w:val="16"/>
          <w:szCs w:val="16"/>
        </w:rPr>
        <w:tab/>
        <w:t>Otras que la Superintendencia estime pertinentes para el cumplimiento de lo dispuesto en este capítulo.</w:t>
      </w:r>
    </w:p>
    <w:p w14:paraId="3C851089" w14:textId="77777777" w:rsidR="00911A42" w:rsidRPr="00750ED8" w:rsidRDefault="00911A42" w:rsidP="00911A42">
      <w:pPr>
        <w:pStyle w:val="Textonotapie"/>
        <w:widowControl w:val="0"/>
        <w:tabs>
          <w:tab w:val="left" w:pos="709"/>
        </w:tabs>
        <w:ind w:left="567" w:hanging="567"/>
        <w:rPr>
          <w:rFonts w:ascii="Arial" w:hAnsi="Arial" w:cs="Arial"/>
          <w:sz w:val="16"/>
          <w:szCs w:val="16"/>
        </w:rPr>
      </w:pPr>
    </w:p>
  </w:footnote>
  <w:footnote w:id="9">
    <w:p w14:paraId="57D82967" w14:textId="77777777" w:rsidR="00911A42" w:rsidRPr="00750ED8" w:rsidRDefault="00911A42" w:rsidP="00911A42">
      <w:pPr>
        <w:pStyle w:val="Textonotapie"/>
        <w:widowControl w:val="0"/>
        <w:tabs>
          <w:tab w:val="left" w:pos="709"/>
        </w:tabs>
        <w:ind w:left="567" w:hanging="567"/>
        <w:rPr>
          <w:rFonts w:ascii="Arial" w:hAnsi="Arial" w:cs="Arial"/>
          <w:b/>
          <w:bCs/>
          <w:sz w:val="16"/>
          <w:szCs w:val="16"/>
        </w:rPr>
      </w:pPr>
      <w:r w:rsidRPr="00750ED8">
        <w:rPr>
          <w:rStyle w:val="Refdenotaalpie"/>
          <w:rFonts w:ascii="Arial"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bCs/>
          <w:sz w:val="16"/>
          <w:szCs w:val="16"/>
        </w:rPr>
        <w:t xml:space="preserve">LEY N° 26702, LEY GENERAL DEL SISTEMA FINANCIERO Y DEL SISTEMA DE SEGUROS Y ORGÁNICA DE LA SUPERINTENDENCIA DE BANCA Y SEGUROS Artículo 116º.- Prohibiciones. </w:t>
      </w:r>
    </w:p>
    <w:p w14:paraId="1AB93D78" w14:textId="77777777" w:rsidR="00911A42" w:rsidRPr="00750ED8" w:rsidRDefault="00911A42" w:rsidP="00911A42">
      <w:pPr>
        <w:pStyle w:val="Textonotapie"/>
        <w:widowControl w:val="0"/>
        <w:tabs>
          <w:tab w:val="left" w:pos="709"/>
        </w:tabs>
        <w:ind w:left="567" w:hanging="567"/>
        <w:rPr>
          <w:rFonts w:ascii="Arial" w:hAnsi="Arial" w:cs="Arial"/>
          <w:sz w:val="16"/>
          <w:szCs w:val="16"/>
        </w:rPr>
      </w:pPr>
      <w:r w:rsidRPr="00750ED8">
        <w:rPr>
          <w:rFonts w:ascii="Arial" w:hAnsi="Arial" w:cs="Arial"/>
          <w:b/>
          <w:bCs/>
          <w:sz w:val="16"/>
          <w:szCs w:val="16"/>
        </w:rPr>
        <w:tab/>
      </w:r>
      <w:r w:rsidRPr="00750ED8">
        <w:rPr>
          <w:rFonts w:ascii="Arial" w:hAnsi="Arial" w:cs="Arial"/>
          <w:sz w:val="16"/>
          <w:szCs w:val="16"/>
        </w:rPr>
        <w:t xml:space="preserve">A partir de la fecha de publicación de la resolución de disolución de una empresa de los sistemas financiero o de seguros del país, es prohibido: </w:t>
      </w:r>
    </w:p>
    <w:p w14:paraId="4F77F165" w14:textId="77777777" w:rsidR="00911A42" w:rsidRPr="00750ED8" w:rsidRDefault="00911A42" w:rsidP="00911A42">
      <w:pPr>
        <w:pStyle w:val="Textonotapie"/>
        <w:widowControl w:val="0"/>
        <w:numPr>
          <w:ilvl w:val="0"/>
          <w:numId w:val="38"/>
        </w:numPr>
        <w:ind w:left="851" w:hanging="284"/>
        <w:rPr>
          <w:rFonts w:ascii="Arial" w:hAnsi="Arial" w:cs="Arial"/>
          <w:b/>
          <w:bCs/>
          <w:sz w:val="16"/>
          <w:szCs w:val="16"/>
        </w:rPr>
      </w:pPr>
      <w:r w:rsidRPr="00750ED8">
        <w:rPr>
          <w:rFonts w:ascii="Arial" w:hAnsi="Arial" w:cs="Arial"/>
          <w:sz w:val="16"/>
          <w:szCs w:val="16"/>
        </w:rPr>
        <w:t>Iniciar contra ella procesos judiciales o administrativos para el cobro de acreencias a su cargo.</w:t>
      </w:r>
    </w:p>
    <w:p w14:paraId="47749080" w14:textId="77777777" w:rsidR="00911A42" w:rsidRPr="00750ED8" w:rsidRDefault="00911A42" w:rsidP="00911A42">
      <w:pPr>
        <w:pStyle w:val="Textonotapie"/>
        <w:widowControl w:val="0"/>
        <w:ind w:left="567"/>
        <w:rPr>
          <w:rFonts w:ascii="Arial" w:hAnsi="Arial" w:cs="Arial"/>
          <w:b/>
          <w:bCs/>
          <w:sz w:val="16"/>
          <w:szCs w:val="16"/>
        </w:rPr>
      </w:pPr>
      <w:r w:rsidRPr="00750ED8">
        <w:rPr>
          <w:rFonts w:ascii="Arial" w:hAnsi="Arial" w:cs="Arial"/>
          <w:sz w:val="16"/>
          <w:szCs w:val="16"/>
        </w:rPr>
        <w:t>(…)</w:t>
      </w:r>
    </w:p>
  </w:footnote>
  <w:footnote w:id="10">
    <w:p w14:paraId="5DD84C0D" w14:textId="77777777" w:rsidR="00911A42" w:rsidRPr="00750ED8" w:rsidRDefault="00911A42" w:rsidP="00911A42">
      <w:pPr>
        <w:pStyle w:val="Sinespaciado"/>
        <w:ind w:left="567" w:hanging="567"/>
        <w:jc w:val="both"/>
        <w:rPr>
          <w:rFonts w:ascii="Arial" w:hAnsi="Arial" w:cs="Arial"/>
          <w:b/>
          <w:sz w:val="16"/>
          <w:szCs w:val="16"/>
        </w:rPr>
      </w:pPr>
      <w:r w:rsidRPr="00750ED8">
        <w:rPr>
          <w:rStyle w:val="Refdenotaalpie"/>
          <w:rFonts w:ascii="Arial" w:eastAsiaTheme="majorEastAsia"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sz w:val="16"/>
          <w:szCs w:val="16"/>
        </w:rPr>
        <w:t>LEY Nº 29571, CÓDIGO DE PROTECCIÓN Y DEFENSA DEL CONSUMIDOR, publicada el 2 de setiembre de 2010</w:t>
      </w:r>
    </w:p>
    <w:p w14:paraId="4DEA687C" w14:textId="77777777" w:rsidR="00911A42" w:rsidRPr="00750ED8" w:rsidRDefault="00911A42" w:rsidP="00911A42">
      <w:pPr>
        <w:pStyle w:val="Sinespaciado"/>
        <w:ind w:left="567"/>
        <w:jc w:val="both"/>
        <w:rPr>
          <w:rFonts w:ascii="Arial" w:hAnsi="Arial" w:cs="Arial"/>
          <w:b/>
          <w:sz w:val="16"/>
          <w:szCs w:val="16"/>
        </w:rPr>
      </w:pPr>
      <w:r w:rsidRPr="00750ED8">
        <w:rPr>
          <w:rFonts w:ascii="Arial" w:hAnsi="Arial" w:cs="Arial"/>
          <w:b/>
          <w:sz w:val="16"/>
          <w:szCs w:val="16"/>
        </w:rPr>
        <w:t>DISPOSICIONES COMPLEMENTARIAS MODIFICATORIAS</w:t>
      </w:r>
    </w:p>
    <w:p w14:paraId="34B74E1D" w14:textId="77777777" w:rsidR="00911A42" w:rsidRPr="00750ED8" w:rsidRDefault="00911A42" w:rsidP="00911A42">
      <w:pPr>
        <w:pStyle w:val="Sinespaciado"/>
        <w:ind w:left="567"/>
        <w:jc w:val="both"/>
        <w:rPr>
          <w:rFonts w:ascii="Arial" w:hAnsi="Arial" w:cs="Arial"/>
          <w:b/>
          <w:sz w:val="16"/>
          <w:szCs w:val="16"/>
        </w:rPr>
      </w:pPr>
      <w:r w:rsidRPr="00750ED8">
        <w:rPr>
          <w:rFonts w:ascii="Arial" w:hAnsi="Arial" w:cs="Arial"/>
          <w:b/>
          <w:sz w:val="16"/>
          <w:szCs w:val="16"/>
        </w:rPr>
        <w:t>PRIMERA.- Modificación del artículo 38º del Decreto Legislativo núm. 807</w:t>
      </w:r>
    </w:p>
    <w:p w14:paraId="773C8C0B"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Modificase el artículo 38º del Decreto Legislativo núm. 807, Ley sobre Facultades, Normas y Organización del Indecopi, con el siguiente texto:</w:t>
      </w:r>
    </w:p>
    <w:p w14:paraId="68D57635"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6024C4F7" w14:textId="77777777" w:rsidR="00911A42" w:rsidRPr="00750ED8" w:rsidRDefault="00911A42" w:rsidP="00911A42">
      <w:pPr>
        <w:pStyle w:val="Textonotapie"/>
        <w:widowControl w:val="0"/>
        <w:jc w:val="both"/>
        <w:rPr>
          <w:rFonts w:ascii="Arial" w:hAnsi="Arial" w:cs="Arial"/>
          <w:sz w:val="16"/>
          <w:szCs w:val="16"/>
        </w:rPr>
      </w:pPr>
    </w:p>
  </w:footnote>
  <w:footnote w:id="11">
    <w:p w14:paraId="7DA51F47" w14:textId="77777777" w:rsidR="00911A42" w:rsidRPr="00750ED8" w:rsidRDefault="00911A42" w:rsidP="00911A42">
      <w:pPr>
        <w:pStyle w:val="Sinespaciado"/>
        <w:ind w:left="567" w:hanging="567"/>
        <w:jc w:val="both"/>
        <w:rPr>
          <w:rFonts w:ascii="Arial" w:hAnsi="Arial" w:cs="Arial"/>
          <w:b/>
          <w:sz w:val="16"/>
          <w:szCs w:val="16"/>
        </w:rPr>
      </w:pPr>
      <w:r w:rsidRPr="00750ED8">
        <w:rPr>
          <w:rStyle w:val="Refdenotaalpie"/>
          <w:rFonts w:ascii="Arial" w:eastAsiaTheme="majorEastAsia"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sz w:val="16"/>
          <w:szCs w:val="16"/>
        </w:rPr>
        <w:t>TEXTO ÚNICO ORDENADO DE LA LEY DEL PROCEDIMIENTO ADMINISTRATIVO GENERAL, APROBADO POR DECRETO SUPREMO N° 004-2019, publicado el 25 de enero de 2019</w:t>
      </w:r>
    </w:p>
    <w:p w14:paraId="42ADE80B" w14:textId="77777777" w:rsidR="00911A42" w:rsidRPr="00750ED8" w:rsidRDefault="00911A42" w:rsidP="00911A42">
      <w:pPr>
        <w:pStyle w:val="Sinespaciado"/>
        <w:ind w:left="567"/>
        <w:jc w:val="both"/>
        <w:rPr>
          <w:rFonts w:ascii="Arial" w:hAnsi="Arial" w:cs="Arial"/>
          <w:b/>
          <w:sz w:val="16"/>
          <w:szCs w:val="16"/>
        </w:rPr>
      </w:pPr>
      <w:r w:rsidRPr="00750ED8">
        <w:rPr>
          <w:rFonts w:ascii="Arial" w:hAnsi="Arial" w:cs="Arial"/>
          <w:b/>
          <w:sz w:val="16"/>
          <w:szCs w:val="16"/>
        </w:rPr>
        <w:t>Artículo 218.- Recursos administrativos</w:t>
      </w:r>
    </w:p>
    <w:p w14:paraId="24ABD493"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218.1 Los recursos administrativos son:</w:t>
      </w:r>
    </w:p>
    <w:p w14:paraId="6F06D86D"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w:t>
      </w:r>
    </w:p>
    <w:p w14:paraId="74A9C34F"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b) Recurso de apelación</w:t>
      </w:r>
    </w:p>
    <w:p w14:paraId="2FB69554"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w:t>
      </w:r>
    </w:p>
    <w:p w14:paraId="0A8B7316" w14:textId="77777777" w:rsidR="00911A42" w:rsidRPr="00750ED8" w:rsidRDefault="00911A42" w:rsidP="00911A42">
      <w:pPr>
        <w:pStyle w:val="Sinespaciado"/>
        <w:ind w:left="567"/>
        <w:jc w:val="both"/>
        <w:rPr>
          <w:rFonts w:ascii="Arial" w:hAnsi="Arial" w:cs="Arial"/>
          <w:sz w:val="16"/>
          <w:szCs w:val="16"/>
        </w:rPr>
      </w:pPr>
      <w:r w:rsidRPr="00750ED8">
        <w:rPr>
          <w:rFonts w:ascii="Arial" w:hAnsi="Arial" w:cs="Arial"/>
          <w:sz w:val="16"/>
          <w:szCs w:val="16"/>
        </w:rPr>
        <w:t>218.2 El término para la interposición de los recursos es de quince (15) días perentorios (…).</w:t>
      </w:r>
    </w:p>
    <w:p w14:paraId="22CAD5FB" w14:textId="77777777" w:rsidR="00911A42" w:rsidRPr="00750ED8" w:rsidRDefault="00911A42" w:rsidP="00911A42">
      <w:pPr>
        <w:pStyle w:val="Textonotapie"/>
        <w:widowControl w:val="0"/>
        <w:jc w:val="both"/>
        <w:rPr>
          <w:rFonts w:ascii="Arial" w:hAnsi="Arial" w:cs="Arial"/>
          <w:sz w:val="16"/>
          <w:szCs w:val="16"/>
        </w:rPr>
      </w:pPr>
    </w:p>
  </w:footnote>
  <w:footnote w:id="12">
    <w:p w14:paraId="5A7FC07E" w14:textId="77777777" w:rsidR="00911A42" w:rsidRPr="00750ED8" w:rsidRDefault="00911A42" w:rsidP="00911A42">
      <w:pPr>
        <w:pStyle w:val="Sinespaciado"/>
        <w:ind w:left="567" w:hanging="567"/>
        <w:jc w:val="both"/>
        <w:rPr>
          <w:rFonts w:ascii="Arial" w:hAnsi="Arial" w:cs="Arial"/>
          <w:b/>
          <w:bCs/>
          <w:sz w:val="16"/>
          <w:szCs w:val="16"/>
        </w:rPr>
      </w:pPr>
      <w:r w:rsidRPr="00750ED8">
        <w:rPr>
          <w:rStyle w:val="Refdenotaalpie"/>
          <w:rFonts w:ascii="Arial" w:eastAsiaTheme="majorEastAsia" w:hAnsi="Arial" w:cs="Arial"/>
          <w:sz w:val="16"/>
          <w:szCs w:val="16"/>
        </w:rPr>
        <w:footnoteRef/>
      </w:r>
      <w:r w:rsidRPr="00750ED8">
        <w:rPr>
          <w:rFonts w:ascii="Arial" w:hAnsi="Arial" w:cs="Arial"/>
          <w:sz w:val="16"/>
          <w:szCs w:val="16"/>
        </w:rPr>
        <w:t xml:space="preserve"> </w:t>
      </w:r>
      <w:r w:rsidRPr="00750ED8">
        <w:rPr>
          <w:rFonts w:ascii="Arial" w:hAnsi="Arial" w:cs="Arial"/>
          <w:sz w:val="16"/>
          <w:szCs w:val="16"/>
        </w:rPr>
        <w:tab/>
      </w:r>
      <w:r w:rsidRPr="00750ED8">
        <w:rPr>
          <w:rFonts w:ascii="Arial" w:hAnsi="Arial" w:cs="Arial"/>
          <w:b/>
          <w:bCs/>
          <w:sz w:val="16"/>
          <w:szCs w:val="16"/>
        </w:rPr>
        <w:t>TEXTO ÚNICO ORDENADO DE LA LEY DEL PROCEDIMIENTO ADMINISTRATIVO GENERAL</w:t>
      </w:r>
      <w:r w:rsidRPr="00750ED8">
        <w:rPr>
          <w:rFonts w:ascii="Arial" w:hAnsi="Arial" w:cs="Arial"/>
          <w:b/>
          <w:sz w:val="16"/>
          <w:szCs w:val="16"/>
        </w:rPr>
        <w:t>, APROBADO POR DECRETO SUPREMO N° 004-2019, publicado el 25 de enero de 2019</w:t>
      </w:r>
    </w:p>
    <w:p w14:paraId="72089875" w14:textId="77777777" w:rsidR="00911A42" w:rsidRPr="00750ED8" w:rsidRDefault="00911A42" w:rsidP="00911A42">
      <w:pPr>
        <w:pStyle w:val="Sinespaciado"/>
        <w:ind w:left="567"/>
        <w:jc w:val="both"/>
        <w:rPr>
          <w:rFonts w:ascii="Arial" w:hAnsi="Arial" w:cs="Arial"/>
          <w:b/>
          <w:bCs/>
          <w:sz w:val="16"/>
          <w:szCs w:val="16"/>
        </w:rPr>
      </w:pPr>
      <w:r w:rsidRPr="00750ED8">
        <w:rPr>
          <w:rFonts w:ascii="Arial" w:hAnsi="Arial" w:cs="Arial"/>
          <w:b/>
          <w:bCs/>
          <w:sz w:val="16"/>
          <w:szCs w:val="16"/>
        </w:rPr>
        <w:t>Artículo 222.- Acto firme</w:t>
      </w:r>
    </w:p>
    <w:p w14:paraId="4ECDB5EA" w14:textId="77777777" w:rsidR="00911A42" w:rsidRPr="008D67F7" w:rsidRDefault="00911A42" w:rsidP="00911A42">
      <w:pPr>
        <w:pStyle w:val="Textonotapie"/>
        <w:widowControl w:val="0"/>
        <w:ind w:left="567"/>
        <w:jc w:val="both"/>
        <w:rPr>
          <w:rFonts w:ascii="Arial" w:hAnsi="Arial" w:cs="Arial"/>
          <w:sz w:val="16"/>
          <w:szCs w:val="16"/>
        </w:rPr>
      </w:pPr>
      <w:r w:rsidRPr="00750ED8">
        <w:rPr>
          <w:rFonts w:ascii="Arial" w:hAnsi="Arial" w:cs="Arial"/>
          <w:sz w:val="16"/>
          <w:szCs w:val="16"/>
        </w:rPr>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B4AD" w14:textId="77777777" w:rsidR="0035356D" w:rsidRPr="00894E26" w:rsidRDefault="001F1E4E" w:rsidP="00207E59">
    <w:pPr>
      <w:jc w:val="right"/>
      <w:rPr>
        <w:rFonts w:ascii="Arial Narrow" w:hAnsi="Arial Narrow" w:cs="Arial"/>
        <w:b/>
        <w:i/>
        <w:sz w:val="15"/>
        <w:szCs w:val="15"/>
      </w:rPr>
    </w:pPr>
    <w:r w:rsidRPr="00894E26">
      <w:rPr>
        <w:rFonts w:ascii="Arial Narrow" w:hAnsi="Arial Narrow"/>
        <w:noProof/>
        <w:sz w:val="15"/>
        <w:szCs w:val="15"/>
        <w:lang w:val="en-US" w:eastAsia="en-US"/>
      </w:rPr>
      <w:drawing>
        <wp:anchor distT="0" distB="0" distL="114300" distR="114300" simplePos="0" relativeHeight="251658240" behindDoc="0" locked="0" layoutInCell="1" allowOverlap="1" wp14:anchorId="01021821" wp14:editId="486468EE">
          <wp:simplePos x="0" y="0"/>
          <wp:positionH relativeFrom="margin">
            <wp:posOffset>-60960</wp:posOffset>
          </wp:positionH>
          <wp:positionV relativeFrom="paragraph">
            <wp:posOffset>-57785</wp:posOffset>
          </wp:positionV>
          <wp:extent cx="3429000" cy="514350"/>
          <wp:effectExtent l="0" t="0" r="0" b="0"/>
          <wp:wrapSquare wrapText="bothSides"/>
          <wp:docPr id="2091879985" name="Imagen 2091879985"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4E26">
      <w:rPr>
        <w:rFonts w:ascii="Arial Narrow" w:hAnsi="Arial Narrow" w:cs="Arial"/>
        <w:b/>
        <w:i/>
        <w:sz w:val="15"/>
        <w:szCs w:val="15"/>
      </w:rPr>
      <w:t>COMISIÓN DE PROTECCIÓN AL CONSUMIDOR N° 1</w:t>
    </w:r>
  </w:p>
  <w:p w14:paraId="0B031A95" w14:textId="77777777" w:rsidR="0035356D" w:rsidRPr="00894E26" w:rsidRDefault="001F1E4E" w:rsidP="00207E59">
    <w:pPr>
      <w:jc w:val="right"/>
      <w:rPr>
        <w:rFonts w:ascii="Arial Narrow" w:hAnsi="Arial Narrow" w:cs="Arial"/>
        <w:b/>
        <w:i/>
        <w:sz w:val="15"/>
        <w:szCs w:val="15"/>
      </w:rPr>
    </w:pPr>
    <w:r w:rsidRPr="00894E26">
      <w:rPr>
        <w:rFonts w:ascii="Arial Narrow" w:hAnsi="Arial Narrow" w:cs="Arial"/>
        <w:b/>
        <w:i/>
        <w:sz w:val="15"/>
        <w:szCs w:val="15"/>
      </w:rPr>
      <w:t>SEDE CENTRAL</w:t>
    </w:r>
  </w:p>
  <w:p w14:paraId="111F6F6B" w14:textId="77777777" w:rsidR="0035356D" w:rsidRPr="00894E26" w:rsidRDefault="0035356D" w:rsidP="00207E59">
    <w:pPr>
      <w:pStyle w:val="Encabezado"/>
      <w:rPr>
        <w:rFonts w:ascii="Arial Narrow" w:hAnsi="Arial Narrow" w:cs="Arial"/>
        <w:sz w:val="15"/>
        <w:szCs w:val="15"/>
      </w:rPr>
    </w:pPr>
  </w:p>
  <w:p w14:paraId="7E021291" w14:textId="134238EF" w:rsidR="0035356D" w:rsidRPr="00C416F4" w:rsidRDefault="001F1E4E" w:rsidP="00207E59">
    <w:pPr>
      <w:pStyle w:val="Encabezado"/>
      <w:rPr>
        <w:rFonts w:ascii="Arial Narrow" w:hAnsi="Arial Narrow" w:cs="Arial"/>
        <w:sz w:val="15"/>
        <w:szCs w:val="15"/>
        <w:lang w:val="es-ES"/>
      </w:rPr>
    </w:pPr>
    <w:r w:rsidRPr="18B83E1D">
      <w:rPr>
        <w:rFonts w:ascii="Arial Narrow" w:hAnsi="Arial Narrow" w:cs="Arial"/>
        <w:sz w:val="15"/>
        <w:szCs w:val="15"/>
        <w:lang w:val="es-ES"/>
      </w:rPr>
      <w:t xml:space="preserve">EXPEDIENTE Nº </w:t>
    </w:r>
    <w:r w:rsidR="00911A42">
      <w:rPr>
        <w:rFonts w:ascii="Arial Narrow" w:eastAsia="Arial Narrow" w:hAnsi="Arial Narrow" w:cs="Arial Narrow"/>
        <w:sz w:val="15"/>
        <w:szCs w:val="15"/>
        <w:lang w:val="pt-PT"/>
      </w:rPr>
      <w:t>2719</w:t>
    </w:r>
    <w:r w:rsidRPr="18B83E1D">
      <w:rPr>
        <w:rFonts w:ascii="Arial Narrow" w:hAnsi="Arial Narrow" w:cs="Arial"/>
        <w:sz w:val="15"/>
        <w:szCs w:val="15"/>
        <w:lang w:val="es-ES"/>
      </w:rPr>
      <w:t>-202</w:t>
    </w:r>
    <w:r w:rsidR="00911A42">
      <w:rPr>
        <w:rFonts w:ascii="Arial Narrow" w:hAnsi="Arial Narrow" w:cs="Arial"/>
        <w:sz w:val="15"/>
        <w:szCs w:val="15"/>
        <w:lang w:val="es-ES"/>
      </w:rPr>
      <w:t>5</w:t>
    </w:r>
    <w:r w:rsidRPr="18B83E1D">
      <w:rPr>
        <w:rFonts w:ascii="Arial Narrow" w:hAnsi="Arial Narrow" w:cs="Arial"/>
        <w:sz w:val="15"/>
        <w:szCs w:val="15"/>
        <w:lang w:val="es-ES"/>
      </w:rPr>
      <w:t>/CC1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35A2" w14:textId="77777777" w:rsidR="0035356D" w:rsidRDefault="001F1E4E" w:rsidP="00207E59">
    <w:pPr>
      <w:jc w:val="right"/>
      <w:rPr>
        <w:rFonts w:cs="Arial"/>
        <w:b/>
        <w:i/>
        <w:sz w:val="16"/>
      </w:rPr>
    </w:pPr>
    <w:r>
      <w:rPr>
        <w:rFonts w:cs="Arial"/>
        <w:b/>
        <w:i/>
        <w:sz w:val="16"/>
      </w:rPr>
      <w:t xml:space="preserve">COMISIÓN DE PROTECCIÓN AL </w:t>
    </w:r>
    <w:r w:rsidRPr="00617E31">
      <w:rPr>
        <w:rFonts w:cs="Arial"/>
        <w:b/>
        <w:i/>
        <w:sz w:val="16"/>
      </w:rPr>
      <w:t>CONSUMIDOR</w:t>
    </w:r>
  </w:p>
  <w:p w14:paraId="7FB4424B" w14:textId="77777777" w:rsidR="0035356D" w:rsidRPr="00617E31" w:rsidRDefault="001F1E4E" w:rsidP="00207E59">
    <w:pPr>
      <w:jc w:val="right"/>
      <w:rPr>
        <w:rFonts w:cs="Arial"/>
        <w:b/>
        <w:i/>
        <w:sz w:val="16"/>
      </w:rPr>
    </w:pPr>
    <w:r>
      <w:rPr>
        <w:rFonts w:cs="Arial"/>
        <w:b/>
        <w:i/>
        <w:sz w:val="16"/>
      </w:rPr>
      <w:t>SEDE CENTRAL</w:t>
    </w:r>
  </w:p>
  <w:p w14:paraId="41602B29" w14:textId="77777777" w:rsidR="0035356D" w:rsidRDefault="0035356D" w:rsidP="00207E59">
    <w:pPr>
      <w:pStyle w:val="Encabezado"/>
      <w:rPr>
        <w:rFonts w:cs="Arial"/>
      </w:rPr>
    </w:pPr>
  </w:p>
  <w:p w14:paraId="21649DBC" w14:textId="77777777" w:rsidR="0035356D" w:rsidRPr="000778DD" w:rsidRDefault="001F1E4E" w:rsidP="00207E59">
    <w:pPr>
      <w:pStyle w:val="Encabezado"/>
      <w:rPr>
        <w:rFonts w:ascii="Arial Narrow" w:hAnsi="Arial Narrow"/>
        <w:lang w:val="es-ES"/>
      </w:rPr>
    </w:pPr>
    <w:r w:rsidRPr="18B83E1D">
      <w:rPr>
        <w:rFonts w:cs="Arial"/>
        <w:lang w:val="es-ES"/>
      </w:rPr>
      <w:t xml:space="preserve">EXPEDIENTE Nº  </w:t>
    </w:r>
    <w:r w:rsidRPr="18B83E1D">
      <w:rPr>
        <w:rFonts w:cs="Arial"/>
        <w:highlight w:val="lightGray"/>
        <w:lang w:val="es-ES"/>
      </w:rPr>
      <w:t>xxx-20xx/CXX</w:t>
    </w:r>
  </w:p>
  <w:p w14:paraId="2C0406F8" w14:textId="77777777" w:rsidR="0035356D" w:rsidRDefault="0035356D">
    <w:pPr>
      <w:pStyle w:val="Encabezado"/>
      <w:rPr>
        <w:sz w:val="18"/>
      </w:rPr>
    </w:pPr>
  </w:p>
  <w:p w14:paraId="318C317C" w14:textId="77777777" w:rsidR="0035356D" w:rsidRDefault="003535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12B"/>
    <w:multiLevelType w:val="hybridMultilevel"/>
    <w:tmpl w:val="DDFE041E"/>
    <w:lvl w:ilvl="0" w:tplc="75187E72">
      <w:start w:val="6"/>
      <w:numFmt w:val="decimal"/>
      <w:lvlText w:val="%1."/>
      <w:lvlJc w:val="left"/>
      <w:pPr>
        <w:ind w:left="927"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4A5912"/>
    <w:multiLevelType w:val="hybridMultilevel"/>
    <w:tmpl w:val="2634E552"/>
    <w:lvl w:ilvl="0" w:tplc="7CCC04F0">
      <w:start w:val="7"/>
      <w:numFmt w:val="decimal"/>
      <w:lvlText w:val="%1."/>
      <w:lvlJc w:val="left"/>
      <w:pPr>
        <w:ind w:left="927" w:hanging="360"/>
      </w:pPr>
      <w:rPr>
        <w:rFonts w:hint="default"/>
        <w:b w:val="0"/>
        <w:bCs w:val="0"/>
        <w:i w:val="0"/>
        <w:i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D2455BE"/>
    <w:multiLevelType w:val="hybridMultilevel"/>
    <w:tmpl w:val="C0C4AF64"/>
    <w:lvl w:ilvl="0" w:tplc="FD4C158A">
      <w:start w:val="3"/>
      <w:numFmt w:val="decimal"/>
      <w:lvlText w:val="%1."/>
      <w:lvlJc w:val="left"/>
      <w:pPr>
        <w:ind w:left="927" w:hanging="360"/>
      </w:pPr>
      <w:rPr>
        <w:rFonts w:ascii="Arial" w:hAnsi="Arial" w:cs="Arial" w:hint="default"/>
        <w:b w:val="0"/>
        <w:bCs/>
        <w:i w:val="0"/>
        <w:iCs/>
        <w:color w:val="auto"/>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039E1966">
      <w:start w:val="1"/>
      <w:numFmt w:val="lowerRoman"/>
      <w:lvlText w:val="(%4)"/>
      <w:lvlJc w:val="left"/>
      <w:pPr>
        <w:ind w:left="927" w:hanging="360"/>
      </w:pPr>
      <w:rPr>
        <w:rFonts w:hint="default"/>
      </w:r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C68052C"/>
    <w:multiLevelType w:val="hybridMultilevel"/>
    <w:tmpl w:val="A440C666"/>
    <w:lvl w:ilvl="0" w:tplc="8488C1D4">
      <w:start w:val="1"/>
      <w:numFmt w:val="decimal"/>
      <w:lvlText w:val="%1."/>
      <w:lvlJc w:val="left"/>
      <w:pPr>
        <w:ind w:left="720" w:hanging="360"/>
      </w:pPr>
      <w:rPr>
        <w:rFonts w:hint="default"/>
        <w:b w:val="0"/>
        <w:bCs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D4A61F5"/>
    <w:multiLevelType w:val="hybridMultilevel"/>
    <w:tmpl w:val="705AC6CA"/>
    <w:lvl w:ilvl="0" w:tplc="9D4A8F0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D573DFE"/>
    <w:multiLevelType w:val="hybridMultilevel"/>
    <w:tmpl w:val="E8D83732"/>
    <w:lvl w:ilvl="0" w:tplc="C7DCE390">
      <w:start w:val="1"/>
      <w:numFmt w:val="decimal"/>
      <w:lvlText w:val="%1"/>
      <w:lvlJc w:val="left"/>
      <w:pPr>
        <w:ind w:left="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A2E0412">
      <w:start w:val="1"/>
      <w:numFmt w:val="lowerLetter"/>
      <w:lvlText w:val="%2"/>
      <w:lvlJc w:val="left"/>
      <w:pPr>
        <w:ind w:left="66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0341100">
      <w:start w:val="1"/>
      <w:numFmt w:val="decimal"/>
      <w:lvlRestart w:val="0"/>
      <w:lvlText w:val="%3."/>
      <w:lvlJc w:val="left"/>
      <w:pPr>
        <w:ind w:left="81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7E422154">
      <w:start w:val="1"/>
      <w:numFmt w:val="decimal"/>
      <w:lvlText w:val="%4"/>
      <w:lvlJc w:val="left"/>
      <w:pPr>
        <w:ind w:left="169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09B250B0">
      <w:start w:val="1"/>
      <w:numFmt w:val="lowerLetter"/>
      <w:lvlText w:val="%5"/>
      <w:lvlJc w:val="left"/>
      <w:pPr>
        <w:ind w:left="241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8C8C27E">
      <w:start w:val="1"/>
      <w:numFmt w:val="lowerRoman"/>
      <w:lvlText w:val="%6"/>
      <w:lvlJc w:val="left"/>
      <w:pPr>
        <w:ind w:left="313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09C671F8">
      <w:start w:val="1"/>
      <w:numFmt w:val="decimal"/>
      <w:lvlText w:val="%7"/>
      <w:lvlJc w:val="left"/>
      <w:pPr>
        <w:ind w:left="385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99747994">
      <w:start w:val="1"/>
      <w:numFmt w:val="lowerLetter"/>
      <w:lvlText w:val="%8"/>
      <w:lvlJc w:val="left"/>
      <w:pPr>
        <w:ind w:left="457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C2E44686">
      <w:start w:val="1"/>
      <w:numFmt w:val="lowerRoman"/>
      <w:lvlText w:val="%9"/>
      <w:lvlJc w:val="left"/>
      <w:pPr>
        <w:ind w:left="529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1D75506C"/>
    <w:multiLevelType w:val="hybridMultilevel"/>
    <w:tmpl w:val="C896D12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FF4154D"/>
    <w:multiLevelType w:val="hybridMultilevel"/>
    <w:tmpl w:val="3A00A2B6"/>
    <w:lvl w:ilvl="0" w:tplc="C09C99F6">
      <w:start w:val="1"/>
      <w:numFmt w:val="decimal"/>
      <w:lvlText w:val="%1."/>
      <w:lvlJc w:val="left"/>
      <w:pPr>
        <w:ind w:left="1494" w:hanging="360"/>
      </w:pPr>
      <w:rPr>
        <w:rFonts w:hint="default"/>
        <w:b w:val="0"/>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8" w15:restartNumberingAfterBreak="0">
    <w:nsid w:val="22BE0D1A"/>
    <w:multiLevelType w:val="hybridMultilevel"/>
    <w:tmpl w:val="0AB638D0"/>
    <w:lvl w:ilvl="0" w:tplc="FADA2D40">
      <w:start w:val="2"/>
      <w:numFmt w:val="decimal"/>
      <w:lvlText w:val="%1."/>
      <w:lvlJc w:val="left"/>
      <w:pPr>
        <w:ind w:left="1494" w:hanging="360"/>
      </w:pPr>
      <w:rPr>
        <w:rFonts w:ascii="Arial" w:hAnsi="Arial" w:cs="Arial" w:hint="default"/>
        <w:b w:val="0"/>
        <w:bCs/>
        <w:i w:val="0"/>
        <w:iCs/>
        <w:color w:val="auto"/>
        <w:sz w:val="22"/>
        <w:szCs w:val="22"/>
      </w:r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CD9A0780">
      <w:start w:val="1"/>
      <w:numFmt w:val="lowerRoman"/>
      <w:lvlText w:val="(%4)"/>
      <w:lvlJc w:val="left"/>
      <w:pPr>
        <w:ind w:left="3447" w:hanging="360"/>
      </w:pPr>
      <w:rPr>
        <w:rFonts w:ascii="Arial" w:eastAsia="Calibri" w:hAnsi="Arial" w:cs="Arial"/>
      </w:r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9" w15:restartNumberingAfterBreak="0">
    <w:nsid w:val="26D90118"/>
    <w:multiLevelType w:val="hybridMultilevel"/>
    <w:tmpl w:val="2F0EA474"/>
    <w:lvl w:ilvl="0" w:tplc="62B66BA8">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0" w15:restartNumberingAfterBreak="0">
    <w:nsid w:val="2AF07324"/>
    <w:multiLevelType w:val="hybridMultilevel"/>
    <w:tmpl w:val="996657AE"/>
    <w:lvl w:ilvl="0" w:tplc="1EC01220">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1" w15:restartNumberingAfterBreak="0">
    <w:nsid w:val="2CA042BB"/>
    <w:multiLevelType w:val="multilevel"/>
    <w:tmpl w:val="33686B00"/>
    <w:lvl w:ilvl="0">
      <w:start w:val="1"/>
      <w:numFmt w:val="upperRoman"/>
      <w:lvlText w:val="%1."/>
      <w:lvlJc w:val="left"/>
      <w:pPr>
        <w:ind w:left="710" w:firstLine="0"/>
      </w:pPr>
      <w:rPr>
        <w:rFonts w:hint="default"/>
      </w:rPr>
    </w:lvl>
    <w:lvl w:ilvl="1">
      <w:start w:val="23"/>
      <w:numFmt w:val="decimal"/>
      <w:lvlText w:val="%2."/>
      <w:lvlJc w:val="left"/>
      <w:pPr>
        <w:ind w:left="3146" w:firstLine="540"/>
      </w:pPr>
      <w:rPr>
        <w:rFonts w:ascii="Arial" w:eastAsia="Arial" w:hAnsi="Arial" w:cs="Arial" w:hint="default"/>
        <w:b w:val="0"/>
        <w:i w:val="0"/>
        <w:iCs w:val="0"/>
        <w:color w:val="auto"/>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928" w:hanging="360"/>
      </w:pPr>
      <w:rPr>
        <w:rFonts w:hint="default"/>
        <w:b w:val="0"/>
        <w:bCs w:val="0"/>
        <w:i w:val="0"/>
        <w:iCs w:val="0"/>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2" w15:restartNumberingAfterBreak="0">
    <w:nsid w:val="2CE16FC6"/>
    <w:multiLevelType w:val="hybridMultilevel"/>
    <w:tmpl w:val="AE767EE6"/>
    <w:lvl w:ilvl="0" w:tplc="B450DD96">
      <w:start w:val="2"/>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E5A6421"/>
    <w:multiLevelType w:val="hybridMultilevel"/>
    <w:tmpl w:val="F20A19E4"/>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9E774A"/>
    <w:multiLevelType w:val="hybridMultilevel"/>
    <w:tmpl w:val="E93AFDD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5" w15:restartNumberingAfterBreak="0">
    <w:nsid w:val="403A2318"/>
    <w:multiLevelType w:val="hybridMultilevel"/>
    <w:tmpl w:val="35BA8102"/>
    <w:lvl w:ilvl="0" w:tplc="225A219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4069310A"/>
    <w:multiLevelType w:val="hybridMultilevel"/>
    <w:tmpl w:val="D9FC4820"/>
    <w:lvl w:ilvl="0" w:tplc="517E9F2A">
      <w:start w:val="1"/>
      <w:numFmt w:val="lowerRoman"/>
      <w:lvlText w:val="(%1)"/>
      <w:lvlJc w:val="left"/>
      <w:pPr>
        <w:ind w:left="1854" w:hanging="720"/>
      </w:pPr>
      <w:rPr>
        <w:rFonts w:hint="default"/>
        <w:b w:val="0"/>
        <w:bCs/>
        <w:i w:val="0"/>
        <w:iCs w:val="0"/>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7" w15:restartNumberingAfterBreak="0">
    <w:nsid w:val="43A6088E"/>
    <w:multiLevelType w:val="hybridMultilevel"/>
    <w:tmpl w:val="96501804"/>
    <w:lvl w:ilvl="0" w:tplc="5AB8BC3A">
      <w:start w:val="1"/>
      <w:numFmt w:val="lowerRoman"/>
      <w:lvlText w:val="(%1)"/>
      <w:lvlJc w:val="left"/>
      <w:pPr>
        <w:ind w:left="1287" w:hanging="720"/>
      </w:pPr>
      <w:rPr>
        <w:rFonts w:eastAsia="Times New Roman" w:hint="default"/>
        <w:b w:val="0"/>
        <w:color w:val="auto"/>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4A53BFF"/>
    <w:multiLevelType w:val="hybridMultilevel"/>
    <w:tmpl w:val="95A0A36C"/>
    <w:lvl w:ilvl="0" w:tplc="FB76839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7ED1944"/>
    <w:multiLevelType w:val="hybridMultilevel"/>
    <w:tmpl w:val="1D86EEBC"/>
    <w:lvl w:ilvl="0" w:tplc="51D4A482">
      <w:start w:val="1"/>
      <w:numFmt w:val="decimal"/>
      <w:lvlText w:val="%1."/>
      <w:lvlJc w:val="left"/>
      <w:pPr>
        <w:ind w:left="720" w:hanging="360"/>
      </w:pPr>
      <w:rPr>
        <w:rFonts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C4D6EE7"/>
    <w:multiLevelType w:val="hybridMultilevel"/>
    <w:tmpl w:val="D256BDD0"/>
    <w:lvl w:ilvl="0" w:tplc="637298FE">
      <w:start w:val="13"/>
      <w:numFmt w:val="decimal"/>
      <w:lvlText w:val="%1."/>
      <w:lvlJc w:val="left"/>
      <w:pPr>
        <w:ind w:left="927" w:hanging="360"/>
      </w:pPr>
      <w:rPr>
        <w:rFonts w:ascii="Arial" w:hAnsi="Arial" w:cs="Arial" w:hint="default"/>
        <w:b w:val="0"/>
        <w:bCs/>
        <w:i w:val="0"/>
        <w:iCs/>
        <w:color w:val="auto"/>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F095245"/>
    <w:multiLevelType w:val="hybridMultilevel"/>
    <w:tmpl w:val="4398AF8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F9379D6"/>
    <w:multiLevelType w:val="hybridMultilevel"/>
    <w:tmpl w:val="56E053C2"/>
    <w:lvl w:ilvl="0" w:tplc="99C0CF74">
      <w:start w:val="1"/>
      <w:numFmt w:val="lowerRoman"/>
      <w:lvlText w:val="(%1)"/>
      <w:lvlJc w:val="left"/>
      <w:pPr>
        <w:ind w:left="1854" w:hanging="360"/>
      </w:pPr>
      <w:rPr>
        <w:rFonts w:hint="default"/>
        <w:i/>
        <w:iCs/>
        <w:sz w:val="20"/>
        <w:szCs w:val="2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3" w15:restartNumberingAfterBreak="0">
    <w:nsid w:val="4FE43537"/>
    <w:multiLevelType w:val="hybridMultilevel"/>
    <w:tmpl w:val="73D4F94C"/>
    <w:lvl w:ilvl="0" w:tplc="3794700C">
      <w:start w:val="1"/>
      <w:numFmt w:val="lowerRoman"/>
      <w:lvlText w:val="(%1)"/>
      <w:lvlJc w:val="left"/>
      <w:pPr>
        <w:ind w:left="1182" w:hanging="720"/>
      </w:pPr>
      <w:rPr>
        <w:rFonts w:hint="default"/>
      </w:rPr>
    </w:lvl>
    <w:lvl w:ilvl="1" w:tplc="280A0019" w:tentative="1">
      <w:start w:val="1"/>
      <w:numFmt w:val="lowerLetter"/>
      <w:lvlText w:val="%2."/>
      <w:lvlJc w:val="left"/>
      <w:pPr>
        <w:ind w:left="1542" w:hanging="360"/>
      </w:pPr>
    </w:lvl>
    <w:lvl w:ilvl="2" w:tplc="280A001B">
      <w:start w:val="1"/>
      <w:numFmt w:val="lowerRoman"/>
      <w:lvlText w:val="%3."/>
      <w:lvlJc w:val="right"/>
      <w:pPr>
        <w:ind w:left="2262" w:hanging="180"/>
      </w:pPr>
    </w:lvl>
    <w:lvl w:ilvl="3" w:tplc="280A000F">
      <w:start w:val="1"/>
      <w:numFmt w:val="decimal"/>
      <w:lvlText w:val="%4."/>
      <w:lvlJc w:val="left"/>
      <w:pPr>
        <w:ind w:left="2982" w:hanging="360"/>
      </w:pPr>
    </w:lvl>
    <w:lvl w:ilvl="4" w:tplc="280A0019" w:tentative="1">
      <w:start w:val="1"/>
      <w:numFmt w:val="lowerLetter"/>
      <w:lvlText w:val="%5."/>
      <w:lvlJc w:val="left"/>
      <w:pPr>
        <w:ind w:left="3702" w:hanging="360"/>
      </w:pPr>
    </w:lvl>
    <w:lvl w:ilvl="5" w:tplc="280A001B" w:tentative="1">
      <w:start w:val="1"/>
      <w:numFmt w:val="lowerRoman"/>
      <w:lvlText w:val="%6."/>
      <w:lvlJc w:val="right"/>
      <w:pPr>
        <w:ind w:left="4422" w:hanging="180"/>
      </w:pPr>
    </w:lvl>
    <w:lvl w:ilvl="6" w:tplc="280A000F" w:tentative="1">
      <w:start w:val="1"/>
      <w:numFmt w:val="decimal"/>
      <w:lvlText w:val="%7."/>
      <w:lvlJc w:val="left"/>
      <w:pPr>
        <w:ind w:left="5142" w:hanging="360"/>
      </w:pPr>
    </w:lvl>
    <w:lvl w:ilvl="7" w:tplc="280A0019" w:tentative="1">
      <w:start w:val="1"/>
      <w:numFmt w:val="lowerLetter"/>
      <w:lvlText w:val="%8."/>
      <w:lvlJc w:val="left"/>
      <w:pPr>
        <w:ind w:left="5862" w:hanging="360"/>
      </w:pPr>
    </w:lvl>
    <w:lvl w:ilvl="8" w:tplc="280A001B" w:tentative="1">
      <w:start w:val="1"/>
      <w:numFmt w:val="lowerRoman"/>
      <w:lvlText w:val="%9."/>
      <w:lvlJc w:val="right"/>
      <w:pPr>
        <w:ind w:left="6582" w:hanging="180"/>
      </w:pPr>
    </w:lvl>
  </w:abstractNum>
  <w:abstractNum w:abstractNumId="24" w15:restartNumberingAfterBreak="0">
    <w:nsid w:val="561C2CBB"/>
    <w:multiLevelType w:val="hybridMultilevel"/>
    <w:tmpl w:val="88A0C30E"/>
    <w:lvl w:ilvl="0" w:tplc="656445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6FE09C5"/>
    <w:multiLevelType w:val="hybridMultilevel"/>
    <w:tmpl w:val="CA968B90"/>
    <w:lvl w:ilvl="0" w:tplc="039E19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7691F0E"/>
    <w:multiLevelType w:val="hybridMultilevel"/>
    <w:tmpl w:val="F20A19E4"/>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3F7951"/>
    <w:multiLevelType w:val="hybridMultilevel"/>
    <w:tmpl w:val="C12086A4"/>
    <w:lvl w:ilvl="0" w:tplc="A4C0FA1C">
      <w:start w:val="1"/>
      <w:numFmt w:val="decimal"/>
      <w:lvlText w:val="%1"/>
      <w:lvlJc w:val="left"/>
      <w:pPr>
        <w:ind w:left="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6B22C2E">
      <w:start w:val="1"/>
      <w:numFmt w:val="lowerLetter"/>
      <w:lvlText w:val="%2"/>
      <w:lvlJc w:val="left"/>
      <w:pPr>
        <w:ind w:left="64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E6E098A">
      <w:start w:val="1"/>
      <w:numFmt w:val="lowerLetter"/>
      <w:lvlRestart w:val="0"/>
      <w:lvlText w:val="%3."/>
      <w:lvlJc w:val="left"/>
      <w:pPr>
        <w:ind w:left="7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02C171C">
      <w:start w:val="1"/>
      <w:numFmt w:val="decimal"/>
      <w:lvlText w:val="%4"/>
      <w:lvlJc w:val="left"/>
      <w:pPr>
        <w:ind w:left="16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040ECC10">
      <w:start w:val="1"/>
      <w:numFmt w:val="lowerLetter"/>
      <w:lvlText w:val="%5"/>
      <w:lvlJc w:val="left"/>
      <w:pPr>
        <w:ind w:left="23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0B262130">
      <w:start w:val="1"/>
      <w:numFmt w:val="lowerRoman"/>
      <w:lvlText w:val="%6"/>
      <w:lvlJc w:val="left"/>
      <w:pPr>
        <w:ind w:left="309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2364974">
      <w:start w:val="1"/>
      <w:numFmt w:val="decimal"/>
      <w:lvlText w:val="%7"/>
      <w:lvlJc w:val="left"/>
      <w:pPr>
        <w:ind w:left="381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7AA3E88">
      <w:start w:val="1"/>
      <w:numFmt w:val="lowerLetter"/>
      <w:lvlText w:val="%8"/>
      <w:lvlJc w:val="left"/>
      <w:pPr>
        <w:ind w:left="45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6EE256B8">
      <w:start w:val="1"/>
      <w:numFmt w:val="lowerRoman"/>
      <w:lvlText w:val="%9"/>
      <w:lvlJc w:val="left"/>
      <w:pPr>
        <w:ind w:left="52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8" w15:restartNumberingAfterBreak="0">
    <w:nsid w:val="5BD24670"/>
    <w:multiLevelType w:val="hybridMultilevel"/>
    <w:tmpl w:val="04DE01E0"/>
    <w:lvl w:ilvl="0" w:tplc="1B62C0C6">
      <w:start w:val="1"/>
      <w:numFmt w:val="lowerRoman"/>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9" w15:restartNumberingAfterBreak="0">
    <w:nsid w:val="5C1C64DA"/>
    <w:multiLevelType w:val="multilevel"/>
    <w:tmpl w:val="AA224DE0"/>
    <w:lvl w:ilvl="0">
      <w:start w:val="7"/>
      <w:numFmt w:val="decimal"/>
      <w:lvlText w:val="%1."/>
      <w:lvlJc w:val="left"/>
      <w:pPr>
        <w:ind w:left="502" w:firstLine="644"/>
      </w:pPr>
      <w:rPr>
        <w:rFonts w:ascii="Arial" w:eastAsia="Arial" w:hAnsi="Arial" w:cs="Arial" w:hint="default"/>
        <w:b w:val="0"/>
        <w:i w:val="0"/>
        <w:sz w:val="22"/>
        <w:szCs w:val="22"/>
      </w:rPr>
    </w:lvl>
    <w:lvl w:ilvl="1">
      <w:start w:val="1"/>
      <w:numFmt w:val="lowerLetter"/>
      <w:lvlText w:val="%2."/>
      <w:lvlJc w:val="left"/>
      <w:pPr>
        <w:ind w:left="1440" w:firstLine="2520"/>
      </w:pPr>
      <w:rPr>
        <w:rFonts w:hint="default"/>
      </w:rPr>
    </w:lvl>
    <w:lvl w:ilvl="2">
      <w:start w:val="1"/>
      <w:numFmt w:val="lowerRoman"/>
      <w:lvlText w:val="%3."/>
      <w:lvlJc w:val="right"/>
      <w:pPr>
        <w:ind w:left="2160" w:firstLine="4140"/>
      </w:pPr>
      <w:rPr>
        <w:rFonts w:hint="default"/>
      </w:rPr>
    </w:lvl>
    <w:lvl w:ilvl="3">
      <w:start w:val="1"/>
      <w:numFmt w:val="decimal"/>
      <w:lvlText w:val="%4."/>
      <w:lvlJc w:val="left"/>
      <w:pPr>
        <w:ind w:left="2880" w:firstLine="5400"/>
      </w:pPr>
      <w:rPr>
        <w:rFonts w:hint="default"/>
      </w:rPr>
    </w:lvl>
    <w:lvl w:ilvl="4">
      <w:start w:val="1"/>
      <w:numFmt w:val="lowerLetter"/>
      <w:lvlText w:val="%5."/>
      <w:lvlJc w:val="left"/>
      <w:pPr>
        <w:ind w:left="3600" w:firstLine="6840"/>
      </w:pPr>
      <w:rPr>
        <w:rFonts w:hint="default"/>
      </w:rPr>
    </w:lvl>
    <w:lvl w:ilvl="5">
      <w:start w:val="1"/>
      <w:numFmt w:val="lowerRoman"/>
      <w:lvlText w:val="%6."/>
      <w:lvlJc w:val="right"/>
      <w:pPr>
        <w:ind w:left="4320" w:firstLine="846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30" w15:restartNumberingAfterBreak="0">
    <w:nsid w:val="5CEE514F"/>
    <w:multiLevelType w:val="hybridMultilevel"/>
    <w:tmpl w:val="0A96849A"/>
    <w:lvl w:ilvl="0" w:tplc="710C44BC">
      <w:start w:val="1"/>
      <w:numFmt w:val="lowerRoman"/>
      <w:lvlText w:val="(%1)"/>
      <w:lvlJc w:val="left"/>
      <w:pPr>
        <w:ind w:left="1287" w:hanging="360"/>
      </w:pPr>
      <w:rPr>
        <w:b w:val="0"/>
        <w:bCs/>
      </w:r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1" w15:restartNumberingAfterBreak="0">
    <w:nsid w:val="5D432AD9"/>
    <w:multiLevelType w:val="hybridMultilevel"/>
    <w:tmpl w:val="F20A19E4"/>
    <w:lvl w:ilvl="0" w:tplc="62B66BA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23266A7"/>
    <w:multiLevelType w:val="hybridMultilevel"/>
    <w:tmpl w:val="58589B1E"/>
    <w:lvl w:ilvl="0" w:tplc="32F2B786">
      <w:start w:val="1"/>
      <w:numFmt w:val="lowerRoman"/>
      <w:lvlText w:val="(%1)"/>
      <w:lvlJc w:val="left"/>
      <w:pPr>
        <w:ind w:left="1854" w:hanging="360"/>
      </w:pPr>
      <w:rPr>
        <w:rFonts w:hint="default"/>
        <w:i/>
        <w:iCs/>
        <w:sz w:val="20"/>
        <w:szCs w:val="20"/>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33" w15:restartNumberingAfterBreak="0">
    <w:nsid w:val="69DB34E3"/>
    <w:multiLevelType w:val="hybridMultilevel"/>
    <w:tmpl w:val="D62016AC"/>
    <w:lvl w:ilvl="0" w:tplc="6ACA352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BCF333C"/>
    <w:multiLevelType w:val="multilevel"/>
    <w:tmpl w:val="3202D5B4"/>
    <w:lvl w:ilvl="0">
      <w:start w:val="3"/>
      <w:numFmt w:val="upperRoman"/>
      <w:lvlText w:val="%1."/>
      <w:lvlJc w:val="left"/>
      <w:pPr>
        <w:ind w:left="720" w:firstLine="0"/>
      </w:pPr>
      <w:rPr>
        <w:rFonts w:hint="default"/>
        <w:b/>
      </w:rPr>
    </w:lvl>
    <w:lvl w:ilvl="1">
      <w:start w:val="37"/>
      <w:numFmt w:val="decimal"/>
      <w:lvlText w:val="%2."/>
      <w:lvlJc w:val="left"/>
      <w:pPr>
        <w:ind w:left="900" w:firstLine="540"/>
      </w:pPr>
      <w:rPr>
        <w:rFonts w:ascii="Arial" w:eastAsia="Arial" w:hAnsi="Arial" w:cs="Arial" w:hint="default"/>
        <w:b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2880" w:firstLine="2520"/>
      </w:pPr>
      <w:rPr>
        <w:rFonts w:hint="default"/>
        <w:sz w:val="22"/>
        <w:szCs w:val="22"/>
      </w:rPr>
    </w:lvl>
    <w:lvl w:ilvl="4">
      <w:start w:val="1"/>
      <w:numFmt w:val="lowerLetter"/>
      <w:lvlText w:val="%5."/>
      <w:lvlJc w:val="left"/>
      <w:pPr>
        <w:ind w:left="3600" w:firstLine="3240"/>
      </w:pPr>
      <w:rPr>
        <w:rFonts w:ascii="Arial" w:eastAsia="Arial" w:hAnsi="Arial" w:cs="Arial" w:hint="default"/>
        <w:b w:val="0"/>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35" w15:restartNumberingAfterBreak="0">
    <w:nsid w:val="707D293B"/>
    <w:multiLevelType w:val="hybridMultilevel"/>
    <w:tmpl w:val="FEA81B26"/>
    <w:lvl w:ilvl="0" w:tplc="280A0019">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6" w15:restartNumberingAfterBreak="0">
    <w:nsid w:val="739E51CC"/>
    <w:multiLevelType w:val="hybridMultilevel"/>
    <w:tmpl w:val="1D489E40"/>
    <w:lvl w:ilvl="0" w:tplc="9A308D86">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55C1537"/>
    <w:multiLevelType w:val="hybridMultilevel"/>
    <w:tmpl w:val="0D78FA76"/>
    <w:lvl w:ilvl="0" w:tplc="DDDE0B48">
      <w:start w:val="1"/>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84E0863"/>
    <w:multiLevelType w:val="hybridMultilevel"/>
    <w:tmpl w:val="2ABCCD36"/>
    <w:lvl w:ilvl="0" w:tplc="59F80CB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8299768">
    <w:abstractNumId w:val="35"/>
  </w:num>
  <w:num w:numId="2" w16cid:durableId="408575983">
    <w:abstractNumId w:val="34"/>
    <w:lvlOverride w:ilvl="0">
      <w:startOverride w:val="3"/>
    </w:lvlOverride>
    <w:lvlOverride w:ilvl="1">
      <w:startOverride w:val="3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1219725">
    <w:abstractNumId w:val="12"/>
  </w:num>
  <w:num w:numId="4" w16cid:durableId="1909681184">
    <w:abstractNumId w:val="11"/>
  </w:num>
  <w:num w:numId="5" w16cid:durableId="112673405">
    <w:abstractNumId w:val="31"/>
  </w:num>
  <w:num w:numId="6" w16cid:durableId="996691465">
    <w:abstractNumId w:val="32"/>
  </w:num>
  <w:num w:numId="7" w16cid:durableId="147523231">
    <w:abstractNumId w:val="13"/>
  </w:num>
  <w:num w:numId="8" w16cid:durableId="307176554">
    <w:abstractNumId w:val="26"/>
  </w:num>
  <w:num w:numId="9" w16cid:durableId="1297951809">
    <w:abstractNumId w:val="37"/>
  </w:num>
  <w:num w:numId="10" w16cid:durableId="454830286">
    <w:abstractNumId w:val="17"/>
  </w:num>
  <w:num w:numId="11" w16cid:durableId="1646540983">
    <w:abstractNumId w:val="22"/>
  </w:num>
  <w:num w:numId="12" w16cid:durableId="859004460">
    <w:abstractNumId w:val="29"/>
  </w:num>
  <w:num w:numId="13" w16cid:durableId="1661078654">
    <w:abstractNumId w:val="8"/>
  </w:num>
  <w:num w:numId="14" w16cid:durableId="1235434412">
    <w:abstractNumId w:val="19"/>
  </w:num>
  <w:num w:numId="15" w16cid:durableId="1589652999">
    <w:abstractNumId w:val="25"/>
  </w:num>
  <w:num w:numId="16" w16cid:durableId="1773628180">
    <w:abstractNumId w:val="28"/>
  </w:num>
  <w:num w:numId="17" w16cid:durableId="1687056569">
    <w:abstractNumId w:val="20"/>
  </w:num>
  <w:num w:numId="18" w16cid:durableId="892544450">
    <w:abstractNumId w:val="24"/>
  </w:num>
  <w:num w:numId="19" w16cid:durableId="277831921">
    <w:abstractNumId w:val="36"/>
  </w:num>
  <w:num w:numId="20" w16cid:durableId="2117481626">
    <w:abstractNumId w:val="14"/>
  </w:num>
  <w:num w:numId="21" w16cid:durableId="1601259929">
    <w:abstractNumId w:val="23"/>
  </w:num>
  <w:num w:numId="22" w16cid:durableId="2142770805">
    <w:abstractNumId w:val="3"/>
  </w:num>
  <w:num w:numId="23" w16cid:durableId="17438591">
    <w:abstractNumId w:val="4"/>
  </w:num>
  <w:num w:numId="24" w16cid:durableId="2031762625">
    <w:abstractNumId w:val="33"/>
  </w:num>
  <w:num w:numId="25" w16cid:durableId="1732773837">
    <w:abstractNumId w:val="27"/>
  </w:num>
  <w:num w:numId="26" w16cid:durableId="195892559">
    <w:abstractNumId w:val="5"/>
  </w:num>
  <w:num w:numId="27" w16cid:durableId="1721396561">
    <w:abstractNumId w:val="18"/>
  </w:num>
  <w:num w:numId="28" w16cid:durableId="1516728013">
    <w:abstractNumId w:val="2"/>
  </w:num>
  <w:num w:numId="29" w16cid:durableId="1308897387">
    <w:abstractNumId w:val="9"/>
  </w:num>
  <w:num w:numId="30" w16cid:durableId="1073240756">
    <w:abstractNumId w:val="16"/>
  </w:num>
  <w:num w:numId="31" w16cid:durableId="308751202">
    <w:abstractNumId w:val="15"/>
  </w:num>
  <w:num w:numId="32" w16cid:durableId="560289581">
    <w:abstractNumId w:val="10"/>
  </w:num>
  <w:num w:numId="33" w16cid:durableId="1894385493">
    <w:abstractNumId w:val="1"/>
  </w:num>
  <w:num w:numId="34" w16cid:durableId="1178736028">
    <w:abstractNumId w:val="38"/>
  </w:num>
  <w:num w:numId="35" w16cid:durableId="1732118139">
    <w:abstractNumId w:val="30"/>
  </w:num>
  <w:num w:numId="36" w16cid:durableId="912816085">
    <w:abstractNumId w:val="0"/>
  </w:num>
  <w:num w:numId="37" w16cid:durableId="1083381173">
    <w:abstractNumId w:val="6"/>
  </w:num>
  <w:num w:numId="38" w16cid:durableId="1487015663">
    <w:abstractNumId w:val="21"/>
  </w:num>
  <w:num w:numId="39" w16cid:durableId="16181733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A2B"/>
    <w:rsid w:val="00012996"/>
    <w:rsid w:val="000230EE"/>
    <w:rsid w:val="00070DA5"/>
    <w:rsid w:val="000768C7"/>
    <w:rsid w:val="000832E1"/>
    <w:rsid w:val="000B29F0"/>
    <w:rsid w:val="000C3C41"/>
    <w:rsid w:val="000D2C8D"/>
    <w:rsid w:val="00125EC3"/>
    <w:rsid w:val="00135356"/>
    <w:rsid w:val="001F0D8A"/>
    <w:rsid w:val="001F1E4E"/>
    <w:rsid w:val="00200637"/>
    <w:rsid w:val="00207E59"/>
    <w:rsid w:val="002306C0"/>
    <w:rsid w:val="00244561"/>
    <w:rsid w:val="00247B65"/>
    <w:rsid w:val="002872AE"/>
    <w:rsid w:val="00290EF9"/>
    <w:rsid w:val="002948F0"/>
    <w:rsid w:val="002A4075"/>
    <w:rsid w:val="002C0A52"/>
    <w:rsid w:val="002D0BE1"/>
    <w:rsid w:val="002F61D3"/>
    <w:rsid w:val="00333BB9"/>
    <w:rsid w:val="00350929"/>
    <w:rsid w:val="0035148E"/>
    <w:rsid w:val="0035356D"/>
    <w:rsid w:val="00355143"/>
    <w:rsid w:val="00364901"/>
    <w:rsid w:val="00385404"/>
    <w:rsid w:val="003A2DB5"/>
    <w:rsid w:val="003D27DA"/>
    <w:rsid w:val="003D68B9"/>
    <w:rsid w:val="003F2F5F"/>
    <w:rsid w:val="004332C0"/>
    <w:rsid w:val="004937FA"/>
    <w:rsid w:val="00504D1F"/>
    <w:rsid w:val="00513123"/>
    <w:rsid w:val="00523671"/>
    <w:rsid w:val="00577DA1"/>
    <w:rsid w:val="005827AF"/>
    <w:rsid w:val="005A13BF"/>
    <w:rsid w:val="005A572A"/>
    <w:rsid w:val="005B0BB5"/>
    <w:rsid w:val="005B2313"/>
    <w:rsid w:val="005B59FE"/>
    <w:rsid w:val="006400E9"/>
    <w:rsid w:val="00650551"/>
    <w:rsid w:val="0068273C"/>
    <w:rsid w:val="00692F5E"/>
    <w:rsid w:val="006A1A97"/>
    <w:rsid w:val="00704C66"/>
    <w:rsid w:val="00707520"/>
    <w:rsid w:val="00723272"/>
    <w:rsid w:val="00750ED8"/>
    <w:rsid w:val="00777724"/>
    <w:rsid w:val="0078654B"/>
    <w:rsid w:val="007C61B0"/>
    <w:rsid w:val="007E7A6F"/>
    <w:rsid w:val="00814058"/>
    <w:rsid w:val="00816208"/>
    <w:rsid w:val="0082307A"/>
    <w:rsid w:val="00831514"/>
    <w:rsid w:val="0083223D"/>
    <w:rsid w:val="00857A83"/>
    <w:rsid w:val="0089496C"/>
    <w:rsid w:val="008E3A2B"/>
    <w:rsid w:val="00911A42"/>
    <w:rsid w:val="00956B11"/>
    <w:rsid w:val="0096573C"/>
    <w:rsid w:val="00966FEA"/>
    <w:rsid w:val="0097057D"/>
    <w:rsid w:val="00980CBF"/>
    <w:rsid w:val="009A037E"/>
    <w:rsid w:val="009F07F0"/>
    <w:rsid w:val="009F356D"/>
    <w:rsid w:val="00A6722A"/>
    <w:rsid w:val="00A74F1F"/>
    <w:rsid w:val="00A94E6D"/>
    <w:rsid w:val="00AB79E6"/>
    <w:rsid w:val="00AD39B9"/>
    <w:rsid w:val="00AD5CD0"/>
    <w:rsid w:val="00AF6378"/>
    <w:rsid w:val="00B054EE"/>
    <w:rsid w:val="00B36A9D"/>
    <w:rsid w:val="00B41E42"/>
    <w:rsid w:val="00B42FA6"/>
    <w:rsid w:val="00B510BE"/>
    <w:rsid w:val="00B52258"/>
    <w:rsid w:val="00B937CA"/>
    <w:rsid w:val="00BB30CF"/>
    <w:rsid w:val="00BC6D81"/>
    <w:rsid w:val="00BE422A"/>
    <w:rsid w:val="00C51699"/>
    <w:rsid w:val="00C52D09"/>
    <w:rsid w:val="00C856DE"/>
    <w:rsid w:val="00CD6981"/>
    <w:rsid w:val="00CF405E"/>
    <w:rsid w:val="00CF6B1F"/>
    <w:rsid w:val="00CF751C"/>
    <w:rsid w:val="00D03B43"/>
    <w:rsid w:val="00D172B0"/>
    <w:rsid w:val="00D26011"/>
    <w:rsid w:val="00D667EA"/>
    <w:rsid w:val="00D87750"/>
    <w:rsid w:val="00D94461"/>
    <w:rsid w:val="00D97A8A"/>
    <w:rsid w:val="00E06EEB"/>
    <w:rsid w:val="00E3224D"/>
    <w:rsid w:val="00E4209B"/>
    <w:rsid w:val="00E7175B"/>
    <w:rsid w:val="00ED74AD"/>
    <w:rsid w:val="00F02F45"/>
    <w:rsid w:val="00F1503A"/>
    <w:rsid w:val="00F21E1D"/>
    <w:rsid w:val="00F45F4D"/>
    <w:rsid w:val="00F7595C"/>
    <w:rsid w:val="00F900F1"/>
    <w:rsid w:val="00F9060D"/>
    <w:rsid w:val="00F94B12"/>
    <w:rsid w:val="00FD436D"/>
    <w:rsid w:val="0CF7E968"/>
    <w:rsid w:val="225CDFD4"/>
    <w:rsid w:val="24D66C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0574A"/>
  <w15:chartTrackingRefBased/>
  <w15:docId w15:val="{7ADDD9DC-773A-46B1-BF2D-E9FA6B0D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A2B"/>
    <w:pPr>
      <w:spacing w:after="0" w:line="240" w:lineRule="auto"/>
    </w:pPr>
    <w:rPr>
      <w:rFonts w:ascii="Arial" w:eastAsia="Times New Roman" w:hAnsi="Arial" w:cs="Times New Roman"/>
      <w:kern w:val="0"/>
      <w:szCs w:val="20"/>
      <w:lang w:val="es-ES" w:eastAsia="es-ES"/>
      <w14:ligatures w14:val="none"/>
    </w:rPr>
  </w:style>
  <w:style w:type="paragraph" w:styleId="Ttulo1">
    <w:name w:val="heading 1"/>
    <w:basedOn w:val="Normal"/>
    <w:next w:val="Normal"/>
    <w:link w:val="Ttulo1Car"/>
    <w:uiPriority w:val="9"/>
    <w:qFormat/>
    <w:rsid w:val="008E3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3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3A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A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A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A2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A2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A2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A2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A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3A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3A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3A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3A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3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3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3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3A2B"/>
    <w:rPr>
      <w:rFonts w:eastAsiaTheme="majorEastAsia" w:cstheme="majorBidi"/>
      <w:color w:val="272727" w:themeColor="text1" w:themeTint="D8"/>
    </w:rPr>
  </w:style>
  <w:style w:type="paragraph" w:styleId="Ttulo">
    <w:name w:val="Title"/>
    <w:basedOn w:val="Normal"/>
    <w:next w:val="Normal"/>
    <w:link w:val="TtuloCar"/>
    <w:uiPriority w:val="10"/>
    <w:qFormat/>
    <w:rsid w:val="008E3A2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3A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3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3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A2B"/>
    <w:pPr>
      <w:spacing w:before="160"/>
      <w:jc w:val="center"/>
    </w:pPr>
    <w:rPr>
      <w:i/>
      <w:iCs/>
      <w:color w:val="404040" w:themeColor="text1" w:themeTint="BF"/>
    </w:rPr>
  </w:style>
  <w:style w:type="character" w:customStyle="1" w:styleId="CitaCar">
    <w:name w:val="Cita Car"/>
    <w:basedOn w:val="Fuentedeprrafopredeter"/>
    <w:link w:val="Cita"/>
    <w:uiPriority w:val="29"/>
    <w:rsid w:val="008E3A2B"/>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8E3A2B"/>
    <w:pPr>
      <w:ind w:left="720"/>
      <w:contextualSpacing/>
    </w:pPr>
  </w:style>
  <w:style w:type="character" w:styleId="nfasisintenso">
    <w:name w:val="Intense Emphasis"/>
    <w:basedOn w:val="Fuentedeprrafopredeter"/>
    <w:uiPriority w:val="21"/>
    <w:qFormat/>
    <w:rsid w:val="008E3A2B"/>
    <w:rPr>
      <w:i/>
      <w:iCs/>
      <w:color w:val="0F4761" w:themeColor="accent1" w:themeShade="BF"/>
    </w:rPr>
  </w:style>
  <w:style w:type="paragraph" w:styleId="Citadestacada">
    <w:name w:val="Intense Quote"/>
    <w:basedOn w:val="Normal"/>
    <w:next w:val="Normal"/>
    <w:link w:val="CitadestacadaCar"/>
    <w:uiPriority w:val="30"/>
    <w:qFormat/>
    <w:rsid w:val="008E3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3A2B"/>
    <w:rPr>
      <w:i/>
      <w:iCs/>
      <w:color w:val="0F4761" w:themeColor="accent1" w:themeShade="BF"/>
    </w:rPr>
  </w:style>
  <w:style w:type="character" w:styleId="Referenciaintensa">
    <w:name w:val="Intense Reference"/>
    <w:basedOn w:val="Fuentedeprrafopredeter"/>
    <w:uiPriority w:val="32"/>
    <w:qFormat/>
    <w:rsid w:val="008E3A2B"/>
    <w:rPr>
      <w:b/>
      <w:bCs/>
      <w:smallCaps/>
      <w:color w:val="0F4761" w:themeColor="accent1" w:themeShade="BF"/>
      <w:spacing w:val="5"/>
    </w:rPr>
  </w:style>
  <w:style w:type="paragraph" w:styleId="Encabezado">
    <w:name w:val="header"/>
    <w:basedOn w:val="Normal"/>
    <w:link w:val="EncabezadoCar"/>
    <w:uiPriority w:val="99"/>
    <w:rsid w:val="008E3A2B"/>
    <w:pPr>
      <w:jc w:val="right"/>
    </w:pPr>
    <w:rPr>
      <w:b/>
      <w:i/>
      <w:sz w:val="16"/>
      <w:lang w:val="es-ES_tradnl"/>
    </w:rPr>
  </w:style>
  <w:style w:type="character" w:customStyle="1" w:styleId="EncabezadoCar">
    <w:name w:val="Encabezado Car"/>
    <w:basedOn w:val="Fuentedeprrafopredeter"/>
    <w:link w:val="Encabezado"/>
    <w:uiPriority w:val="99"/>
    <w:rsid w:val="008E3A2B"/>
    <w:rPr>
      <w:rFonts w:ascii="Arial" w:eastAsia="Times New Roman" w:hAnsi="Arial" w:cs="Times New Roman"/>
      <w:b/>
      <w:i/>
      <w:kern w:val="0"/>
      <w:sz w:val="16"/>
      <w:szCs w:val="20"/>
      <w:lang w:val="es-ES_tradnl" w:eastAsia="es-ES"/>
      <w14:ligatures w14:val="none"/>
    </w:rPr>
  </w:style>
  <w:style w:type="paragraph" w:styleId="Piedepgina">
    <w:name w:val="footer"/>
    <w:basedOn w:val="Normal"/>
    <w:link w:val="PiedepginaCar"/>
    <w:uiPriority w:val="99"/>
    <w:rsid w:val="008E3A2B"/>
    <w:pPr>
      <w:jc w:val="both"/>
    </w:pPr>
    <w:rPr>
      <w:sz w:val="16"/>
      <w:lang w:val="es-ES_tradnl" w:eastAsia="x-none"/>
    </w:rPr>
  </w:style>
  <w:style w:type="character" w:customStyle="1" w:styleId="PiedepginaCar">
    <w:name w:val="Pie de página Car"/>
    <w:basedOn w:val="Fuentedeprrafopredeter"/>
    <w:link w:val="Piedepgina"/>
    <w:uiPriority w:val="99"/>
    <w:rsid w:val="008E3A2B"/>
    <w:rPr>
      <w:rFonts w:ascii="Arial" w:eastAsia="Times New Roman" w:hAnsi="Arial" w:cs="Times New Roman"/>
      <w:kern w:val="0"/>
      <w:sz w:val="16"/>
      <w:szCs w:val="20"/>
      <w:lang w:val="es-ES_tradnl" w:eastAsia="x-none"/>
      <w14:ligatures w14:val="none"/>
    </w:rPr>
  </w:style>
  <w:style w:type="paragraph" w:customStyle="1" w:styleId="Descriptores">
    <w:name w:val="Descriptores"/>
    <w:basedOn w:val="Normal"/>
    <w:rsid w:val="008E3A2B"/>
    <w:pPr>
      <w:widowControl w:val="0"/>
    </w:pPr>
    <w:rPr>
      <w:b/>
      <w:sz w:val="20"/>
      <w:lang w:val="es-ES_tradnl"/>
    </w:rPr>
  </w:style>
  <w:style w:type="character" w:styleId="Nmerodepgina">
    <w:name w:val="page number"/>
    <w:basedOn w:val="Fuentedeprrafopredeter"/>
    <w:rsid w:val="008E3A2B"/>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8E3A2B"/>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link w:val="Texto1"/>
    <w:unhideWhenUsed/>
    <w:qFormat/>
    <w:rsid w:val="008E3A2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E3A2B"/>
    <w:rPr>
      <w:rFonts w:asciiTheme="minorHAnsi" w:eastAsiaTheme="minorHAnsi" w:hAnsiTheme="minorHAnsi" w:cstheme="minorBidi"/>
      <w:kern w:val="2"/>
      <w:szCs w:val="22"/>
      <w:vertAlign w:val="superscript"/>
      <w:lang w:val="es-PE" w:eastAsia="en-US"/>
      <w14:ligatures w14:val="standardContextual"/>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E3A2B"/>
    <w:rPr>
      <w:rFonts w:ascii="Calibri" w:eastAsia="Calibri" w:hAnsi="Calibri" w:cs="Calibri"/>
      <w:color w:val="000000"/>
      <w:sz w:val="20"/>
      <w:lang w:val="es-PE" w:eastAsia="es-PE"/>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E3A2B"/>
    <w:rPr>
      <w:rFonts w:ascii="Calibri" w:eastAsia="Calibri" w:hAnsi="Calibri" w:cs="Calibri"/>
      <w:color w:val="000000"/>
      <w:kern w:val="0"/>
      <w:sz w:val="20"/>
      <w:szCs w:val="20"/>
      <w:lang w:eastAsia="es-PE"/>
      <w14:ligatures w14:val="none"/>
    </w:rPr>
  </w:style>
  <w:style w:type="paragraph" w:styleId="Sinespaciado">
    <w:name w:val="No Spacing"/>
    <w:link w:val="SinespaciadoCar"/>
    <w:uiPriority w:val="1"/>
    <w:qFormat/>
    <w:rsid w:val="008E3A2B"/>
    <w:pPr>
      <w:widowControl w:val="0"/>
      <w:spacing w:after="0" w:line="240" w:lineRule="auto"/>
      <w:contextualSpacing/>
    </w:pPr>
    <w:rPr>
      <w:rFonts w:ascii="Times New Roman" w:eastAsia="Times New Roman" w:hAnsi="Times New Roman" w:cs="Times New Roman"/>
      <w:color w:val="000000"/>
      <w:kern w:val="0"/>
      <w:sz w:val="20"/>
      <w:szCs w:val="20"/>
      <w:lang w:eastAsia="es-PE"/>
      <w14:ligatures w14:val="none"/>
    </w:rPr>
  </w:style>
  <w:style w:type="character" w:customStyle="1" w:styleId="SinespaciadoCar">
    <w:name w:val="Sin espaciado Car"/>
    <w:basedOn w:val="Fuentedeprrafopredeter"/>
    <w:link w:val="Sinespaciado"/>
    <w:uiPriority w:val="1"/>
    <w:qFormat/>
    <w:locked/>
    <w:rsid w:val="008E3A2B"/>
    <w:rPr>
      <w:rFonts w:ascii="Times New Roman" w:eastAsia="Times New Roman" w:hAnsi="Times New Roman" w:cs="Times New Roman"/>
      <w:color w:val="000000"/>
      <w:kern w:val="0"/>
      <w:sz w:val="20"/>
      <w:szCs w:val="20"/>
      <w:lang w:eastAsia="es-PE"/>
      <w14:ligatures w14:val="none"/>
    </w:rPr>
  </w:style>
  <w:style w:type="character" w:customStyle="1" w:styleId="normaltextrun">
    <w:name w:val="normaltextrun"/>
    <w:basedOn w:val="Fuentedeprrafopredeter"/>
    <w:rsid w:val="008E3A2B"/>
  </w:style>
  <w:style w:type="table" w:styleId="Tablaconcuadrcula">
    <w:name w:val="Table Grid"/>
    <w:basedOn w:val="Tablanormal"/>
    <w:uiPriority w:val="39"/>
    <w:qFormat/>
    <w:rsid w:val="008E3A2B"/>
    <w:pPr>
      <w:spacing w:after="0" w:line="240" w:lineRule="auto"/>
    </w:pPr>
    <w:rPr>
      <w:rFonts w:ascii="Calibri" w:eastAsia="Times New Roman" w:hAnsi="Calibri" w:cs="Calibri"/>
      <w:color w:val="000000"/>
      <w:kern w:val="0"/>
      <w:lang w:eastAsia="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ar"/>
    <w:uiPriority w:val="99"/>
    <w:unhideWhenUsed/>
    <w:rsid w:val="008E3A2B"/>
    <w:pPr>
      <w:spacing w:before="100" w:beforeAutospacing="1" w:after="100" w:afterAutospacing="1"/>
      <w:jc w:val="both"/>
    </w:pPr>
    <w:rPr>
      <w:rFonts w:ascii="Times New Roman" w:hAnsi="Times New Roman"/>
      <w:color w:val="000000"/>
      <w:sz w:val="24"/>
      <w:szCs w:val="24"/>
      <w:lang w:val="es-PE" w:eastAsia="es-PE"/>
    </w:rPr>
  </w:style>
  <w:style w:type="character" w:customStyle="1" w:styleId="NormalWebCar">
    <w:name w:val="Normal (Web) Car"/>
    <w:link w:val="NormalWeb"/>
    <w:uiPriority w:val="99"/>
    <w:locked/>
    <w:rsid w:val="008E3A2B"/>
    <w:rPr>
      <w:rFonts w:ascii="Times New Roman" w:eastAsia="Times New Roman" w:hAnsi="Times New Roman" w:cs="Times New Roman"/>
      <w:color w:val="000000"/>
      <w:kern w:val="0"/>
      <w:sz w:val="24"/>
      <w:szCs w:val="24"/>
      <w:lang w:eastAsia="es-PE"/>
      <w14:ligatures w14:val="none"/>
    </w:rPr>
  </w:style>
  <w:style w:type="paragraph" w:customStyle="1" w:styleId="paragraph">
    <w:name w:val="paragraph"/>
    <w:basedOn w:val="Normal"/>
    <w:rsid w:val="00F94B12"/>
    <w:pPr>
      <w:spacing w:before="100" w:beforeAutospacing="1" w:after="100" w:afterAutospacing="1"/>
    </w:pPr>
    <w:rPr>
      <w:rFonts w:ascii="Times New Roman" w:hAnsi="Times New Roman"/>
      <w:sz w:val="24"/>
      <w:szCs w:val="24"/>
      <w:lang w:val="es-PE" w:eastAsia="es-PE"/>
    </w:rPr>
  </w:style>
  <w:style w:type="character" w:styleId="Refdecomentario">
    <w:name w:val="annotation reference"/>
    <w:basedOn w:val="Fuentedeprrafopredeter"/>
    <w:uiPriority w:val="99"/>
    <w:semiHidden/>
    <w:unhideWhenUsed/>
    <w:rsid w:val="00350929"/>
    <w:rPr>
      <w:sz w:val="16"/>
      <w:szCs w:val="16"/>
    </w:rPr>
  </w:style>
  <w:style w:type="paragraph" w:styleId="Textocomentario">
    <w:name w:val="annotation text"/>
    <w:basedOn w:val="Normal"/>
    <w:link w:val="TextocomentarioCar"/>
    <w:uiPriority w:val="99"/>
    <w:unhideWhenUsed/>
    <w:rsid w:val="00350929"/>
    <w:rPr>
      <w:sz w:val="20"/>
    </w:rPr>
  </w:style>
  <w:style w:type="character" w:customStyle="1" w:styleId="TextocomentarioCar">
    <w:name w:val="Texto comentario Car"/>
    <w:basedOn w:val="Fuentedeprrafopredeter"/>
    <w:link w:val="Textocomentario"/>
    <w:uiPriority w:val="99"/>
    <w:rsid w:val="00350929"/>
    <w:rPr>
      <w:rFonts w:ascii="Arial" w:eastAsia="Times New Roman" w:hAnsi="Arial"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350929"/>
    <w:rPr>
      <w:b/>
      <w:bCs/>
    </w:rPr>
  </w:style>
  <w:style w:type="character" w:customStyle="1" w:styleId="AsuntodelcomentarioCar">
    <w:name w:val="Asunto del comentario Car"/>
    <w:basedOn w:val="TextocomentarioCar"/>
    <w:link w:val="Asuntodelcomentario"/>
    <w:uiPriority w:val="99"/>
    <w:semiHidden/>
    <w:rsid w:val="00350929"/>
    <w:rPr>
      <w:rFonts w:ascii="Arial" w:eastAsia="Times New Roman" w:hAnsi="Arial" w:cs="Times New Roman"/>
      <w:b/>
      <w:bCs/>
      <w:kern w:val="0"/>
      <w:sz w:val="20"/>
      <w:szCs w:val="20"/>
      <w:lang w:val="es-ES" w:eastAsia="es-ES"/>
      <w14:ligatures w14:val="none"/>
    </w:rPr>
  </w:style>
  <w:style w:type="paragraph" w:customStyle="1" w:styleId="Default">
    <w:name w:val="Default"/>
    <w:rsid w:val="003D68B9"/>
    <w:pPr>
      <w:autoSpaceDE w:val="0"/>
      <w:autoSpaceDN w:val="0"/>
      <w:adjustRightInd w:val="0"/>
      <w:spacing w:after="0" w:line="240" w:lineRule="auto"/>
    </w:pPr>
    <w:rPr>
      <w:rFonts w:ascii="Arial" w:eastAsia="Arial" w:hAnsi="Arial" w:cs="Arial"/>
      <w:color w:val="000000"/>
      <w:kern w:val="0"/>
      <w:sz w:val="24"/>
      <w:szCs w:val="24"/>
      <w:lang w:eastAsia="es-PE"/>
      <w14:ligatures w14:val="none"/>
    </w:rPr>
  </w:style>
  <w:style w:type="character" w:customStyle="1" w:styleId="eop">
    <w:name w:val="eop"/>
    <w:basedOn w:val="Fuentedeprrafopredeter"/>
    <w:rsid w:val="003D68B9"/>
  </w:style>
  <w:style w:type="paragraph" w:customStyle="1" w:styleId="TextoNumerado">
    <w:name w:val="Texto Numerado"/>
    <w:basedOn w:val="Normal"/>
    <w:link w:val="TextoNumeradoCar"/>
    <w:qFormat/>
    <w:rsid w:val="00BB30CF"/>
    <w:pPr>
      <w:contextualSpacing/>
      <w:jc w:val="both"/>
    </w:pPr>
    <w:rPr>
      <w:rFonts w:cs="Arial"/>
      <w:szCs w:val="22"/>
      <w:lang w:val="es-ES_tradnl"/>
    </w:rPr>
  </w:style>
  <w:style w:type="character" w:customStyle="1" w:styleId="TextoNumeradoCar">
    <w:name w:val="Texto Numerado Car"/>
    <w:basedOn w:val="Fuentedeprrafopredeter"/>
    <w:link w:val="TextoNumerado"/>
    <w:rsid w:val="00BB30CF"/>
    <w:rPr>
      <w:rFonts w:ascii="Arial" w:eastAsia="Times New Roman" w:hAnsi="Arial" w:cs="Arial"/>
      <w:kern w:val="0"/>
      <w:lang w:val="es-ES_tradnl" w:eastAsia="es-ES"/>
      <w14:ligatures w14:val="none"/>
    </w:rPr>
  </w:style>
  <w:style w:type="character" w:styleId="Fuerte">
    <w:name w:val="Strong"/>
    <w:basedOn w:val="Fuentedeprrafopredeter"/>
    <w:uiPriority w:val="22"/>
    <w:qFormat/>
    <w:rsid w:val="00BB3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D53DSPH32EA6-2140295666-7585</_dlc_DocId>
    <_dlc_DocIdUrl xmlns="d6ca5d36-5c9f-4653-bec8-1cb66b9015e0">
      <Url>https://indecopi.sharepoint.com/sites/cc1_docs/_layouts/15/DocIdRedir.aspx?ID=D53DSPH32EA6-2140295666-7585</Url>
      <Description>D53DSPH32EA6-2140295666-7585</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AD8E627DB2F64B8BF94DF38D693D1D" ma:contentTypeVersion="4" ma:contentTypeDescription="Crear nuevo documento." ma:contentTypeScope="" ma:versionID="4500282669b915a4699af9d62fbd7ca6">
  <xsd:schema xmlns:xsd="http://www.w3.org/2001/XMLSchema" xmlns:xs="http://www.w3.org/2001/XMLSchema" xmlns:p="http://schemas.microsoft.com/office/2006/metadata/properties" xmlns:ns2="d6ca5d36-5c9f-4653-bec8-1cb66b9015e0" xmlns:ns3="21bb1ad9-e343-4501-a898-edd65eebadd3" targetNamespace="http://schemas.microsoft.com/office/2006/metadata/properties" ma:root="true" ma:fieldsID="b7b0c7e87c86f22b92cf2b0ea8d576b8" ns2:_="" ns3:_="">
    <xsd:import namespace="d6ca5d36-5c9f-4653-bec8-1cb66b9015e0"/>
    <xsd:import namespace="21bb1ad9-e343-4501-a898-edd65eebadd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1bb1ad9-e343-4501-a898-edd65eebad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1320E4-17E7-4DBE-B138-A28F1C158738}">
  <ds:schemaRefs>
    <ds:schemaRef ds:uri="http://schemas.microsoft.com/office/2006/metadata/properties"/>
    <ds:schemaRef ds:uri="http://schemas.microsoft.com/office/infopath/2007/PartnerControls"/>
    <ds:schemaRef ds:uri="d6ca5d36-5c9f-4653-bec8-1cb66b9015e0"/>
  </ds:schemaRefs>
</ds:datastoreItem>
</file>

<file path=customXml/itemProps2.xml><?xml version="1.0" encoding="utf-8"?>
<ds:datastoreItem xmlns:ds="http://schemas.openxmlformats.org/officeDocument/2006/customXml" ds:itemID="{E2250445-B0E6-4A58-9BCF-71A229AE0DBD}">
  <ds:schemaRefs>
    <ds:schemaRef ds:uri="http://schemas.openxmlformats.org/officeDocument/2006/bibliography"/>
  </ds:schemaRefs>
</ds:datastoreItem>
</file>

<file path=customXml/itemProps3.xml><?xml version="1.0" encoding="utf-8"?>
<ds:datastoreItem xmlns:ds="http://schemas.openxmlformats.org/officeDocument/2006/customXml" ds:itemID="{B3F0A787-4EA1-4E56-A36D-7BB17DA85717}">
  <ds:schemaRefs>
    <ds:schemaRef ds:uri="http://schemas.microsoft.com/sharepoint/events"/>
  </ds:schemaRefs>
</ds:datastoreItem>
</file>

<file path=customXml/itemProps4.xml><?xml version="1.0" encoding="utf-8"?>
<ds:datastoreItem xmlns:ds="http://schemas.openxmlformats.org/officeDocument/2006/customXml" ds:itemID="{0711908D-B588-4C7D-BE82-28378818F2AC}">
  <ds:schemaRefs>
    <ds:schemaRef ds:uri="http://schemas.microsoft.com/sharepoint/v3/contenttype/forms"/>
  </ds:schemaRefs>
</ds:datastoreItem>
</file>

<file path=customXml/itemProps5.xml><?xml version="1.0" encoding="utf-8"?>
<ds:datastoreItem xmlns:ds="http://schemas.openxmlformats.org/officeDocument/2006/customXml" ds:itemID="{9F4C07DE-CE02-4674-A611-FC877419DD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21bb1ad9-e343-4501-a898-edd65eeba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1709</Words>
  <Characters>9388</Characters>
  <Application>Microsoft Office Word</Application>
  <DocSecurity>0</DocSecurity>
  <Lines>191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Apoyo CC1 E</cp:lastModifiedBy>
  <cp:revision>5</cp:revision>
  <dcterms:created xsi:type="dcterms:W3CDTF">2025-11-26T20:19:00Z</dcterms:created>
  <dcterms:modified xsi:type="dcterms:W3CDTF">2026-03-05T19:48:00Z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0x01010053AD8E627DB2F64B8BF94DF38D693D1D</vt:lpwstr>
  </property>
  <property fmtid="{D5CDD505-2E9C-101B-9397-08002B2CF9AE}" pid="3" name="_dlc_DocIdItemGuid">
    <vt:lpwstr>dbe03b79-dd00-4762-96b4-fc16ff2fab7a</vt:lpwstr>
  </property>
</Properties>
</file>