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D79937" w14:textId="77777777" w:rsidR="00AC5DE1" w:rsidRPr="0026598E" w:rsidRDefault="00AC5DE1" w:rsidP="007315B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0F6A7D">
        <w:rPr>
          <w:rFonts w:ascii="Arial Narrow" w:eastAsia="Arial Narrow" w:hAnsi="Arial Narrow" w:cs="Arial Narrow"/>
          <w:b/>
          <w:bCs/>
          <w:color w:val="000000"/>
          <w:kern w:val="0"/>
          <w:sz w:val="22"/>
          <w:szCs w:val="22"/>
          <w:shd w:val="clear" w:color="auto" w:fill="FFFFFF"/>
          <w:lang w:eastAsia="es-PE"/>
          <w14:ligatures w14:val="none"/>
        </w:rPr>
        <w:t>1261-2025/CC1</w:t>
      </w:r>
    </w:p>
    <w:p w14:paraId="4F1DAB3F"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03F68A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DENUNCIADO</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r>
      <w:bookmarkStart w:id="1" w:name="_Hlk202354592"/>
      <w:r w:rsidRPr="000F6A7D">
        <w:rPr>
          <w:rFonts w:ascii="Arial Narrow" w:eastAsia="Arial Narrow" w:hAnsi="Arial Narrow" w:cs="Arial Narrow"/>
          <w:b/>
          <w:color w:val="000000"/>
          <w:kern w:val="0"/>
          <w:sz w:val="22"/>
          <w:szCs w:val="22"/>
          <w:lang w:eastAsia="es-PE"/>
          <w14:ligatures w14:val="none"/>
        </w:rPr>
        <w:t>RÍMAC SEGUROS Y REASEGUROS S.A.</w:t>
      </w:r>
      <w:bookmarkEnd w:id="1"/>
      <w:r w:rsidRPr="000F6A7D">
        <w:rPr>
          <w:rFonts w:ascii="Arial Narrow" w:eastAsia="Arial Narrow" w:hAnsi="Arial Narrow" w:cs="Arial Narrow"/>
          <w:b/>
          <w:color w:val="000000"/>
          <w:kern w:val="0"/>
          <w:sz w:val="22"/>
          <w:szCs w:val="22"/>
          <w:lang w:eastAsia="es-PE"/>
          <w14:ligatures w14:val="none"/>
        </w:rPr>
        <w:t xml:space="preserve"> (RÍMAC)</w:t>
      </w:r>
    </w:p>
    <w:p w14:paraId="5B9F980D" w14:textId="77777777" w:rsidR="00AC5DE1" w:rsidRPr="000F6A7D" w:rsidRDefault="00AC5DE1" w:rsidP="007315B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MATERIAS</w:t>
      </w:r>
      <w:r w:rsidRPr="000F6A7D">
        <w:rPr>
          <w:rFonts w:ascii="Arial Narrow" w:eastAsia="Arial Narrow" w:hAnsi="Arial Narrow" w:cs="Arial Narrow"/>
          <w:b/>
          <w:color w:val="000000"/>
          <w:kern w:val="0"/>
          <w:sz w:val="22"/>
          <w:szCs w:val="22"/>
          <w:lang w:eastAsia="es-PE"/>
          <w14:ligatures w14:val="none"/>
        </w:rPr>
        <w:tab/>
        <w:t xml:space="preserve">: </w:t>
      </w:r>
      <w:r w:rsidRPr="000F6A7D">
        <w:rPr>
          <w:rFonts w:ascii="Arial Narrow" w:eastAsia="Arial Narrow" w:hAnsi="Arial Narrow" w:cs="Arial Narrow"/>
          <w:b/>
          <w:color w:val="000000"/>
          <w:kern w:val="0"/>
          <w:sz w:val="22"/>
          <w:szCs w:val="22"/>
          <w:lang w:eastAsia="es-PE"/>
          <w14:ligatures w14:val="none"/>
        </w:rPr>
        <w:tab/>
        <w:t>ADMISIÓN A TRÁMITE</w:t>
      </w:r>
    </w:p>
    <w:p w14:paraId="14991772" w14:textId="77777777" w:rsidR="00AC5DE1" w:rsidRPr="000F6A7D" w:rsidRDefault="00AC5DE1" w:rsidP="007315B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REQUERIMIENTO DE INFORMACIÓN </w:t>
      </w:r>
    </w:p>
    <w:p w14:paraId="50253965" w14:textId="77777777" w:rsidR="00AC5DE1" w:rsidRPr="000F6A7D" w:rsidRDefault="00AC5DE1" w:rsidP="007315B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RESOLUCIÓN </w:t>
      </w:r>
      <w:r w:rsidRPr="000F6A7D">
        <w:rPr>
          <w:rFonts w:ascii="Arial Narrow" w:eastAsia="Arial Narrow" w:hAnsi="Arial Narrow" w:cs="Arial Narrow"/>
          <w:b/>
          <w:color w:val="000000"/>
          <w:kern w:val="0"/>
          <w:sz w:val="22"/>
          <w:szCs w:val="22"/>
          <w:lang w:eastAsia="es-PE"/>
          <w14:ligatures w14:val="none"/>
        </w:rPr>
        <w:tab/>
        <w:t>:</w:t>
      </w:r>
      <w:r w:rsidRPr="000F6A7D">
        <w:rPr>
          <w:rFonts w:ascii="Arial Narrow" w:eastAsia="Arial Narrow" w:hAnsi="Arial Narrow" w:cs="Arial Narrow"/>
          <w:b/>
          <w:color w:val="000000"/>
          <w:kern w:val="0"/>
          <w:sz w:val="22"/>
          <w:szCs w:val="22"/>
          <w:lang w:eastAsia="es-PE"/>
          <w14:ligatures w14:val="none"/>
        </w:rPr>
        <w:tab/>
        <w:t>2</w:t>
      </w:r>
    </w:p>
    <w:p w14:paraId="3F17AE62"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A89C583" w14:textId="008EB340"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F6A7D">
        <w:rPr>
          <w:rFonts w:ascii="Arial Narrow" w:eastAsia="Arial Narrow" w:hAnsi="Arial Narrow" w:cs="Arial Narrow"/>
          <w:color w:val="000000"/>
          <w:kern w:val="0"/>
          <w:sz w:val="22"/>
          <w:szCs w:val="22"/>
          <w:shd w:val="clear" w:color="auto" w:fill="FFFFFF"/>
          <w:lang w:eastAsia="es-PE"/>
          <w14:ligatures w14:val="none"/>
        </w:rPr>
        <w:t xml:space="preserve">Lima, </w:t>
      </w:r>
      <w:r w:rsidR="00B0275D">
        <w:rPr>
          <w:rFonts w:ascii="Arial Narrow" w:eastAsia="Arial Narrow" w:hAnsi="Arial Narrow" w:cs="Arial Narrow"/>
          <w:color w:val="000000"/>
          <w:kern w:val="0"/>
          <w:sz w:val="22"/>
          <w:szCs w:val="22"/>
          <w:shd w:val="clear" w:color="auto" w:fill="FFFFFF"/>
          <w:lang w:eastAsia="es-PE"/>
          <w14:ligatures w14:val="none"/>
        </w:rPr>
        <w:t xml:space="preserve">11 de julio de 2025</w:t>
      </w:r>
      <w:r w:rsidRPr="000F6A7D">
        <w:rPr>
          <w:rFonts w:ascii="Arial Narrow" w:eastAsia="Arial Narrow" w:hAnsi="Arial Narrow" w:cs="Arial Narrow"/>
          <w:color w:val="000000"/>
          <w:kern w:val="0"/>
          <w:sz w:val="22"/>
          <w:szCs w:val="22"/>
          <w:shd w:val="clear" w:color="auto" w:fill="FFFFFF"/>
          <w:lang w:eastAsia="es-PE"/>
          <w14:ligatures w14:val="none"/>
        </w:rPr>
        <w:t xml:space="preserve"/>
      </w:r>
    </w:p>
    <w:p w14:paraId="626AF93F" w14:textId="77777777" w:rsidR="00AC5DE1" w:rsidRPr="000F6A7D" w:rsidRDefault="00AC5DE1" w:rsidP="007315B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3CE8CABE" w14:textId="77777777" w:rsidR="00AC5DE1" w:rsidRPr="000F6A7D" w:rsidRDefault="00AC5DE1" w:rsidP="007315B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F6A7D">
        <w:rPr>
          <w:rFonts w:ascii="Arial Narrow" w:eastAsia="Arial Narrow" w:hAnsi="Arial Narrow" w:cs="Arial Narrow"/>
          <w:b/>
          <w:color w:val="000000"/>
          <w:kern w:val="0"/>
          <w:sz w:val="22"/>
          <w:szCs w:val="22"/>
          <w:lang w:eastAsia="es-PE"/>
          <w14:ligatures w14:val="none"/>
        </w:rPr>
        <w:t xml:space="preserve">HECHOS </w:t>
      </w:r>
    </w:p>
    <w:p w14:paraId="49B6A13B"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E5435D6" w14:textId="77777777" w:rsidR="00AC5DE1" w:rsidRPr="0026598E" w:rsidRDefault="00AC5DE1" w:rsidP="007315B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853F7">
        <w:rPr>
          <w:rFonts w:ascii="Arial Narrow" w:eastAsia="Arial Narrow" w:hAnsi="Arial Narrow" w:cs="Arial Narrow"/>
          <w:color w:val="000000"/>
          <w:kern w:val="0"/>
          <w:sz w:val="22"/>
          <w:szCs w:val="22"/>
          <w:lang w:val="es-ES" w:eastAsia="es-ES"/>
          <w14:ligatures w14:val="none"/>
        </w:rPr>
        <w:t xml:space="preserve">Mediante el escrito del 17 de marzo de 2025</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853F7">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9853F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C7DF0">
        <w:rPr>
          <w:rFonts w:ascii="Arial Narrow" w:eastAsia="Arial Narrow" w:hAnsi="Arial Narrow" w:cs="Arial Narrow"/>
          <w:color w:val="000000"/>
          <w:kern w:val="0"/>
          <w:sz w:val="22"/>
          <w:szCs w:val="22"/>
          <w:lang w:val="es-ES" w:eastAsia="es-ES"/>
          <w14:ligatures w14:val="none"/>
        </w:rPr>
        <w:t/>
      </w:r>
      <w:r w:rsidRPr="003C7DF0">
        <w:rPr>
          <w:rFonts w:ascii="Arial Narrow" w:eastAsia="Arial Narrow" w:hAnsi="Arial Narrow" w:cs="Arial Narrow"/>
          <w:kern w:val="0"/>
          <w14:ligatures w14:val="none"/>
          <w:sz w:val="22"/>
          <w:szCs w:val="22"/>
        </w:rPr>
        <w:t xml:space="preserve"/>
      </w:r>
      <w:r w:rsidRPr="003C7DF0">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7FA25809" w14:textId="77777777" w:rsidR="00AC5DE1" w:rsidRPr="0026598E" w:rsidRDefault="00AC5DE1" w:rsidP="007315B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121856DF"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E3941">
        <w:rPr>
          <w:rFonts w:ascii="Arial Narrow" w:eastAsia="Arial Narrow" w:hAnsi="Arial Narrow" w:cs="Arial Narrow"/>
          <w:color w:val="000000"/>
          <w:kern w:val="0"/>
          <w:sz w:val="22"/>
          <w:szCs w:val="22"/>
          <w:lang w:eastAsia="es-ES"/>
          <w14:ligatures w14:val="none"/>
        </w:rPr>
        <w:t xml:space="preserve">Laboraba en el Banco Interamericano de Finanzas (en adelante, BANBIF) desde el 5 de octubre de 2020. Durante el </w:t>
      </w:r>
      <w:r w:rsidRPr="001A3752">
        <w:rPr>
          <w:rFonts w:ascii="Arial Narrow" w:eastAsia="Arial Narrow" w:hAnsi="Arial Narrow" w:cs="Arial Narrow"/>
          <w:color w:val="000000"/>
          <w:kern w:val="0"/>
          <w:sz w:val="22"/>
          <w:szCs w:val="22"/>
          <w:lang w:eastAsia="es-ES"/>
          <w14:ligatures w14:val="none"/>
        </w:rPr>
        <w:t xml:space="preserve">tiempo que prestaba servicios, se encontraba cubierto por el Seguro de Vida Ley – Póliza </w:t>
      </w:r>
      <w:r w:rsidRPr="00A27CE3">
        <w:rPr>
          <w:rFonts w:ascii="Arial Narrow" w:eastAsia="Arial Narrow" w:hAnsi="Arial Narrow" w:cs="Arial Narrow"/>
          <w:color w:val="000000"/>
          <w:kern w:val="0"/>
          <w:sz w:val="22"/>
          <w:szCs w:val="22"/>
          <w:lang w:eastAsia="es-ES"/>
          <w14:ligatures w14:val="none"/>
        </w:rPr>
        <w:t xml:space="preserve">59936319 </w:t>
      </w:r>
      <w:r w:rsidRPr="001A3752">
        <w:rPr>
          <w:rFonts w:ascii="Arial Narrow" w:eastAsia="Arial Narrow" w:hAnsi="Arial Narrow" w:cs="Arial Narrow"/>
          <w:color w:val="000000"/>
          <w:kern w:val="0"/>
          <w:sz w:val="22"/>
          <w:szCs w:val="22"/>
          <w:lang w:eastAsia="es-ES"/>
          <w14:ligatures w14:val="none"/>
        </w:rPr>
        <w:t xml:space="preserve">(en adelante, “Seguro de Vida Ley”) contratado por su empleador con Rímac. </w:t>
      </w:r>
    </w:p>
    <w:p w14:paraId="4AC95764" w14:textId="77777777" w:rsidR="00AC5DE1" w:rsidRPr="001A3752" w:rsidRDefault="00AC5DE1" w:rsidP="007315B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92A81E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En octubre de 2023 sufrió un evento que derivaba en una invalidez total y permanente, calificada así por los dictámenes 00188-2024 emitido por el Comité Médico de las AFP (en adelante, COMAFP).</w:t>
      </w:r>
    </w:p>
    <w:p w14:paraId="5EC55374" w14:textId="77777777" w:rsidR="00AC5DE1" w:rsidRPr="001A3752" w:rsidRDefault="00AC5DE1" w:rsidP="007315B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31F6441" w14:textId="77777777" w:rsidR="00AC5DE1" w:rsidRPr="001A375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El 15 de noviembre de 2023, culminó su relación laboral con BANBIF, debido a su estado de salud, el cual le impedía realizar actividades remunerativas de manera permanente.</w:t>
      </w:r>
    </w:p>
    <w:p w14:paraId="7655E6A7" w14:textId="77777777" w:rsidR="00AC5DE1" w:rsidRPr="001A3752" w:rsidRDefault="00AC5DE1" w:rsidP="007315B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87E9B17"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A3752">
        <w:rPr>
          <w:rFonts w:ascii="Arial Narrow" w:eastAsia="Arial Narrow" w:hAnsi="Arial Narrow" w:cs="Arial Narrow"/>
          <w:color w:val="000000"/>
          <w:kern w:val="0"/>
          <w:sz w:val="22"/>
          <w:szCs w:val="22"/>
          <w:lang w:eastAsia="es-ES"/>
          <w14:ligatures w14:val="none"/>
        </w:rPr>
        <w:t xml:space="preserve">El 11 de setiembre de 2024, el COMAFP emitió el Dictamen 02301-2024, </w:t>
      </w:r>
      <w:r>
        <w:rPr>
          <w:rFonts w:ascii="Arial Narrow" w:eastAsia="Arial Narrow" w:hAnsi="Arial Narrow" w:cs="Arial Narrow"/>
          <w:color w:val="000000"/>
          <w:kern w:val="0"/>
          <w:sz w:val="22"/>
          <w:szCs w:val="22"/>
          <w:lang w:eastAsia="es-ES"/>
          <w14:ligatures w14:val="none"/>
        </w:rPr>
        <w:t>que lo calificaba con</w:t>
      </w:r>
      <w:r w:rsidRPr="001A3752">
        <w:rPr>
          <w:rFonts w:ascii="Arial Narrow" w:eastAsia="Arial Narrow" w:hAnsi="Arial Narrow" w:cs="Arial Narrow"/>
          <w:color w:val="000000"/>
          <w:kern w:val="0"/>
          <w:sz w:val="22"/>
          <w:szCs w:val="22"/>
          <w:lang w:eastAsia="es-ES"/>
          <w14:ligatures w14:val="none"/>
        </w:rPr>
        <w:t xml:space="preserve"> Invalidez Definitiva, Total y Permanente, con un menoscabo del 89,19 %</w:t>
      </w:r>
      <w:r w:rsidRPr="004E1242">
        <w:rPr>
          <w:rFonts w:ascii="Arial Narrow" w:eastAsia="Arial Narrow" w:hAnsi="Arial Narrow" w:cs="Arial Narrow"/>
          <w:color w:val="000000"/>
          <w:kern w:val="0"/>
          <w:sz w:val="22"/>
          <w:szCs w:val="22"/>
          <w:lang w:eastAsia="es-ES"/>
          <w14:ligatures w14:val="none"/>
        </w:rPr>
        <w:t>.</w:t>
      </w:r>
    </w:p>
    <w:p w14:paraId="0C10961A" w14:textId="77777777" w:rsidR="00AC5DE1" w:rsidRPr="004E1242" w:rsidRDefault="00AC5DE1" w:rsidP="007315B7">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35B27A1"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 xml:space="preserve">El 19 de setiembre de 2024, presentó una solicitud de pago del beneficio del Seguro de Vida Ley ante Rímac, adjuntando documentación sustentatoria, entre la cual incluyó los dictámenes médicos de la COMAFP y su certificado de trabajo.</w:t>
      </w:r>
    </w:p>
    <w:p w14:paraId="0B0C3092" w14:textId="77777777" w:rsidR="00AC5DE1" w:rsidRPr="004E1242" w:rsidRDefault="00AC5DE1" w:rsidP="007315B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DB005DC" w14:textId="77777777" w:rsidR="00AC5DE1" w:rsidRPr="004E1242"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El 4 de octubre de 2024, Rímac le remitió un correo electrónico rechazando su solicitud de pago del beneficio del Seguro de Vida Ley, señalando que la invalidez no se encontraba cubierta por la póliza contratada.</w:t>
      </w:r>
      <w:r>
        <w:rPr>
          <w:rFonts w:ascii="Arial Narrow" w:eastAsia="Arial Narrow" w:hAnsi="Arial Narrow" w:cs="Arial Narrow"/>
          <w:color w:val="000000"/>
          <w:kern w:val="0"/>
          <w:sz w:val="22"/>
          <w:szCs w:val="22"/>
          <w:lang w:eastAsia="es-ES"/>
          <w14:ligatures w14:val="none"/>
        </w:rPr>
        <w:t xml:space="preserve"> </w:t>
      </w:r>
      <w:r w:rsidRPr="004E1242">
        <w:rPr>
          <w:rFonts w:ascii="Arial Narrow" w:eastAsia="Arial Narrow" w:hAnsi="Arial Narrow" w:cs="Arial Narrow"/>
          <w:color w:val="000000"/>
          <w:kern w:val="0"/>
          <w:sz w:val="22"/>
          <w:szCs w:val="22"/>
          <w:lang w:eastAsia="es-ES"/>
          <w14:ligatures w14:val="none"/>
        </w:rPr>
        <w:t xml:space="preserve">El rechazo de </w:t>
      </w:r>
      <w:r w:rsidRPr="00807F3D">
        <w:rPr>
          <w:rFonts w:ascii="Arial Narrow" w:eastAsia="Arial Narrow" w:hAnsi="Arial Narrow" w:cs="Arial Narrow"/>
          <w:color w:val="000000"/>
          <w:kern w:val="0"/>
          <w:sz w:val="22"/>
          <w:szCs w:val="22"/>
          <w:lang w:eastAsia="es-ES"/>
          <w14:ligatures w14:val="none"/>
        </w:rPr>
        <w:t>Rímac le generaba un grave perjuicio económico y emocional, al verse privado del beneficio social que por ley le correspondía</w:t>
      </w:r>
    </w:p>
    <w:p w14:paraId="14DDCB4D" w14:textId="77777777" w:rsidR="00AC5DE1" w:rsidRPr="004E1242" w:rsidRDefault="00AC5DE1" w:rsidP="007315B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BCCFE8D" w14:textId="77777777" w:rsidR="00AC5DE1" w:rsidRDefault="00AC5DE1" w:rsidP="007315B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E1242">
        <w:rPr>
          <w:rFonts w:ascii="Arial Narrow" w:eastAsia="Arial Narrow" w:hAnsi="Arial Narrow" w:cs="Arial Narrow"/>
          <w:color w:val="000000"/>
          <w:kern w:val="0"/>
          <w:sz w:val="22"/>
          <w:szCs w:val="22"/>
          <w:lang w:eastAsia="es-ES"/>
          <w14:ligatures w14:val="none"/>
        </w:rPr>
        <w:t>No obstante, su cuadro clínico incluía diagnósticos como fibromialgia, diabetes con complicaciones neurológicas y episodio depresivo grave. La conexión médica entre la fibromialgia y un accidente automovilístico sufrido en 2010 era sostenida mediante informes clínicos y documentación científica especializada, la cual no era considerada por Rímac en su evaluación.</w:t>
      </w:r>
    </w:p>
    <w:p w14:paraId="224E15D5" w14:textId="77777777" w:rsidR="00AC5DE1" w:rsidRPr="00807F3D" w:rsidRDefault="00AC5DE1" w:rsidP="007315B7">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28A83F1B" w14:textId="77777777" w:rsidR="00AC5DE1" w:rsidRPr="00807F3D" w:rsidRDefault="00AC5DE1" w:rsidP="007315B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07F3D">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(i) pagar el beneficio correspondiente al Seguro de Vida Ley por Invalidez Total y Permanente, incluyendo los intereses legales correspondientes; (ii) indemnizar por los daños y perjuicios ocasionados por la negativa injustificada al pago del beneficio; y; (iii) revisar sus políticas de cobertura en casos de invalidez por enfermedad. Asimismo, requirió el reembolso de costos y costas del presente procedimiento y se disponga las medidas cautelares necesarias para garantizar el cumplimiento de la resolución final que se dicte en el presente procedimiento.</w:t>
      </w:r>
      <w:r w:rsidRPr="00807F3D">
        <w:rPr>
          <w:rFonts w:ascii="Arial Narrow" w:eastAsia="Arial Narrow" w:hAnsi="Arial Narrow" w:cs="Arial Narrow"/>
          <w:kern w:val="0"/>
          <w14:ligatures w14:val="none"/>
          <w:sz w:val="22"/>
          <w:szCs w:val="22"/>
        </w:rPr>
        <w:t xml:space="preserve"/>
      </w:r>
      <w:r w:rsidRPr="00807F3D">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807F3D">
        <w:rPr>
          <w:rFonts w:ascii="Arial Narrow" w:eastAsia="Arial Narrow" w:hAnsi="Arial Narrow" w:cs="Arial Narrow"/>
          <w:color w:val="000000"/>
          <w:kern w:val="0"/>
          <w:sz w:val="22"/>
          <w:szCs w:val="22"/>
          <w:lang w:val="es-ES" w:eastAsia="es-ES"/>
          <w14:ligatures w14:val="none"/>
        </w:rPr>
        <w:t xml:space="preserve"/>
      </w:r>
    </w:p>
    <w:p w14:paraId="5989C786" w14:textId="77777777" w:rsidR="00AC5DE1" w:rsidRPr="0026598E" w:rsidRDefault="00AC5DE1" w:rsidP="007315B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5B83BEB"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57DF70D9" w14:textId="77777777" w:rsidR="00AC5DE1" w:rsidRPr="0026598E" w:rsidRDefault="00AC5DE1" w:rsidP="007315B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1F923CD" w14:textId="64440A60" w:rsidR="00AC5DE1" w:rsidRPr="006439A4"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 xml:space="preserve">, considera </w:t>
      </w:r>
      <w:r w:rsidRPr="0026598E">
        <w:rPr>
          <w:rFonts w:ascii="Arial Narrow" w:eastAsia="Arial Narrow" w:hAnsi="Arial Narrow" w:cs="Arial Narrow"/>
          <w:kern w:val="0"/>
          <w14:ligatures w14:val="none"/>
          <w:sz w:val="22"/>
          <w:szCs w:val="22"/>
        </w:rPr>
        <w:t xml:space="preserve">que el hecho denunciado, consistente en que </w:t>
      </w:r>
      <w:r w:rsidR="00F40C05" w:rsidRPr="00F40C05">
        <w:rPr>
          <w:rFonts w:ascii="Arial Narrow" w:eastAsia="Arial Narrow" w:hAnsi="Arial Narrow" w:cs="Arial Narrow"/>
          <w:color w:val="000000"/>
          <w:kern w:val="0"/>
          <w:sz w:val="22"/>
          <w:szCs w:val="22"/>
          <w:lang w:val="es-ES" w:eastAsia="es-ES"/>
          <w14:ligatures w14:val="none"/>
        </w:rPr>
        <w:t>la compañía aseguradora se habría negado injustificadamente a otorgar al denunciante la cobertura del Seguro de Vida Ley 59936319 por la invalidez total y permanente que padece</w:t>
      </w:r>
      <w:r w:rsidRPr="006439A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y 19</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kern w:val="0"/>
          <w14:ligatures w14:val="none"/>
          <w:sz w:val="22"/>
          <w:szCs w:val="22"/>
        </w:rPr>
        <w:t xml:space="preserve"> del Código</w:t>
      </w:r>
      <w:r w:rsidRPr="006439A4">
        <w:rPr>
          <w:rStyle w:val="Refdenotaalpie"/>
          <w:rFonts w:ascii="Arial Narrow" w:eastAsia="Arial Narrow" w:hAnsi="Arial Narrow" w:cs="Arial Narrow"/>
          <w:kern w:val="0"/>
          <w:sz w:val="22"/>
          <w:szCs w:val="22"/>
          <w:vertAlign w:val="superscript"/>
          <w14:ligatures w14:val="none"/>
        </w:rPr>
        <w:footnoteReference w:id="4"/>
      </w:r>
      <w:r w:rsidRPr="006439A4">
        <w:rPr>
          <w:rFonts w:ascii="Arial Narrow" w:eastAsia="Arial Narrow" w:hAnsi="Arial Narrow" w:cs="Arial Narrow"/>
          <w:kern w:val="0"/>
          <w14:ligatures w14:val="none"/>
          <w:sz w:val="22"/>
          <w:szCs w:val="22"/>
        </w:rPr>
        <w:t>.</w:t>
      </w:r>
    </w:p>
    <w:p w14:paraId="3DDF49B0" w14:textId="77777777" w:rsidR="00AC5DE1" w:rsidRPr="0026598E" w:rsidRDefault="00AC5DE1" w:rsidP="007315B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A1AB317" w14:textId="77777777"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2D553E24" w14:textId="77777777" w:rsidR="00AC5DE1" w:rsidRPr="0026598E" w:rsidRDefault="00AC5DE1" w:rsidP="007315B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A3DBB2D"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6D428DDA"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D48E29A" w14:textId="5BA0CCAB" w:rsidR="00AC5DE1" w:rsidRPr="0026598E" w:rsidRDefault="00AC5DE1" w:rsidP="007315B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w:t>
      </w:r>
      <w:r w:rsidRPr="00836A63">
        <w:rPr>
          <w:rFonts w:ascii="Arial Narrow" w:eastAsia="Arial Narrow" w:hAnsi="Arial Narrow" w:cs="Arial Narrow"/>
          <w:color w:val="000000"/>
          <w:kern w:val="0"/>
          <w:sz w:val="22"/>
          <w:szCs w:val="22"/>
          <w:lang w:val="es-ES" w:eastAsia="es-ES"/>
          <w14:ligatures w14:val="none"/>
        </w:rPr>
        <w:t>definitiva del presente caso, la Secretaría Técnica, en ejercicio de las facultades que la ley le confiere, conviene requerir a la compañía aseguradora que, en un plazo no mayor de cinco (5</w:t>
      </w:r>
      <w:r w:rsidRPr="0026598E">
        <w:rPr>
          <w:rFonts w:ascii="Arial Narrow" w:eastAsia="Arial Narrow" w:hAnsi="Arial Narrow" w:cs="Arial Narrow"/>
          <w:color w:val="000000"/>
          <w:kern w:val="0"/>
          <w:sz w:val="22"/>
          <w:szCs w:val="22"/>
          <w:lang w:val="es-ES" w:eastAsia="es-ES"/>
          <w14:ligatures w14:val="none"/>
        </w:rPr>
        <w:t xml:space="preserve">) días hábiles contado a partir del día siguiente de la notificación de la presente resolución, cumpla con lo siguiente: </w:t>
      </w:r>
      <w:r w:rsidR="006F0BCE" w:rsidRPr="006F0BC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Vida Ley 59936319, así como el cargo de remisión de la póliza; (ii) presentar los medios probatorios que acrediten que el rechazo fue justificado; y, (iii) presentar todas las comunicaciones cursadas con el denunciante en virtud del hecho materia de denuncia</w:t>
      </w:r>
      <w:r w:rsidRPr="00AA0814">
        <w:rPr>
          <w:rFonts w:ascii="Arial Narrow" w:eastAsia="Arial Narrow" w:hAnsi="Arial Narrow" w:cs="Arial Narrow"/>
          <w:color w:val="000000"/>
          <w:kern w:val="0"/>
          <w:sz w:val="22"/>
          <w:szCs w:val="22"/>
          <w:lang w:val="es-ES" w:eastAsia="es-ES"/>
          <w14:ligatures w14:val="none"/>
        </w:rPr>
        <w:t>.</w:t>
      </w:r>
    </w:p>
    <w:p w14:paraId="6029F1E7" w14:textId="77777777" w:rsidR="00AC5DE1" w:rsidRPr="0026598E" w:rsidRDefault="00AC5DE1" w:rsidP="007315B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4322174" w14:textId="77777777" w:rsidR="00AC5DE1" w:rsidRPr="0026598E" w:rsidRDefault="00AC5DE1" w:rsidP="007315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23A469E" w14:textId="77777777" w:rsidR="00AC5DE1" w:rsidRPr="0026598E" w:rsidRDefault="00AC5DE1" w:rsidP="007315B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0B3EF52" w14:textId="25E0C29C" w:rsidR="00AC5DE1" w:rsidRPr="0026598E" w:rsidRDefault="00AC5DE1" w:rsidP="007315B7">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2025 interpuesta por el señor [DENUNCIANTE] contra Rímac Seguros y Reaseguros S.A., por la presunta infracción a los artículos 18 y 19 de la Ley 29571, Código de Protección y Defensa del Consumidor, en tanto la compañía aseguradora se habría negado injustificadamente a otorgar al denunciante la cobertura del Seguro de Vida Ley 59936319 por la invalidez total y permanente que padece.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xml:space="preserve"/>
      </w:r>
      <w:r w:rsidRPr="00836A63">
        <w:rPr>
          <w:rFonts w:ascii="Arial Narrow" w:eastAsia="Arial Narrow" w:hAnsi="Arial Narrow" w:cs="Arial Narrow"/>
          <w:color w:val="000000"/>
          <w:kern w:val="0"/>
          <w:sz w:val="22"/>
          <w:szCs w:val="22"/>
          <w:lang w:val="es-ES" w:eastAsia="es-ES"/>
          <w14:ligatures w14:val="none"/>
        </w:rPr>
        <w:t xml:space="preserve"/>
      </w:r>
      <w:r w:rsidRPr="00836A63">
        <w:rPr>
          <w:rFonts w:ascii="Arial Narrow" w:eastAsia="Arial Narrow" w:hAnsi="Arial Narrow" w:cs="Arial Narrow"/>
          <w:color w:val="000000"/>
          <w:kern w:val="0"/>
          <w:sz w:val="22"/>
          <w:szCs w:val="22"/>
          <w:shd w:val="clear" w:color="auto" w:fill="FFFFFF"/>
          <w:lang w:eastAsia="es-PE"/>
          <w14:ligatures w14:val="none"/>
        </w:rPr>
        <w:t/>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shd w:val="clear" w:color="auto" w:fill="FFFFFF"/>
          <w:lang w:eastAsia="es-PE"/>
          <w14:ligatures w14:val="none"/>
        </w:rPr>
        <w:t/>
      </w:r>
      <w:r w:rsidRPr="006439A4">
        <w:rPr>
          <w:rFonts w:ascii="Arial Narrow" w:eastAsia="Arial Narrow" w:hAnsi="Arial Narrow" w:cs="Arial Narrow"/>
          <w:color w:val="000000"/>
          <w:kern w:val="0"/>
          <w:sz w:val="22"/>
          <w:szCs w:val="22"/>
          <w:lang w:eastAsia="es-PE"/>
          <w14:ligatures w14:val="none"/>
        </w:rPr>
        <w:t/>
      </w:r>
      <w:r w:rsidRPr="006439A4">
        <w:rPr>
          <w:rFonts w:ascii="Arial Narrow" w:eastAsia="Arial Narrow" w:hAnsi="Arial Narrow" w:cs="Arial Narrow"/>
          <w:color w:val="000000"/>
          <w:kern w:val="0"/>
          <w:sz w:val="22"/>
          <w:szCs w:val="22"/>
          <w:shd w:val="clear" w:color="auto" w:fill="FFFFFF"/>
          <w:lang w:eastAsia="es-PE"/>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r w:rsidR="007315B7">
        <w:rPr>
          <w:rFonts w:ascii="Arial Narrow" w:eastAsia="Arial Narrow" w:hAnsi="Arial Narrow" w:cs="Arial Narrow"/>
          <w:color w:val="000000"/>
          <w:kern w:val="0"/>
          <w:sz w:val="22"/>
          <w:szCs w:val="22"/>
          <w:lang w:val="es-ES"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xml:space="preserve"/>
      </w:r>
      <w:r w:rsidRPr="00A27CE3">
        <w:rPr>
          <w:rFonts w:ascii="Arial Narrow" w:eastAsia="Arial Narrow" w:hAnsi="Arial Narrow" w:cs="Arial Narrow"/>
          <w:color w:val="000000"/>
          <w:kern w:val="0"/>
          <w:sz w:val="22"/>
          <w:szCs w:val="22"/>
          <w:lang w:eastAsia="es-ES"/>
          <w14:ligatures w14:val="none"/>
        </w:rPr>
        <w:t xml:space="preserve"/>
      </w:r>
      <w:r w:rsidRPr="006439A4">
        <w:rPr>
          <w:rFonts w:ascii="Arial Narrow" w:eastAsia="Arial Narrow" w:hAnsi="Arial Narrow" w:cs="Arial Narrow"/>
          <w:color w:val="000000"/>
          <w:kern w:val="0"/>
          <w:sz w:val="22"/>
          <w:szCs w:val="22"/>
          <w:lang w:val="es-ES" w:eastAsia="es-ES"/>
          <w14:ligatures w14:val="none"/>
        </w:rPr>
        <w:t/>
      </w:r>
    </w:p>
    <w:p w14:paraId="31F0E10D" w14:textId="77777777" w:rsidR="00AC5DE1" w:rsidRPr="0026598E" w:rsidRDefault="00AC5DE1" w:rsidP="007315B7">
      <w:pPr>
        <w:spacing w:before="0" w:after="0" w:line="240" w:lineRule="auto"/>
        <w:jc w:val="both"/>
        <w:rPr>
          <w:rFonts w:ascii="Arial Narrow" w:eastAsia="Arial Narrow" w:hAnsi="Arial Narrow" w:cs="Arial Narrow"/>
          <w:kern w:val="0"/>
          <w14:ligatures w14:val="none"/>
          <w:sz w:val="22"/>
          <w:szCs w:val="22"/>
        </w:rPr>
      </w:pPr>
    </w:p>
    <w:p w14:paraId="00F67569" w14:textId="77777777" w:rsidR="00AC5DE1" w:rsidRPr="0026598E" w:rsidRDefault="00AC5DE1" w:rsidP="007315B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9853F7">
        <w:rPr>
          <w:rFonts w:ascii="Arial Narrow" w:eastAsia="Arial Narrow" w:hAnsi="Arial Narrow" w:cs="Arial Narrow"/>
          <w:color w:val="000000"/>
          <w:kern w:val="0"/>
          <w:sz w:val="22"/>
          <w:szCs w:val="22"/>
          <w:lang w:val="es-ES" w:eastAsia="es-ES"/>
          <w14:ligatures w14:val="none"/>
        </w:rPr>
        <w:t xml:space="preserve">17 de marzo de 2025</w:t>
      </w:r>
      <w:r w:rsidRPr="003C7DF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A02EDC7" w14:textId="77777777" w:rsidR="00AC5DE1" w:rsidRPr="0026598E" w:rsidRDefault="00AC5DE1" w:rsidP="007315B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2D689A5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127855">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6305F"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FAA7B27"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6A433FB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30EFA4E3"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4955501"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EAFE94" w14:textId="77777777" w:rsidR="00AC5DE1" w:rsidRPr="0026598E" w:rsidRDefault="00AC5DE1" w:rsidP="007315B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53526F2" w14:textId="77777777" w:rsidR="00AC5DE1" w:rsidRPr="0026598E" w:rsidRDefault="00AC5DE1" w:rsidP="007315B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17 de marzo de 2025 a Rímac Seguros y Reaseguros S.A. para que, de conformidad con lo dispuesto por el artículo 26 de la Ley sobre Facultades, Normas y Organización del Indecopi, aprobada por Decreto Legislativo 807</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7D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EB17AFD" w14:textId="77777777" w:rsidR="00AC5DE1" w:rsidRPr="0026598E" w:rsidRDefault="00AC5DE1" w:rsidP="007315B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9C82EFF"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Pr="00AA081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Vida Ley </w:t>
      </w:r>
      <w:r w:rsidRPr="00BC1F2E">
        <w:rPr>
          <w:rFonts w:ascii="Arial Narrow" w:eastAsia="Arial Narrow" w:hAnsi="Arial Narrow" w:cs="Arial Narrow"/>
          <w:color w:val="000000"/>
          <w:kern w:val="0"/>
          <w:sz w:val="22"/>
          <w:szCs w:val="22"/>
          <w:lang w:val="es-ES" w:eastAsia="es-ES"/>
          <w14:ligatures w14:val="none"/>
        </w:rPr>
        <w:t>59936319</w:t>
      </w:r>
      <w:r w:rsidRPr="00AA0814">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el rechazo fue justificado; y, (iii)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0FBFECD8" w14:textId="77777777" w:rsidR="00AC5DE1" w:rsidRPr="0026598E" w:rsidRDefault="00AC5DE1" w:rsidP="007315B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0EDC5DA" w14:textId="77777777" w:rsidR="00AC5DE1" w:rsidRPr="0026598E" w:rsidRDefault="00AC5DE1" w:rsidP="007315B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4CCC1C8D" w14:textId="77777777" w:rsidR="00AC5DE1" w:rsidRPr="0026598E" w:rsidRDefault="00AC5DE1" w:rsidP="007315B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4D703DB1" w14:textId="77777777" w:rsidR="00AC5DE1" w:rsidRPr="0026598E" w:rsidRDefault="00AC5DE1" w:rsidP="007315B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5FB7B6D" w14:textId="77777777" w:rsidR="00AC5DE1" w:rsidRPr="0026598E" w:rsidRDefault="00AC5DE1" w:rsidP="007315B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7BBAF36A" w14:textId="77777777" w:rsidR="00AC5DE1" w:rsidRPr="0026598E" w:rsidRDefault="00AC5DE1" w:rsidP="007315B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E191C26" w14:textId="77777777" w:rsidR="00AC5DE1" w:rsidRPr="0026598E" w:rsidRDefault="00AC5DE1" w:rsidP="007315B7">
      <w:pPr>
        <w:spacing w:before="0" w:after="0" w:line="240" w:lineRule="auto"/>
        <w:suppressAutoHyphens/>
        <w:jc w:val="both"/>
        <w:rPr>
          <w:rFonts w:ascii="Arial Narrow" w:eastAsia="Arial Narrow" w:hAnsi="Arial Narrow" w:cs="Arial Narrow"/>
          <w:kern w:val="0"/>
          <w:sz w:val="22"/>
          <w:szCs w:val="22"/>
          <w:u w:val="single"/>
          <w14:ligatures w14:val="none"/>
        </w:rPr>
      </w:pPr>
    </w:p>
    <w:p w14:paraId="3459B459" w14:textId="77777777" w:rsidR="00AC5DE1" w:rsidRPr="0026598E" w:rsidRDefault="00AC5DE1" w:rsidP="007315B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0688C4D" w14:textId="77777777" w:rsidR="00AC5DE1" w:rsidRPr="0026598E" w:rsidRDefault="00AC5DE1" w:rsidP="007315B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75DB5B3C" w14:textId="77777777" w:rsidR="00AC5DE1" w:rsidRPr="00A67ADF" w:rsidRDefault="00AC5DE1" w:rsidP="007315B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spacing w:val="-3"/>
          <w:kern w:val="0"/>
          <w14:ligatures w14:val="none"/>
          <w:sz w:val="22"/>
          <w:szCs w:val="22"/>
        </w:rPr>
        <w:t xml:space="preserve"/>
      </w:r>
      <w:r w:rsidRPr="00127855">
        <w:rPr>
          <w:rFonts w:ascii="Arial Narrow" w:eastAsia="Arial Narrow" w:hAnsi="Arial Narrow" w:cs="Arial Narrow"/>
          <w:color w:val="000000"/>
          <w:kern w:val="0"/>
          <w:sz w:val="22"/>
          <w:szCs w:val="22"/>
          <w:shd w:val="clear" w:color="auto" w:fill="FFFFFF"/>
          <w:lang w:eastAsia="es-PE"/>
          <w14:ligatures w14:val="none"/>
        </w:rPr>
        <w:t xml:space="preserve"/>
      </w:r>
      <w:r w:rsidRPr="0012785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836A6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7B47F0F9" w14:textId="77777777" w:rsidR="00AC5DE1" w:rsidRPr="0026598E" w:rsidRDefault="00AC5DE1" w:rsidP="007315B7">
      <w:pPr>
        <w:suppressAutoHyphens/>
        <w:spacing w:after="0" w:line="240" w:lineRule="auto"/>
        <w:jc w:val="both"/>
        <w:rPr>
          <w:rFonts w:ascii="Arial Narrow" w:eastAsia="Arial Narrow" w:hAnsi="Arial Narrow" w:cs="Arial Narrow"/>
          <w:sz w:val="22"/>
          <w:szCs w:val="22"/>
        </w:rPr>
      </w:pPr>
    </w:p>
    <w:p w14:paraId="11F47B1E"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6B23EEB6"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14:paraId="0FC4A88A" w14:textId="77777777" w:rsidR="006F0BCE" w:rsidRPr="0026598E" w:rsidRDefault="006F0BCE" w:rsidP="007315B7">
      <w:pPr>
        <w:spacing w:after="0" w:line="240" w:lineRule="auto"/>
        <w:jc w:val="both"/>
        <w:rPr>
          <w:rFonts w:ascii="Arial Narrow" w:eastAsia="Arial Narrow" w:hAnsi="Arial Narrow" w:cs="Arial Narrow"/>
          <w:b/>
          <w:color w:val="000000"/>
          <w:kern w:val="0"/>
          <w:sz w:val="22"/>
          <w:szCs w:val="22"/>
          <w:lang w:eastAsia="es-PE"/>
          <w14:ligatures w14:val="none"/>
        </w:rPr>
      </w:pPr>
    </w:p>
    <w:p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0022ADC2"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4D70A03A" w14:textId="77777777" w:rsidR="00AC5DE1" w:rsidRPr="0026598E" w:rsidRDefault="00AC5DE1" w:rsidP="007315B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74BFBD1C" w14:textId="77777777" w:rsidR="00AC5DE1" w:rsidRPr="0026598E" w:rsidRDefault="00AC5DE1" w:rsidP="007315B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7AC6C844" w14:textId="77777777" w:rsidR="00AC5DE1" w:rsidRPr="0026598E" w:rsidRDefault="00AC5DE1" w:rsidP="007315B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36FDC487" w14:textId="77777777" w:rsidR="00AC5DE1" w:rsidRPr="0026598E" w:rsidRDefault="00AC5DE1" w:rsidP="007315B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0693134" w14:textId="77777777" w:rsidR="00AC5DE1" w:rsidRPr="0026598E" w:rsidRDefault="00AC5DE1" w:rsidP="007315B7">
      <w:pPr>
        <w:spacing w:line="240" w:lineRule="auto"/>
        <w:rPr>
          <w:rFonts w:ascii="Arial Narrow" w:eastAsia="Arial Narrow" w:hAnsi="Arial Narrow" w:cs="Arial Narrow"/>
          <w:sz w:val="22"/>
          <w:szCs w:val="22"/>
        </w:rPr>
      </w:pPr>
    </w:p>
    <w:p w14:paraId="1E9180A5" w14:textId="77777777" w:rsidR="00AC5DE1" w:rsidRPr="0026598E" w:rsidRDefault="00AC5DE1" w:rsidP="007315B7">
      <w:pPr>
        <w:spacing w:line="240" w:lineRule="auto"/>
        <w:rPr>
          <w:rFonts w:ascii="Arial Narrow" w:eastAsia="Arial Narrow" w:hAnsi="Arial Narrow" w:cs="Arial Narrow"/>
          <w:sz w:val="22"/>
          <w:szCs w:val="22"/>
        </w:rPr>
      </w:pPr>
    </w:p>
    <w:p w14:paraId="4F00EADE" w14:textId="77777777" w:rsidR="00AC5DE1" w:rsidRPr="0026598E" w:rsidRDefault="00AC5DE1" w:rsidP="007315B7">
      <w:pPr>
        <w:spacing w:line="240" w:lineRule="auto"/>
        <w:rPr>
          <w:rFonts w:ascii="Arial Narrow" w:eastAsia="Arial Narrow" w:hAnsi="Arial Narrow" w:cs="Arial Narrow"/>
          <w:sz w:val="22"/>
          <w:szCs w:val="22"/>
        </w:rPr>
      </w:pPr>
    </w:p>
    <w:p w14:paraId="74AAB5F4" w14:textId="77777777" w:rsidR="001B5674" w:rsidRDefault="001B5674" w:rsidP="007315B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165E18" w14:textId="77777777" w:rsidR="005D5E83" w:rsidRDefault="005D5E83" w:rsidP="00DA79A0">
      <w:pPr>
        <w:spacing w:after="0" w:line="240" w:lineRule="auto"/>
      </w:pPr>
      <w:r>
        <w:separator/>
      </w:r>
    </w:p>
  </w:endnote>
  <w:endnote w:type="continuationSeparator" w:id="0">
    <w:p w14:paraId="23369E04" w14:textId="77777777" w:rsidR="005D5E83" w:rsidRDefault="005D5E8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374E292" w14:textId="77777777" w:rsidR="005D5E83" w:rsidRDefault="005D5E83" w:rsidP="00DA79A0">
      <w:pPr>
        <w:spacing w:after="0" w:line="240" w:lineRule="auto"/>
      </w:pPr>
      <w:r>
        <w:separator/>
      </w:r>
    </w:p>
  </w:footnote>
  <w:footnote w:type="continuationSeparator" w:id="0">
    <w:p w14:paraId="47F19381" w14:textId="77777777" w:rsidR="005D5E83" w:rsidRDefault="005D5E83" w:rsidP="00DA79A0">
      <w:pPr>
        <w:spacing w:after="0" w:line="240" w:lineRule="auto"/>
      </w:pPr>
      <w:r>
        <w:continuationSeparator/>
      </w:r>
    </w:p>
  </w:footnote>
  <w:footnote w:id="1">
    <w:p w14:paraId="713F37F0"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tab/>
        <w:t xml:space="preserve">Denuncia remitida a esta Comisión mediante MEMORANDUM 000438-2025-CHT/INDECOPI de fecha 28 de mayo de 2025, recibida el 28 de mayo de 2025.</w:t>
      </w:r>
    </w:p>
    <w:p>
      <w:pPr>
        <w:pStyle w:val="Textonotapie"/>
        <w:ind w:left="567" w:hanging="567"/>
        <w:jc w:val="both"/>
        <w:rPr>
          <w:rFonts w:ascii="Arial Narrow" w:eastAsia="Arial Narrow" w:hAnsi="Arial Narrow" w:cs="Arial Narrow"/>
          <w:sz w:val="16"/>
          <w:szCs w:val="16"/>
        </w:rPr>
      </w:pPr>
    </w:p>
  </w:footnote>
  <w:footnote w:id="2">
    <w:p w14:paraId="5DBBCFDF"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tab/>
        <w:t>Publicado</w:t>
      </w:r>
      <w:r w:rsidRPr="007315B7">
        <w:rPr>
          <w:rFonts w:ascii="Arial Narrow" w:eastAsia="Arial Narrow" w:hAnsi="Arial Narrow" w:cs="Arial Narrow"/>
          <w:b/>
          <w:sz w:val="16"/>
          <w:szCs w:val="16"/>
        </w:rPr>
        <w:t xml:space="preserve"> </w:t>
      </w:r>
      <w:r w:rsidRPr="007315B7">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9FDDC23"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AF2F2A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b/>
        <w:t>Artículo 105.- Autoridad competente.</w:t>
      </w:r>
    </w:p>
    <w:p w14:paraId="05538C2C"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1351A92"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E6D817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 xml:space="preserve">LEY DE ORGANIZACIÓN Y FUNCIONES DEL INDECOPI, APROBADA POR DECRETO LEGISLATIVO 1033 </w:t>
      </w:r>
    </w:p>
    <w:p w14:paraId="6A0D0DC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ab/>
        <w:t>Artículo 27.-</w:t>
      </w:r>
      <w:r w:rsidRPr="007315B7">
        <w:rPr>
          <w:rFonts w:ascii="Arial Narrow" w:eastAsia="Arial Narrow" w:hAnsi="Arial Narrow" w:cs="Arial Narrow"/>
          <w:sz w:val="16"/>
          <w:szCs w:val="16"/>
        </w:rPr>
        <w:t xml:space="preserve"> De la Comisión de Protección al Consumidor.- </w:t>
      </w:r>
    </w:p>
    <w:p w14:paraId="11D6205A"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38940B8"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84A15F" w14:textId="77777777" w:rsidR="00AC5DE1" w:rsidRPr="007315B7" w:rsidRDefault="00AC5DE1" w:rsidP="007315B7">
      <w:pPr>
        <w:pStyle w:val="Textonotapie"/>
        <w:ind w:left="567" w:right="-1"/>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 xml:space="preserve">Artículo 18.- Idoneidad </w:t>
      </w:r>
    </w:p>
    <w:p w14:paraId="622F7AC6"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85DFC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A0A9D9"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b/>
          <w:bCs/>
          <w:sz w:val="16"/>
          <w:szCs w:val="16"/>
        </w:rPr>
        <w:t xml:space="preserve">Artículo 19.- Obligación de los proveedores </w:t>
      </w:r>
    </w:p>
    <w:p w14:paraId="77A0E024" w14:textId="77777777" w:rsidR="00AC5DE1" w:rsidRPr="007315B7" w:rsidRDefault="00AC5DE1" w:rsidP="007315B7">
      <w:pPr>
        <w:pStyle w:val="Textonotapie"/>
        <w:ind w:left="567" w:right="-1"/>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5D598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LEY SOBRE FACULTADES, NORMAS Y ORGANIZACIÓN DEL INDECOPI, APROBADA POR DECRETO LEGISLATIVO 807 Artículo 24.-</w:t>
      </w:r>
      <w:r w:rsidRPr="007315B7">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01403AD5"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t>
      </w:r>
    </w:p>
    <w:p w14:paraId="181DA611"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c) Admitir denuncias a trámite, en aquellos casos en que la Comisión le haya delegado esta facultad. </w:t>
      </w:r>
    </w:p>
    <w:p w14:paraId="4478A5DB" w14:textId="77777777" w:rsidR="00AC5DE1" w:rsidRPr="007315B7" w:rsidRDefault="00AC5DE1" w:rsidP="007315B7">
      <w:pPr>
        <w:pStyle w:val="Textonotapie"/>
        <w:tabs>
          <w:tab w:val="left" w:pos="567"/>
        </w:tabs>
        <w:ind w:left="567" w:right="-1"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85A9782"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B9D72A3"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32438945" w14:textId="77777777" w:rsidR="00AC5DE1" w:rsidRPr="007315B7" w:rsidRDefault="00AC5DE1" w:rsidP="007315B7">
      <w:pPr>
        <w:pStyle w:val="Textonotapie"/>
        <w:ind w:left="567" w:hanging="567"/>
        <w:jc w:val="both"/>
        <w:rPr>
          <w:rFonts w:ascii="Arial Narrow" w:eastAsia="Arial Narrow" w:hAnsi="Arial Narrow" w:cs="Arial Narrow"/>
          <w:b/>
          <w:bCs/>
          <w:sz w:val="16"/>
          <w:szCs w:val="16"/>
        </w:rPr>
      </w:pPr>
      <w:r w:rsidRPr="007315B7">
        <w:rPr>
          <w:rFonts w:ascii="Arial Narrow" w:eastAsia="Arial Narrow" w:hAnsi="Arial Narrow" w:cs="Arial Narrow"/>
          <w:sz w:val="16"/>
          <w:szCs w:val="16"/>
        </w:rPr>
        <w:tab/>
      </w:r>
      <w:r w:rsidRPr="007315B7">
        <w:rPr>
          <w:rFonts w:ascii="Arial Narrow" w:eastAsia="Arial Narrow" w:hAnsi="Arial Narrow" w:cs="Arial Narrow"/>
          <w:b/>
          <w:bCs/>
          <w:sz w:val="16"/>
          <w:szCs w:val="16"/>
        </w:rPr>
        <w:t>Artículo 110.- Sanciones Administrativas</w:t>
      </w:r>
    </w:p>
    <w:p w14:paraId="63F5DC6E"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14:paraId="6A1642EC"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3124534" w14:textId="77777777" w:rsidR="00AC5DE1" w:rsidRPr="007315B7" w:rsidRDefault="00AC5DE1" w:rsidP="007315B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315B7">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5745FA5" w14:textId="77777777" w:rsidR="00AC5DE1" w:rsidRPr="007315B7" w:rsidRDefault="00AC5DE1" w:rsidP="007315B7">
      <w:pPr>
        <w:tabs>
          <w:tab w:val="left" w:pos="567"/>
        </w:tabs>
        <w:spacing w:after="0" w:line="240" w:lineRule="auto"/>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vertAlign w:val="superscript"/>
        </w:rPr>
        <w:t xml:space="preserve"/>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6C862098" w14:textId="77777777" w:rsidR="00AC5DE1" w:rsidRPr="007315B7" w:rsidRDefault="00AC5DE1" w:rsidP="007315B7">
      <w:pPr>
        <w:spacing w:after="0" w:line="240" w:lineRule="auto"/>
        <w:ind w:left="567" w:hanging="567"/>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110.- Sanciones administrativas</w:t>
      </w:r>
    </w:p>
    <w:p w14:paraId="709D576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F2E47A8"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leves, con una amonestación o con una multa de hasta cincuenta (50) UIT.</w:t>
      </w:r>
    </w:p>
    <w:p w14:paraId="0D7FD805"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graves, con una multa de hasta ciento cincuenta (150) UIT.</w:t>
      </w:r>
    </w:p>
    <w:p w14:paraId="7C8EDF13" w14:textId="77777777" w:rsidR="00AC5DE1" w:rsidRPr="007315B7" w:rsidRDefault="00AC5DE1" w:rsidP="007315B7">
      <w:pPr>
        <w:numPr>
          <w:ilvl w:val="0"/>
          <w:numId w:val="2"/>
        </w:numPr>
        <w:spacing w:after="0" w:line="240" w:lineRule="auto"/>
        <w:ind w:left="426" w:firstLine="141"/>
        <w:jc w:val="both"/>
        <w:rPr>
          <w:rFonts w:ascii="Arial Narrow" w:eastAsia="Arial Narrow" w:hAnsi="Arial Narrow" w:cs="Arial Narrow"/>
          <w:sz w:val="16"/>
          <w:szCs w:val="16"/>
        </w:rPr>
      </w:pPr>
      <w:r w:rsidRPr="007315B7">
        <w:rPr>
          <w:rFonts w:ascii="Arial Narrow" w:eastAsia="Arial Narrow" w:hAnsi="Arial Narrow" w:cs="Arial Narrow"/>
          <w:sz w:val="16"/>
          <w:szCs w:val="16"/>
        </w:rPr>
        <w:t>Infracciones muy graves, con una multa de hasta cuatrocientos cincuenta (450) UIT.</w:t>
      </w:r>
    </w:p>
    <w:p w14:paraId="1010E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C5DE1" w:rsidRPr="007315B7" w:rsidRDefault="00AC5DE1" w:rsidP="007315B7">
      <w:pPr>
        <w:pStyle w:val="Textonotapie"/>
        <w:tabs>
          <w:tab w:val="left" w:pos="567"/>
        </w:tabs>
        <w:ind w:left="567" w:right="-1"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2E13DA8" w14:textId="77777777" w:rsidR="00AC5DE1" w:rsidRPr="007315B7" w:rsidRDefault="00AC5DE1" w:rsidP="007315B7">
      <w:pPr>
        <w:tabs>
          <w:tab w:val="left" w:pos="567"/>
        </w:tabs>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
      </w:r>
      <w:r w:rsidRPr="007315B7">
        <w:rPr>
          <w:rFonts w:ascii="Arial Narrow" w:eastAsia="Arial Narrow" w:hAnsi="Arial Narrow" w:cs="Arial Narrow"/>
          <w:b/>
          <w:sz w:val="16"/>
          <w:szCs w:val="16"/>
        </w:rPr>
        <w:t>Artículo 114.- Medidas correctivas</w:t>
      </w:r>
    </w:p>
    <w:p w14:paraId="46073AE2"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E6ADCD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4A653A3"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Las medidas correctivas complementarias pueden dictarse de oficio o a pedido de parte.</w:t>
      </w:r>
    </w:p>
    <w:p w14:paraId="58C96867" w14:textId="77777777" w:rsidR="00AC5DE1" w:rsidRPr="007315B7" w:rsidRDefault="00AC5DE1" w:rsidP="007315B7">
      <w:pPr>
        <w:spacing w:after="0" w:line="240" w:lineRule="auto"/>
        <w:ind w:left="567" w:hanging="567"/>
        <w:jc w:val="both"/>
        <w:rPr>
          <w:rFonts w:ascii="Arial Narrow" w:eastAsia="Arial Narrow" w:hAnsi="Arial Narrow" w:cs="Arial Narrow"/>
          <w:sz w:val="16"/>
          <w:szCs w:val="16"/>
        </w:rPr>
      </w:pPr>
      <w:r w:rsidRPr="007315B7">
        <w:rPr>
          <w:rFonts w:ascii="Arial Narrow" w:eastAsia="Arial Narrow" w:hAnsi="Arial Narrow" w:cs="Arial Narrow"/>
          <w:b/>
          <w:sz w:val="16"/>
          <w:szCs w:val="16"/>
        </w:rPr>
        <w:tab/>
        <w:t>Artículo 115.- Medidas correctivas reparadoras</w:t>
      </w:r>
    </w:p>
    <w:p w14:paraId="41B72470" w14:textId="77777777" w:rsidR="00AC5DE1" w:rsidRPr="007315B7" w:rsidRDefault="00AC5DE1" w:rsidP="007315B7">
      <w:pPr>
        <w:spacing w:after="0" w:line="240" w:lineRule="auto"/>
        <w:ind w:left="567" w:hanging="283"/>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9FDC18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Reparar productos.</w:t>
      </w:r>
    </w:p>
    <w:p w14:paraId="06F6B7B5"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41F255C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8D2520C"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7A24F29"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Cumplir con ejecutar otras prestaciones u obligaciones legales o convencionales a su cargo.</w:t>
      </w:r>
    </w:p>
    <w:p w14:paraId="78C37F3B"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F4E221"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los supuestos de pagos indebidos o en exceso, devolver estos montos, más los intereses correspondientes.</w:t>
      </w:r>
    </w:p>
    <w:p w14:paraId="13941B2E"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Pagar los gastos incurridos por el consumidor para mitigar las consecuencias de la infracción administrativa.</w:t>
      </w:r>
    </w:p>
    <w:p w14:paraId="33E36BAF" w14:textId="77777777" w:rsidR="00AC5DE1" w:rsidRPr="007315B7" w:rsidRDefault="00AC5DE1" w:rsidP="007315B7">
      <w:pPr>
        <w:numPr>
          <w:ilvl w:val="0"/>
          <w:numId w:val="1"/>
        </w:numPr>
        <w:spacing w:after="0" w:line="240" w:lineRule="auto"/>
        <w:ind w:left="567" w:firstLine="0"/>
        <w:jc w:val="both"/>
        <w:rPr>
          <w:rFonts w:ascii="Arial Narrow" w:eastAsia="Arial Narrow" w:hAnsi="Arial Narrow" w:cs="Arial Narrow"/>
          <w:sz w:val="16"/>
          <w:szCs w:val="16"/>
        </w:rPr>
      </w:pPr>
      <w:r w:rsidRPr="007315B7">
        <w:rPr>
          <w:rFonts w:ascii="Arial Narrow" w:eastAsia="Arial Narrow" w:hAnsi="Arial Narrow" w:cs="Arial Narrow"/>
          <w:sz w:val="16"/>
          <w:szCs w:val="16"/>
        </w:rPr>
        <w:t>Otras medidas reparadoras análogas de efectos equivalentes a las anteriores.</w:t>
      </w:r>
    </w:p>
    <w:p w14:paraId="36A6E65A" w14:textId="77777777" w:rsidR="00AC5DE1" w:rsidRPr="007315B7" w:rsidRDefault="00AC5DE1" w:rsidP="007315B7">
      <w:pPr>
        <w:pStyle w:val="Sinespaciad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BDFD300"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AE8BB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7325707"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416AD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5AC2534"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495057B" w14:textId="77777777" w:rsidR="00AC5DE1" w:rsidRPr="007315B7" w:rsidRDefault="00AC5DE1" w:rsidP="007315B7">
      <w:pPr>
        <w:spacing w:after="0" w:line="240" w:lineRule="auto"/>
        <w:ind w:left="567"/>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116.- Medidas correctivas complementarias</w:t>
      </w:r>
    </w:p>
    <w:p w14:paraId="740023A3"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46409E5"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4CDC5C6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b. Declarar inexigibles las cláusulas que han sido identificadas como abusivas en el procedimiento. </w:t>
      </w:r>
    </w:p>
    <w:p w14:paraId="3CD19676"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c. El decomiso y destrucción de la mercadería, envases, envolturas o etiquetas. </w:t>
      </w:r>
    </w:p>
    <w:p w14:paraId="4F860BCD"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d. En caso de infracciones muy graves y de reincidencia o reiterancia: </w:t>
      </w:r>
    </w:p>
    <w:p w14:paraId="647F96A1"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DC2928E"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C7D12EC"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54BD08F"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88CDC49" w14:textId="77777777" w:rsidR="00AC5DE1" w:rsidRPr="007315B7" w:rsidRDefault="00AC5DE1" w:rsidP="007315B7">
      <w:pPr>
        <w:spacing w:after="0" w:line="240" w:lineRule="auto"/>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1F0EDEA"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b/>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LEY 29571, CÓDIGO DE PROTECCIÓN Y DEFENSA DEL CONSUMIDOR</w:t>
      </w:r>
      <w:r w:rsidRPr="007315B7">
        <w:rPr>
          <w:rFonts w:ascii="Arial Narrow" w:eastAsia="Arial Narrow" w:hAnsi="Arial Narrow" w:cs="Arial Narrow"/>
          <w:b/>
          <w:bCs/>
          <w:sz w:val="16"/>
          <w:szCs w:val="16"/>
        </w:rPr>
        <w:t xml:space="preserve">, </w:t>
      </w:r>
      <w:r w:rsidRPr="007315B7">
        <w:rPr>
          <w:rFonts w:ascii="Arial Narrow" w:eastAsia="Arial Narrow" w:hAnsi="Arial Narrow" w:cs="Arial Narrow"/>
          <w:b/>
          <w:sz w:val="16"/>
          <w:szCs w:val="16"/>
        </w:rPr>
        <w:t>publicado el 2 de setiembre de 2010 y modificado por Decreto Legislativo 1308</w:t>
      </w:r>
    </w:p>
    <w:p w14:paraId="42E40EB6" w14:textId="77777777" w:rsidR="00AC5DE1" w:rsidRPr="007315B7" w:rsidRDefault="00AC5DE1" w:rsidP="007315B7">
      <w:pPr>
        <w:pStyle w:val="Textonotapie"/>
        <w:tabs>
          <w:tab w:val="left" w:pos="567"/>
        </w:tabs>
        <w:jc w:val="both"/>
        <w:rPr>
          <w:rFonts w:ascii="Arial Narrow" w:eastAsia="Arial Narrow" w:hAnsi="Arial Narrow" w:cs="Arial Narrow"/>
          <w:b/>
          <w:sz w:val="16"/>
          <w:szCs w:val="16"/>
        </w:rPr>
      </w:pPr>
      <w:r w:rsidRPr="007315B7">
        <w:rPr>
          <w:rFonts w:ascii="Arial Narrow" w:eastAsia="Arial Narrow" w:hAnsi="Arial Narrow" w:cs="Arial Narrow"/>
          <w:b/>
          <w:sz w:val="16"/>
          <w:szCs w:val="16"/>
        </w:rPr>
        <w:tab/>
        <w:t>Artículo 112.- Criterios de graduación de las sanciones administrativas</w:t>
      </w:r>
    </w:p>
    <w:p w14:paraId="42153AC0"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437BC166"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Se consideran circunstancias atenuantes especiales, las siguientes:</w:t>
      </w:r>
    </w:p>
    <w:p w14:paraId="7DB7443C" w14:textId="77777777" w:rsidR="00AC5DE1" w:rsidRPr="007315B7" w:rsidRDefault="00AC5DE1" w:rsidP="007315B7">
      <w:pPr>
        <w:pStyle w:val="Textonotapie"/>
        <w:tabs>
          <w:tab w:val="left" w:pos="567"/>
        </w:tabs>
        <w:jc w:val="both"/>
        <w:rPr>
          <w:rFonts w:ascii="Arial Narrow" w:eastAsia="Arial Narrow" w:hAnsi="Arial Narrow" w:cs="Arial Narrow"/>
          <w:sz w:val="16"/>
          <w:szCs w:val="16"/>
        </w:rPr>
      </w:pPr>
      <w:r w:rsidRPr="007315B7">
        <w:rPr>
          <w:rFonts w:ascii="Arial Narrow" w:eastAsia="Arial Narrow" w:hAnsi="Arial Narrow" w:cs="Arial Narrow"/>
          <w:sz w:val="16"/>
          <w:szCs w:val="16"/>
        </w:rPr>
        <w:tab/>
        <w:t>(…)</w:t>
      </w:r>
    </w:p>
    <w:p w14:paraId="7AC1BE5C" w14:textId="77777777" w:rsidR="00AC5DE1" w:rsidRPr="007315B7" w:rsidRDefault="00AC5DE1" w:rsidP="007315B7">
      <w:pPr>
        <w:pStyle w:val="Textonotapie"/>
        <w:tabs>
          <w:tab w:val="left" w:pos="567"/>
        </w:tabs>
        <w:ind w:left="567"/>
        <w:jc w:val="both"/>
        <w:rPr>
          <w:rFonts w:ascii="Arial Narrow" w:eastAsia="Arial Narrow" w:hAnsi="Arial Narrow" w:cs="Arial Narrow"/>
          <w:sz w:val="16"/>
          <w:szCs w:val="16"/>
        </w:rPr>
      </w:pPr>
      <w:r w:rsidRPr="007315B7">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9B58EE9" w14:textId="77777777" w:rsidR="00AC5DE1" w:rsidRPr="007315B7" w:rsidRDefault="00AC5DE1" w:rsidP="007315B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315B7">
        <w:rPr>
          <w:rStyle w:val="Refdenotaalpie"/>
          <w:rFonts w:ascii="Arial Narrow" w:eastAsia="Arial Narrow" w:hAnsi="Arial Narrow" w:cs="Arial Narrow"/>
          <w:b/>
          <w:bCs/>
          <w:sz w:val="16"/>
          <w:szCs w:val="16"/>
          <w:vertAlign w:val="superscript"/>
        </w:rPr>
        <w:footnoteRef/>
      </w:r>
      <w:r w:rsidRPr="007315B7">
        <w:rPr>
          <w:rFonts w:ascii="Arial Narrow" w:eastAsia="Arial Narrow" w:hAnsi="Arial Narrow" w:cs="Arial Narrow"/>
          <w:b/>
          <w:bCs/>
          <w:sz w:val="16"/>
          <w:szCs w:val="16"/>
        </w:rPr>
        <w:t xml:space="preserve"/>
      </w:r>
      <w:r w:rsidRPr="007315B7">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65384700" w14:textId="77777777" w:rsidR="00AC5DE1" w:rsidRPr="007315B7" w:rsidRDefault="00AC5DE1" w:rsidP="007315B7">
      <w:pPr>
        <w:pStyle w:val="NormalWeb"/>
        <w:spacing w:after="0" w:line="240" w:lineRule="auto"/>
        <w:ind w:left="567"/>
        <w:jc w:val="both"/>
        <w:rPr>
          <w:rFonts w:ascii="Arial Narrow" w:eastAsia="Arial Narrow" w:hAnsi="Arial Narrow" w:cs="Arial Narrow"/>
          <w:bCs/>
          <w:sz w:val="16"/>
          <w:szCs w:val="16"/>
        </w:rPr>
      </w:pPr>
      <w:r w:rsidRPr="007315B7">
        <w:rPr>
          <w:rFonts w:ascii="Arial Narrow" w:eastAsia="Arial Narrow" w:hAnsi="Arial Narrow" w:cs="Arial Narrow"/>
          <w:b/>
          <w:sz w:val="16"/>
          <w:szCs w:val="16"/>
        </w:rPr>
        <w:t xml:space="preserve">Artículo 29.- </w:t>
      </w:r>
      <w:r w:rsidRPr="007315B7">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58E198A9" w14:textId="77777777" w:rsidR="00AC5DE1" w:rsidRPr="007315B7" w:rsidRDefault="00AC5DE1" w:rsidP="007315B7">
      <w:pPr>
        <w:pStyle w:val="Textonotapie"/>
        <w:tabs>
          <w:tab w:val="left" w:pos="567"/>
        </w:tabs>
        <w:ind w:left="567" w:hanging="567"/>
        <w:jc w:val="both"/>
        <w:rPr>
          <w:rFonts w:ascii="Arial Narrow" w:eastAsia="Arial Narrow" w:hAnsi="Arial Narrow" w:cs="Arial Narrow"/>
          <w:sz w:val="16"/>
          <w:szCs w:val="16"/>
        </w:rPr>
      </w:pPr>
      <w:r w:rsidRPr="007315B7">
        <w:rPr>
          <w:rStyle w:val="Refdenotaalpie"/>
          <w:rFonts w:ascii="Arial Narrow" w:eastAsia="Arial Narrow" w:hAnsi="Arial Narrow" w:cs="Arial Narrow"/>
          <w:sz w:val="16"/>
          <w:szCs w:val="16"/>
          <w:vertAlign w:val="superscript"/>
        </w:rPr>
        <w:footnoteRef/>
      </w:r>
      <w:r w:rsidRPr="007315B7">
        <w:rPr>
          <w:rFonts w:ascii="Arial Narrow" w:eastAsia="Arial Narrow" w:hAnsi="Arial Narrow" w:cs="Arial Narrow"/>
          <w:sz w:val="16"/>
          <w:szCs w:val="16"/>
        </w:rPr>
        <w:t xml:space="preserve"/>
      </w:r>
      <w:r w:rsidRPr="007315B7">
        <w:rPr>
          <w:rFonts w:ascii="Arial Narrow" w:eastAsia="Arial Narrow" w:hAnsi="Arial Narrow" w:cs="Arial Narrow"/>
          <w:sz w:val="16"/>
          <w:szCs w:val="16"/>
        </w:rPr>
      </w:r>
      <w:r w:rsidRPr="007315B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1AA6B4D" w14:textId="77777777" w:rsidR="00AC5DE1" w:rsidRPr="007315B7" w:rsidRDefault="00AC5DE1" w:rsidP="007315B7">
      <w:pPr>
        <w:pStyle w:val="Textonotapie"/>
        <w:ind w:left="1134"/>
        <w:jc w:val="both"/>
        <w:rPr>
          <w:rFonts w:ascii="Arial Narrow" w:eastAsia="Arial Narrow" w:hAnsi="Arial Narrow" w:cs="Arial Narrow"/>
          <w:b/>
          <w:bCs/>
          <w:sz w:val="16"/>
          <w:szCs w:val="16"/>
        </w:rPr>
      </w:pPr>
      <w:r w:rsidRPr="007315B7">
        <w:rPr>
          <w:rFonts w:ascii="Arial Narrow" w:eastAsia="Arial Narrow" w:hAnsi="Arial Narrow" w:cs="Arial Narrow"/>
          <w:b/>
          <w:bCs/>
          <w:sz w:val="16"/>
          <w:szCs w:val="16"/>
        </w:rPr>
        <w:t>Artículo 20.- Modalidades de notificación</w:t>
      </w:r>
    </w:p>
    <w:p w14:paraId="61E355FE" w14:textId="77777777" w:rsidR="00AC5DE1" w:rsidRPr="007315B7" w:rsidRDefault="00AC5DE1" w:rsidP="007315B7">
      <w:pPr>
        <w:pStyle w:val="Textonotapie"/>
        <w:ind w:left="1134" w:hanging="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20.4. </w:t>
      </w:r>
      <w:r w:rsidRPr="007315B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966D620"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9317633" w14:textId="77777777" w:rsidR="00AC5DE1" w:rsidRPr="007315B7" w:rsidRDefault="00AC5DE1" w:rsidP="007315B7">
      <w:pPr>
        <w:pStyle w:val="Textonotapie"/>
        <w:ind w:left="1134"/>
        <w:jc w:val="both"/>
        <w:rPr>
          <w:rFonts w:ascii="Arial Narrow" w:eastAsia="Arial Narrow" w:hAnsi="Arial Narrow" w:cs="Arial Narrow"/>
          <w:sz w:val="16"/>
          <w:szCs w:val="16"/>
        </w:rPr>
      </w:pPr>
      <w:r w:rsidRPr="007315B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3C6D03"/>
    <w:rsid w:val="004457BB"/>
    <w:rsid w:val="005D5E83"/>
    <w:rsid w:val="005D7A26"/>
    <w:rsid w:val="00626395"/>
    <w:rsid w:val="006F0BCE"/>
    <w:rsid w:val="007315B7"/>
    <w:rsid w:val="0083186C"/>
    <w:rsid w:val="008834B0"/>
    <w:rsid w:val="00890B1F"/>
    <w:rsid w:val="00893795"/>
    <w:rsid w:val="009D7D45"/>
    <w:rsid w:val="00A05DAD"/>
    <w:rsid w:val="00A37879"/>
    <w:rsid w:val="00A84194"/>
    <w:rsid w:val="00AC5DE1"/>
    <w:rsid w:val="00B0275D"/>
    <w:rsid w:val="00B906B1"/>
    <w:rsid w:val="00B91E42"/>
    <w:rsid w:val="00BD2086"/>
    <w:rsid w:val="00CD0C8E"/>
    <w:rsid w:val="00D97E9D"/>
    <w:rsid w:val="00DA79A0"/>
    <w:rsid w:val="00DE0AEF"/>
    <w:rsid w:val="00E6140E"/>
    <w:rsid w:val="00ED4B2D"/>
    <w:rsid w:val="00EE3204"/>
    <w:rsid w:val="00F40C0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1584</Words>
  <Characters>8718</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2025-07-15T19:36:00Z</dcterms:modified>
</cp:coreProperties>
</file>