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 xml:space="preserve">07 de mayo de 2025</w:t>
      </w:r>
      <w:r w:rsidR="00A82DB2">
        <w:rPr>
          <w:rFonts w:ascii="Arial Narrow" w:eastAsia="Arial Narrow" w:hAnsi="Arial Narrow" w:cs="Arial Narrow"/>
          <w:sz w:val="22"/>
          <w:szCs w:val="22"/>
        </w:rPr>
        <w:t xml:space="preserve"/>
      </w:r>
      <w:r w:rsidR="00287905" w:rsidRPr="00E902D0">
        <w:rPr>
          <w:rFonts w:ascii="Arial Narrow" w:eastAsia="Arial Narrow" w:hAnsi="Arial Narrow" w:cs="Arial Narrow"/>
          <w:sz w:val="22"/>
          <w:szCs w:val="22"/>
        </w:rPr>
        <w:t xml:space="preserve"/>
      </w:r>
      <w:r w:rsidR="00D11A4E">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spacing w:before="0" w:after="0" w:line="240" w:lineRule="auto"/>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lang w:eastAsia="es-ES"/>
        </w:rPr>
        <w:t>El 24 de agosto de 2020</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xml:space="preserve"> </w:t>
      </w:r>
      <w:r w:rsidR="00D755C6" w:rsidRPr="00E902D0">
        <w:rPr>
          <w:rFonts w:ascii="Arial Narrow" w:eastAsia="Arial Narrow" w:hAnsi="Arial Narrow" w:cs="Arial Narrow"/>
          <w:sz w:val="22"/>
          <w:szCs w:val="22"/>
          <w:lang w:eastAsia="es-ES"/>
        </w:rPr>
        <w:t>contrató con P</w:t>
      </w:r>
      <w:r w:rsidR="00D61CCA">
        <w:rPr>
          <w:rFonts w:ascii="Arial Narrow" w:eastAsia="Arial Narrow" w:hAnsi="Arial Narrow" w:cs="Arial Narrow"/>
          <w:sz w:val="22"/>
          <w:szCs w:val="22"/>
          <w:lang w:eastAsia="es-ES"/>
        </w:rPr>
        <w:t>acífico</w:t>
      </w:r>
      <w:r w:rsidR="00D755C6"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lang w:eastAsia="es-ES"/>
        </w:rPr>
        <w:t xml:space="preserve">el Seguro de Autos Todo Riesgo - Plan Full, de su vehículo con Placa de Rodaje BNR-296, mediante </w:t>
      </w:r>
      <w:r w:rsidR="00D755C6" w:rsidRPr="00E902D0">
        <w:rPr>
          <w:rFonts w:ascii="Arial Narrow" w:eastAsia="Arial Narrow" w:hAnsi="Arial Narrow" w:cs="Arial Narrow"/>
          <w:sz w:val="22"/>
          <w:szCs w:val="22"/>
          <w:lang w:eastAsia="es-ES"/>
        </w:rPr>
        <w:t>la Póliza Vehicular Auto Modular </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eastAsia="es-ES"/>
        </w:rPr>
        <w:t xml:space="preserve">2004810135 </w:t>
      </w:r>
      <w:r w:rsidR="00D755C6" w:rsidRPr="00E902D0">
        <w:rPr>
          <w:rFonts w:ascii="Arial Narrow" w:eastAsia="Arial Narrow" w:hAnsi="Arial Narrow" w:cs="Arial Narrow"/>
          <w:sz w:val="22"/>
          <w:szCs w:val="22"/>
          <w:lang w:eastAsia="es-ES"/>
        </w:rPr>
        <w:t xml:space="preserve">(en adelante, la </w:t>
      </w:r>
      <w:r w:rsidR="001E095E" w:rsidRPr="00E902D0">
        <w:rPr>
          <w:rFonts w:ascii="Arial Narrow" w:eastAsia="Arial Narrow" w:hAnsi="Arial Narrow" w:cs="Arial Narrow"/>
          <w:sz w:val="22"/>
          <w:szCs w:val="22"/>
          <w:lang w:eastAsia="es-ES"/>
        </w:rPr>
        <w:t>Póliza del Seguro Vehicular</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con una vigencia de 01 año renovable por el mismo periodo.</w:t>
      </w:r>
      <w:r w:rsidR="003A61CF" w:rsidRPr="00E902D0">
        <w:rPr>
          <w:rFonts w:ascii="Arial Narrow" w:eastAsia="Arial Narrow" w:hAnsi="Arial Narrow" w:cs="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spacing w:before="0" w:after="0" w:line="240" w:lineRule="auto"/>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spacing w:before="0" w:after="0" w:line="240" w:lineRule="auto"/>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spacing w:before="0" w:after="0" w:line="240" w:lineRule="auto"/>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eastAsia="Arial Narrow" w:hAnsi="Arial Narrow" w:cs="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spacing w:before="0" w:after="0" w:line="240" w:lineRule="auto"/>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spacing w:before="0" w:after="0" w:line="240" w:lineRule="auto"/>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w:t>
      </w:r>
    </w:p>
    <w:p w14:paraId="2BEA67CF" w14:textId="77777777" w:rsidR="003A3D90" w:rsidRPr="00E902D0" w:rsidRDefault="003A3D90" w:rsidP="009B5E9A">
      <w:pPr>
        <w:pStyle w:val="Prrafodelista"/>
        <w:spacing w:before="0" w:after="0" w:line="240" w:lineRule="auto"/>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eastAsia="Arial Narrow" w:hAnsi="Arial Narrow" w:cs="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eastAsia="Arial Narrow" w:hAnsi="Arial Narrow" w:cs="Arial Narrow"/>
          <w:sz w:val="22"/>
          <w:szCs w:val="22"/>
          <w:lang w:eastAsia="es-ES"/>
        </w:rPr>
        <w:t xml:space="preserve"/>
      </w:r>
      <w:r w:rsidR="008E1B6A" w:rsidRPr="00E902D0">
        <w:rPr>
          <w:rFonts w:ascii="Arial Narrow" w:eastAsia="Arial Narrow" w:hAnsi="Arial Narrow" w:cs="Arial Narrow"/>
          <w:sz w:val="22"/>
          <w:szCs w:val="22"/>
          <w:lang w:eastAsia="es-ES"/>
        </w:rPr>
        <w:t xml:space="preserve"/>
      </w:r>
      <w:r w:rsidR="008E1B6A" w:rsidRPr="00347FBE">
        <w:rPr>
          <w:rFonts w:ascii="Arial Narrow" w:eastAsia="Arial Narrow" w:hAnsi="Arial Narrow" w:cs="Arial Narrow"/>
          <w:sz w:val="22"/>
          <w:szCs w:val="22"/>
          <w:lang w:eastAsia="es-ES"/>
        </w:rPr>
        <w:t/>
      </w:r>
      <w:r w:rsidRPr="00347FBE">
        <w:rPr>
          <w:rFonts w:ascii="Arial Narrow" w:eastAsia="Arial Narrow" w:hAnsi="Arial Narrow" w:cs="Arial Narrow"/>
          <w:sz w:val="22"/>
          <w:szCs w:val="22"/>
          <w:lang w:eastAsia="es-ES"/>
        </w:rPr>
        <w:t/>
      </w:r>
      <w:r w:rsidR="008E1B6A"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eastAsia="Arial Narrow" w:hAnsi="Arial Narrow" w:cs="Arial Narrow"/>
          <w:sz w:val="22"/>
          <w:szCs w:val="22"/>
          <w:lang w:eastAsia="es-ES"/>
        </w:rPr>
        <w:t xml:space="preserve"/>
      </w:r>
      <w:r w:rsidR="00FB6A21"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E5122D"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166C4">
        <w:rPr>
          <w:rFonts w:ascii="Arial Narrow" w:eastAsia="Arial Narrow" w:hAnsi="Arial Narrow" w:cs="Arial Narrow"/>
          <w:sz w:val="22"/>
          <w:szCs w:val="22"/>
          <w:lang w:eastAsia="es-ES"/>
        </w:rPr>
        <w:t xml:space="preserve"/>
      </w:r>
      <w:r w:rsidR="00FB6A21" w:rsidRPr="0062222B">
        <w:rPr>
          <w:rFonts w:ascii="Arial Narrow" w:eastAsia="Arial Narrow" w:hAnsi="Arial Narrow" w:cs="Arial Narrow"/>
          <w:sz w:val="22"/>
          <w:szCs w:val="22"/>
          <w:lang w:eastAsia="es-ES"/>
        </w:rPr>
        <w:t/>
      </w:r>
      <w:r w:rsidR="006166C4" w:rsidRPr="0062222B">
        <w:rPr>
          <w:rFonts w:ascii="Arial Narrow" w:eastAsia="Arial Narrow" w:hAnsi="Arial Narrow" w:cs="Arial Narrow"/>
          <w:sz w:val="22"/>
          <w:szCs w:val="22"/>
          <w:lang w:eastAsia="es-ES"/>
        </w:rPr>
        <w:t xml:space="preserve"/>
      </w:r>
      <w:r w:rsidR="005D1123">
        <w:rPr>
          <w:rFonts w:ascii="Arial Narrow" w:eastAsia="Arial Narrow" w:hAnsi="Arial Narrow" w:cs="Arial Narrow"/>
          <w:sz w:val="22"/>
          <w:szCs w:val="22"/>
          <w:lang w:eastAsia="es-ES"/>
        </w:rPr>
        <w:t xml:space="preserve"/>
      </w:r>
      <w:r w:rsidR="006166C4" w:rsidRPr="0062222B">
        <w:rPr>
          <w:rFonts w:ascii="Arial Narrow" w:eastAsia="Arial Narrow" w:hAnsi="Arial Narrow" w:cs="Arial Narrow"/>
          <w:sz w:val="22"/>
          <w:szCs w:val="22"/>
          <w:lang w:eastAsia="es-ES"/>
        </w:rPr>
        <w:t xml:space="preserve"/>
      </w:r>
      <w:r w:rsidR="0062222B" w:rsidRPr="0062222B">
        <w:rPr>
          <w:rFonts w:ascii="Arial Narrow" w:eastAsia="Arial Narrow" w:hAnsi="Arial Narrow" w:cs="Arial Narrow"/>
          <w:sz w:val="22"/>
          <w:szCs w:val="22"/>
          <w:lang w:eastAsia="es-ES"/>
        </w:rPr>
        <w:t/>
      </w:r>
    </w:p>
    <w:p w14:paraId="4F144C65" w14:textId="77777777" w:rsidR="00543B73" w:rsidRPr="00E902D0" w:rsidRDefault="00543B73"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9B5E9A">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9B5E9A">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9B5E9A">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9B5E9A">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9B5E9A">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9B5E9A">
      <w:pPr>
        <w:spacing w:before="0" w:after="0" w:line="240" w:lineRule="auto"/>
        <w:ind w:left="567" w:hanging="567"/>
        <w:jc w:val="both"/>
        <w:rPr>
          <w:rFonts w:ascii="Arial Narrow" w:eastAsia="Arial Narrow" w:hAnsi="Arial Narrow" w:cs="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19 de marzo de 2025, subsanado por escrito el 16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9B5E9A">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9B5E9A">
      <w:pPr>
        <w:spacing w:before="0" w:after="0" w:line="240" w:lineRule="auto"/>
        <w:jc w:val="both"/>
        <w:rPr>
          <w:rFonts w:ascii="Arial Narrow" w:eastAsia="Arial Narrow" w:hAnsi="Arial Narrow" w:cs="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p>
    <w:p w14:paraId="2F68CD60" w14:textId="77777777" w:rsidR="001D7531" w:rsidRPr="00E902D0" w:rsidRDefault="001D7531" w:rsidP="009B5E9A">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9B5E9A">
      <w:pPr>
        <w:spacing w:before="0" w:after="0" w:line="240" w:lineRule="auto"/>
        <w:jc w:val="both"/>
        <w:rPr>
          <w:rFonts w:ascii="Arial Narrow" w:eastAsia="Arial Narrow" w:hAnsi="Arial Narrow" w:cs="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spacing w:before="0" w:after="0" w:line="240" w:lineRule="auto"/>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eastAsia="Arial Narrow" w:hAnsi="Arial Narrow" w:cs="Arial Narrow"/>
          <w:sz w:val="22"/>
          <w:szCs w:val="22"/>
        </w:rPr>
        <w:t>La Secretaría Técnica de la Comisión de Protección al Consumidor 1 (en adelante, Secretaría Técnica), en ejercicio de sus facultades</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vertAlign w:val="superscript"/>
        </w:rPr>
        <w:t>,</w:t>
      </w:r>
      <w:r w:rsidRPr="00E902D0">
        <w:rPr>
          <w:rFonts w:ascii="Arial Narrow" w:eastAsia="Arial Narrow" w:hAnsi="Arial Narrow" w:cs="Arial Narrow"/>
          <w:sz w:val="22"/>
          <w:szCs w:val="22"/>
        </w:rPr>
        <w:t xml:space="preserve"> considera que el hecho </w:t>
      </w:r>
      <w:bookmarkEnd w:id="2"/>
      <w:r w:rsidRPr="00E902D0">
        <w:rPr>
          <w:rFonts w:ascii="Arial Narrow" w:eastAsia="Arial Narrow" w:hAnsi="Arial Narrow" w:cs="Arial Narrow"/>
          <w:sz w:val="22"/>
          <w:szCs w:val="22"/>
        </w:rPr>
        <w:t xml:space="preserve">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cs="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spacing w:before="0" w:after="0" w:line="240" w:lineRule="auto"/>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1B914012" w14:textId="77777777" w:rsidR="007E5A55" w:rsidRPr="00E902D0" w:rsidRDefault="007E5A55" w:rsidP="009B5E9A">
      <w:pPr>
        <w:spacing w:before="0" w:after="0" w:line="240" w:lineRule="auto"/>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F31AE41" w14:textId="77777777" w:rsidR="00EC5403" w:rsidRPr="00E902D0" w:rsidRDefault="00EC5403" w:rsidP="00EC5403">
      <w:pPr>
        <w:spacing w:before="0" w:after="0" w:line="240" w:lineRule="auto"/>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9E96FE5" w14:textId="77777777" w:rsidR="00A959DF" w:rsidRPr="00E902D0" w:rsidRDefault="00A959DF" w:rsidP="009B5E9A">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9B5E9A">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w:t>
      </w:r>
      <w:r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eastAsia="Arial Narrow" w:hAnsi="Arial Narrow" w:cs="Arial Narrow"/>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spacing w:before="0" w:after="0" w:line="240" w:lineRule="auto"/>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spacing w:before="0" w:after="0" w:line="240" w:lineRule="auto"/>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eastAsia="Arial Narrow" w:hAnsi="Arial Narrow" w:cs="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19 de marzo de 2025, subsanado por escrito el 16 de abril de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spacing w:before="0" w:after="0" w:line="240" w:lineRule="auto"/>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19 de marzo de 2025, subsanado por escrito el 16 de abril de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D61CCA">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0D05DA" w:rsidRPr="00E902D0">
        <w:rPr>
          <w:rFonts w:ascii="Arial Narrow" w:eastAsia="Arial Narrow" w:hAnsi="Arial Narrow" w:cs="Arial Narrow"/>
          <w:sz w:val="22"/>
          <w:szCs w:val="22"/>
        </w:rPr>
        <w:t xml:space="preserve"/>
      </w:r>
      <w:r w:rsidR="00294A2E" w:rsidRPr="00E902D0">
        <w:rPr>
          <w:rFonts w:ascii="Arial Narrow" w:eastAsia="Arial Narrow" w:hAnsi="Arial Narrow" w:cs="Arial Narrow"/>
          <w:sz w:val="22"/>
          <w:szCs w:val="22"/>
        </w:rPr>
        <w:t/>
      </w:r>
      <w:r w:rsidR="005C07D1">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5C07D1">
        <w:rPr>
          <w:rFonts w:ascii="Arial Narrow" w:eastAsia="Arial Narrow" w:hAnsi="Arial Narrow" w:cs="Arial Narrow"/>
          <w:sz w:val="22"/>
          <w:szCs w:val="22"/>
        </w:rPr>
        <w:t xml:space="preserve"/>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w:r>
    </w:p>
    <w:p w14:paraId="117416CC" w14:textId="77777777" w:rsidR="00BF4466" w:rsidRPr="00E902D0" w:rsidRDefault="00BF4466" w:rsidP="009B5E9A">
      <w:pPr>
        <w:spacing w:before="0" w:after="0" w:line="240" w:lineRule="auto"/>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eastAsia="Arial Narrow" w:hAnsi="Arial Narrow" w:cs="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eastAsia="Arial Narrow" w:hAnsi="Arial Narrow" w:cs="Arial Narrow"/>
          <w:sz w:val="22"/>
          <w:szCs w:val="22"/>
          <w:lang w:eastAsia="es-ES"/>
        </w:rPr>
        <w:t xml:space="preserve"> BNR-296</w:t>
      </w:r>
      <w:bookmarkEnd w:id="5"/>
      <w:r w:rsidR="007725A9" w:rsidRPr="00E902D0">
        <w:rPr>
          <w:rFonts w:ascii="Arial Narrow" w:eastAsia="Arial Narrow" w:hAnsi="Arial Narrow" w:cs="Arial Narrow"/>
          <w:sz w:val="22"/>
          <w:szCs w:val="22"/>
          <w:lang w:eastAsia="es-ES"/>
        </w:rPr>
        <w:t>.</w:t>
      </w:r>
    </w:p>
    <w:p w14:paraId="33CA61EF" w14:textId="77777777" w:rsidR="005761C7" w:rsidRDefault="005761C7" w:rsidP="009B5E9A">
      <w:pPr>
        <w:pStyle w:val="Prrafodelista"/>
        <w:spacing w:before="0" w:after="0" w:line="240" w:lineRule="auto"/>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eastAsia="Arial Narrow" w:hAnsi="Arial Narrow" w:cs="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eastAsia="Arial Narrow" w:hAnsi="Arial Narrow" w:cs="Arial Narrow"/>
          <w:sz w:val="22"/>
          <w:szCs w:val="22"/>
          <w:lang w:eastAsia="es-ES"/>
        </w:rPr>
        <w:t xml:space="preserve"> BNR-296</w:t>
      </w:r>
      <w:r w:rsidRPr="00E902D0">
        <w:rPr>
          <w:rFonts w:ascii="Arial Narrow" w:eastAsia="Arial Narrow" w:hAnsi="Arial Narrow" w:cs="Arial Narrow"/>
          <w:sz w:val="22"/>
          <w:szCs w:val="22"/>
          <w:lang w:eastAsia="es-ES"/>
        </w:rPr>
        <w:t>.</w:t>
      </w:r>
    </w:p>
    <w:p w14:paraId="3C587830" w14:textId="77777777" w:rsidR="002F3992" w:rsidRDefault="002F3992" w:rsidP="009B5E9A">
      <w:pPr>
        <w:pStyle w:val="Prrafodelista"/>
        <w:spacing w:before="0" w:after="0" w:line="240" w:lineRule="auto"/>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eastAsia="Arial Narrow" w:hAnsi="Arial Narrow" w:cs="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eastAsia="Arial Narrow" w:hAnsi="Arial Narrow" w:cs="Arial Narrow"/>
          <w:sz w:val="22"/>
          <w:szCs w:val="22"/>
          <w:lang w:eastAsia="es-ES"/>
        </w:rPr>
        <w:t xml:space="preserve"> BNR-296 presentaba fallas por recalentamiento del motor, condicionando el pago de la Cotización 0102215270 para que </w:t>
      </w:r>
      <w:r w:rsidR="005377F3" w:rsidRPr="0059127A">
        <w:rPr>
          <w:rFonts w:ascii="Arial Narrow" w:eastAsia="Arial Narrow" w:hAnsi="Arial Narrow" w:cs="Arial Narrow"/>
          <w:sz w:val="22"/>
          <w:szCs w:val="22"/>
          <w:lang w:eastAsia="es-ES"/>
        </w:rPr>
        <w:t>continúen con las reparaciones</w:t>
      </w:r>
      <w:r w:rsidR="005377F3">
        <w:rPr>
          <w:rFonts w:ascii="Arial Narrow" w:eastAsia="Arial Narrow" w:hAnsi="Arial Narrow" w:cs="Arial Narrow"/>
          <w:sz w:val="22"/>
          <w:szCs w:val="22"/>
          <w:lang w:eastAsia="es-ES"/>
        </w:rPr>
        <w:t>.</w:t>
      </w:r>
    </w:p>
    <w:p w14:paraId="6BE1E30D" w14:textId="77777777" w:rsidR="005C07D1" w:rsidRPr="00E902D0" w:rsidRDefault="005C07D1" w:rsidP="009B5E9A">
      <w:pPr>
        <w:pStyle w:val="Prrafodelista"/>
        <w:spacing w:before="0" w:after="0" w:line="240" w:lineRule="auto"/>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eastAsia="Arial Narrow" w:hAnsi="Arial Narrow" w:cs="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eastAsia="Arial Narrow" w:hAnsi="Arial Narrow" w:cs="Arial Narrow"/>
          <w:sz w:val="22"/>
          <w:szCs w:val="22"/>
          <w:lang w:eastAsia="es-ES"/>
        </w:rPr>
        <w:t xml:space="preserve"> BNR-296, pese a que no se apersonaron al taller donde se encontraba la unidad asegurada</w:t>
      </w:r>
      <w:r w:rsidR="005377F3">
        <w:rPr>
          <w:rFonts w:ascii="Arial Narrow" w:eastAsia="Arial Narrow" w:hAnsi="Arial Narrow" w:cs="Arial Narrow"/>
          <w:sz w:val="22"/>
          <w:szCs w:val="22"/>
          <w:lang w:eastAsia="es-ES"/>
        </w:rPr>
        <w:t>.</w:t>
      </w:r>
    </w:p>
    <w:p w14:paraId="4F8CBFAD" w14:textId="77777777" w:rsidR="002E38D6" w:rsidRPr="00E902D0" w:rsidRDefault="002E38D6"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eastAsia="Arial Narrow" w:hAnsi="Arial Narrow" w:cs="Arial Narrow"/>
          <w:sz w:val="22"/>
          <w:szCs w:val="22"/>
        </w:rPr>
        <w:t xml:space="preserve"> </w:t>
      </w:r>
      <w:r w:rsidR="00151F4E" w:rsidRPr="00E902D0">
        <w:rPr>
          <w:rFonts w:ascii="Arial Narrow" w:eastAsia="Arial Narrow" w:hAnsi="Arial Narrow" w:cs="Arial Narrow"/>
          <w:sz w:val="22"/>
          <w:szCs w:val="22"/>
        </w:rPr>
        <w:t xml:space="preserve">subsanado por escrito el 16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spacing w:before="0" w:after="0" w:line="240" w:lineRule="auto"/>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P</w:t>
      </w:r>
      <w:r w:rsidR="00D61CCA">
        <w:rPr>
          <w:rFonts w:ascii="Arial Narrow" w:eastAsia="Arial Narrow" w:hAnsi="Arial Narrow" w:cs="Arial Narrow"/>
          <w:sz w:val="22"/>
          <w:szCs w:val="22"/>
        </w:rPr>
        <w:t>acífico</w:t>
      </w:r>
      <w:r w:rsidR="00294A2E" w:rsidRPr="00E902D0">
        <w:rPr>
          <w:rFonts w:ascii="Arial Narrow" w:eastAsia="Arial Narrow" w:hAnsi="Arial Narrow" w:cs="Arial Narrow"/>
          <w:sz w:val="22"/>
          <w:szCs w:val="22"/>
        </w:rPr>
        <w:t xml:space="preserve"> Seguros y Reaseguros S.A.</w:t>
      </w:r>
      <w:r w:rsidR="00271380">
        <w:rPr>
          <w:rFonts w:ascii="Arial Narrow" w:eastAsia="Arial Narrow" w:hAnsi="Arial Narrow" w:cs="Arial Narrow"/>
          <w:sz w:val="22"/>
          <w:szCs w:val="22"/>
        </w:rPr>
        <w:t>,</w:t>
      </w:r>
      <w:r w:rsidR="00D457D4" w:rsidRPr="00E902D0">
        <w:rPr>
          <w:rFonts w:ascii="Arial Narrow" w:eastAsia="Arial Narrow" w:hAnsi="Arial Narrow" w:cs="Arial Narrow"/>
          <w:sz w:val="22"/>
          <w:szCs w:val="22"/>
        </w:rPr>
        <w:t xml:space="preserve"> </w:t>
      </w:r>
      <w:r w:rsidR="001E095E" w:rsidRPr="00E902D0">
        <w:rPr>
          <w:rFonts w:ascii="Arial Narrow" w:eastAsia="Arial Narrow" w:hAnsi="Arial Narrow" w:cs="Arial Narrow"/>
          <w:sz w:val="22"/>
          <w:szCs w:val="22"/>
        </w:rPr>
        <w:t>Diveimport S.A.</w:t>
      </w:r>
      <w:r w:rsidR="00271380">
        <w:rPr>
          <w:rFonts w:ascii="Arial Narrow" w:eastAsia="Arial Narrow" w:hAnsi="Arial Narrow" w:cs="Arial Narrow"/>
          <w:sz w:val="22"/>
          <w:szCs w:val="22"/>
        </w:rPr>
        <w:t xml:space="preserve"> y </w:t>
      </w:r>
      <w:r w:rsidR="00271380" w:rsidRPr="00271380">
        <w:rPr>
          <w:rFonts w:ascii="Arial Narrow" w:eastAsia="Arial Narrow" w:hAnsi="Arial Narrow" w:cs="Arial Narrow"/>
          <w:sz w:val="22"/>
          <w:szCs w:val="22"/>
        </w:rPr>
        <w:t xml:space="preserve">GD Ajustadores </w:t>
      </w:r>
      <w:r w:rsidR="00C91250">
        <w:rPr>
          <w:rFonts w:ascii="Arial Narrow" w:eastAsia="Arial Narrow" w:hAnsi="Arial Narrow" w:cs="Arial Narrow"/>
          <w:sz w:val="22"/>
          <w:szCs w:val="22"/>
        </w:rPr>
        <w:t>d</w:t>
      </w:r>
      <w:r w:rsidR="00271380" w:rsidRPr="00271380">
        <w:rPr>
          <w:rFonts w:ascii="Arial Narrow" w:eastAsia="Arial Narrow" w:hAnsi="Arial Narrow" w:cs="Arial Narrow"/>
          <w:sz w:val="22"/>
          <w:szCs w:val="22"/>
        </w:rPr>
        <w:t>e Seguros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que cumpla</w:t>
      </w:r>
      <w:r w:rsidR="00E21096">
        <w:rPr>
          <w:rFonts w:ascii="Arial Narrow" w:eastAsia="Arial Narrow" w:hAnsi="Arial Narrow" w:cs="Arial Narrow"/>
          <w:sz w:val="22"/>
          <w:szCs w:val="22"/>
        </w:rPr>
        <w:t>n</w:t>
      </w:r>
      <w:r w:rsidR="00A67DAD" w:rsidRPr="00E902D0">
        <w:rPr>
          <w:rFonts w:ascii="Arial Narrow" w:eastAsia="Arial Narrow" w:hAnsi="Arial Narrow" w:cs="Arial Narrow"/>
          <w:sz w:val="22"/>
          <w:szCs w:val="22"/>
        </w:rPr>
        <w:t xml:space="preserve"> con lo siguiente: </w:t>
      </w:r>
    </w:p>
    <w:bookmarkEnd w:id="6"/>
    <w:p w14:paraId="19BDC2CF" w14:textId="77777777" w:rsidR="00A67DAD" w:rsidRPr="00E902D0" w:rsidRDefault="00A67DAD" w:rsidP="009B5E9A">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Arial Narrow" w:hAnsi="Arial Narrow" w:cs="Arial Narrow"/>
          <w:sz w:val="22"/>
          <w:szCs w:val="22"/>
          <w:vertAlign w:val="superscript"/>
        </w:rPr>
        <w:footnoteReference w:id="10"/>
      </w:r>
      <w:r w:rsidRPr="00C67775">
        <w:rPr>
          <w:rFonts w:ascii="Arial Narrow" w:eastAsia="Arial Narrow" w:hAnsi="Arial Narrow" w:cs="Arial Narrow"/>
          <w:sz w:val="22"/>
          <w:szCs w:val="22"/>
        </w:rPr>
        <w:t xml:space="preserve">. Ello, a fin de que la Comisión pueda merituar dicha documentación, conforme lo establece el artículo 110 del </w:t>
      </w:r>
      <w:r w:rsidRPr="00C67775">
        <w:rPr>
          <w:rFonts w:ascii="Arial Narrow" w:eastAsia="Arial Narrow" w:hAnsi="Arial Narrow" w:cs="Arial Narrow"/>
          <w:spacing w:val="-2"/>
          <w:sz w:val="22"/>
          <w:szCs w:val="22"/>
        </w:rPr>
        <w:t>Código</w:t>
      </w:r>
      <w:r w:rsidRPr="00C67775">
        <w:rPr>
          <w:rStyle w:val="Refdenotaalpie"/>
          <w:rFonts w:ascii="Arial Narrow" w:eastAsia="Arial Narrow" w:hAnsi="Arial Narrow" w:cs="Arial Narrow"/>
          <w:spacing w:val="-2"/>
          <w:sz w:val="22"/>
          <w:szCs w:val="22"/>
          <w:vertAlign w:val="superscript"/>
        </w:rPr>
        <w:footnoteReference w:id="11"/>
      </w:r>
      <w:r w:rsidRPr="00C67775">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9B5E9A">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Seguros y Reaseguros S.A., Diveimport S.A. y GD Ajustadores de Seguros S.A.C.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9B5E9A">
      <w:pPr>
        <w:spacing w:before="0" w:after="0" w:line="240" w:lineRule="auto"/>
        <w:jc w:val="both"/>
        <w:rPr>
          <w:rFonts w:ascii="Arial Narrow" w:eastAsia="Arial Narrow" w:hAnsi="Arial Narrow" w:cs="Arial Narrow"/>
          <w:b/>
          <w:bCs/>
          <w:sz w:val="22"/>
          <w:szCs w:val="22"/>
          <w:lang w:eastAsia="es-ES"/>
        </w:rPr>
      </w:pPr>
    </w:p>
    <w:p w14:paraId="5D99DE99" w14:textId="4A768994" w:rsidR="00294A2E" w:rsidRPr="00E902D0" w:rsidRDefault="00A84D46" w:rsidP="009B5E9A">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294A2E" w:rsidRPr="00E902D0">
        <w:rPr>
          <w:rFonts w:ascii="Arial Narrow" w:eastAsia="Arial Narrow" w:hAnsi="Arial Narrow" w:cs="Arial Narrow"/>
          <w:sz w:val="22"/>
          <w:szCs w:val="22"/>
        </w:rPr>
        <w:t xml:space="preserve"> Seguros y Reaseguros S.A</w:t>
      </w:r>
      <w:r w:rsidR="007E5A55" w:rsidRPr="00E902D0">
        <w:rPr>
          <w:rFonts w:ascii="Arial Narrow" w:eastAsia="Arial Narrow" w:hAnsi="Arial Narrow" w:cs="Arial Narrow"/>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eastAsia="Arial Narrow" w:hAnsi="Arial Narrow" w:cs="Arial Narrow"/>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spacing w:before="0" w:after="0" w:line="240" w:lineRule="auto"/>
        <w:jc w:val="both"/>
        <w:rPr>
          <w:rFonts w:ascii="Arial Narrow" w:eastAsia="Arial Narrow" w:hAnsi="Arial Narrow" w:cs="Arial Narrow"/>
          <w:b/>
          <w:bCs/>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eastAsia="Arial Narrow" w:hAnsi="Arial Narrow" w:cs="Arial Narrow"/>
          <w:b/>
          <w:bCs/>
          <w:spacing w:val="-2"/>
          <w:sz w:val="22"/>
          <w:szCs w:val="22"/>
          <w:lang w:eastAsia="es-ES"/>
        </w:rPr>
        <w:t>S</w:t>
      </w:r>
      <w:r w:rsidR="00440CD6">
        <w:rPr>
          <w:rFonts w:ascii="Arial Narrow" w:eastAsia="Arial Narrow" w:hAnsi="Arial Narrow" w:cs="Arial Narrow"/>
          <w:b/>
          <w:bCs/>
          <w:spacing w:val="-2"/>
          <w:sz w:val="22"/>
          <w:szCs w:val="22"/>
          <w:lang w:eastAsia="es-ES"/>
        </w:rPr>
        <w:t>É</w:t>
      </w:r>
      <w:r w:rsidRPr="00E902D0">
        <w:rPr>
          <w:rFonts w:ascii="Arial Narrow" w:eastAsia="Arial Narrow" w:hAnsi="Arial Narrow" w:cs="Arial Narrow"/>
          <w:b/>
          <w:bCs/>
          <w:spacing w:val="-2"/>
          <w:sz w:val="22"/>
          <w:szCs w:val="22"/>
          <w:lang w:eastAsia="es-ES"/>
        </w:rPr>
        <w:t>TIMO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B80358" w:rsidRPr="00E902D0">
        <w:rPr>
          <w:rFonts w:ascii="Arial Narrow" w:eastAsia="Arial Narrow" w:hAnsi="Arial Narrow" w:cs="Arial Narrow"/>
          <w:sz w:val="22"/>
          <w:szCs w:val="22"/>
        </w:rPr>
        <w:t>Diveimport S.A.</w:t>
      </w:r>
      <w:r w:rsidR="00D457D4" w:rsidRPr="00E902D0">
        <w:rPr>
          <w:rStyle w:val="normaltextrun"/>
          <w:rFonts w:ascii="Arial Narrow" w:eastAsia="Arial Narrow" w:hAnsi="Arial Narrow" w:cs="Arial Narrow"/>
          <w:sz w:val="22"/>
          <w:szCs w:val="22"/>
          <w:shd w:val="clear" w:color="auto" w:fill="FFFFFF"/>
        </w:rPr>
        <w:t xml:space="preserve">, </w:t>
      </w:r>
      <w:r w:rsidR="00D457D4"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eastAsia="Arial Narrow" w:hAnsi="Arial Narrow" w:cs="Arial Narrow"/>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spacing w:before="0" w:after="0" w:line="240" w:lineRule="auto"/>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a </w:t>
      </w:r>
      <w:r w:rsidR="001747D4" w:rsidRPr="001747D4">
        <w:rPr>
          <w:rFonts w:ascii="Arial Narrow" w:eastAsia="Arial Narrow" w:hAnsi="Arial Narrow" w:cs="Arial Narrow"/>
          <w:sz w:val="22"/>
          <w:szCs w:val="22"/>
        </w:rPr>
        <w:t>GD Ajustadores de Seguros S.A</w:t>
      </w:r>
      <w:r w:rsidRPr="001747D4">
        <w:rPr>
          <w:rFonts w:ascii="Arial Narrow" w:eastAsia="Arial Narrow" w:hAnsi="Arial Narrow" w:cs="Arial Narrow"/>
          <w:sz w:val="22"/>
          <w:szCs w:val="22"/>
        </w:rPr>
        <w:t>.</w:t>
      </w:r>
      <w:r w:rsidRPr="001747D4">
        <w:rPr>
          <w:rStyle w:val="normaltextrun"/>
          <w:rFonts w:ascii="Arial Narrow" w:eastAsia="Arial Narrow" w:hAnsi="Arial Narrow" w:cs="Arial Narrow"/>
          <w:sz w:val="22"/>
          <w:szCs w:val="22"/>
          <w:shd w:val="clear" w:color="auto" w:fill="FFFFFF"/>
        </w:rPr>
        <w:t xml:space="preserve">, </w:t>
      </w:r>
      <w:r w:rsidRPr="001747D4">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eastAsia="Arial Narrow" w:hAnsi="Arial Narrow" w:cs="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eastAsia="Arial Narrow" w:hAnsi="Arial Narrow" w:cs="Arial Narrow"/>
          <w:spacing w:val="-2"/>
          <w:sz w:val="22"/>
          <w:szCs w:val="22"/>
        </w:rPr>
      </w:pPr>
      <w:bookmarkStart w:id="11"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6"/>
      </w:r>
      <w:r w:rsidRPr="00E902D0">
        <w:rPr>
          <w:rFonts w:ascii="Arial Narrow" w:eastAsia="Arial Narrow" w:hAnsi="Arial Narrow" w:cs="Arial Narrow"/>
          <w:sz w:val="22"/>
          <w:szCs w:val="22"/>
        </w:rPr>
        <w:t>.</w:t>
      </w:r>
    </w:p>
    <w:bookmarkEnd w:id="11"/>
    <w:p w14:paraId="71B707D5" w14:textId="77777777" w:rsidR="00A67DAD" w:rsidRPr="00E902D0" w:rsidRDefault="00A67DAD" w:rsidP="009B5E9A">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pacing w:before="0" w:after="0" w:line="240" w:lineRule="auto"/>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expresamente su facultad para asistir y conciliar en su representación</w:t>
      </w:r>
      <w:r w:rsidR="00A67DAD" w:rsidRPr="00E902D0">
        <w:rPr>
          <w:rFonts w:ascii="Arial Narrow" w:eastAsia="Arial Narrow" w:hAnsi="Arial Narrow" w:cs="Arial Narrow"/>
          <w:sz w:val="22"/>
          <w:szCs w:val="22"/>
        </w:rPr>
        <w:t>.</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E902D0" w:rsidRDefault="00A67DAD" w:rsidP="009B5E9A">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pacing w:before="0" w:after="0" w:line="240" w:lineRule="auto"/>
        <w:shd w:val="clear" w:color="auto" w:fill="FFFFFF"/>
        <w:rPr>
          <w:rFonts w:ascii="Arial Narrow" w:eastAsia="Arial Narrow" w:hAnsi="Arial Narrow" w:cs="Arial Narrow"/>
          <w:b/>
          <w:bCs/>
          <w:sz w:val="22"/>
          <w:szCs w:val="22"/>
        </w:rPr>
      </w:pPr>
    </w:p>
    <w:p w14:paraId="65ABA9E0" w14:textId="66D59D50" w:rsidR="00106EDA" w:rsidRPr="00106EDA" w:rsidRDefault="00106EDA" w:rsidP="00106EDA">
      <w:pPr>
        <w:shd w:val="clear" w:color="auto" w:fill="FFFFFF"/>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SEGUNDO:</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rPr>
        <w:t xml:space="preserve">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sz w:val="22"/>
          <w:szCs w:val="22"/>
        </w:rPr>
        <w:t/>
      </w:r>
      <w:r w:rsidRPr="00106EDA">
        <w:rPr>
          <w:rFonts w:ascii="Arial Narrow" w:eastAsia="Arial Narrow" w:hAnsi="Arial Narrow" w:cs="Arial Narrow"/>
          <w:sz w:val="22"/>
          <w:szCs w:val="22"/>
        </w:rPr>
        <w:t/>
      </w:r>
      <w:r w:rsidRPr="00106EDA">
        <w:rPr>
          <w:rFonts w:ascii="Arial Narrow" w:eastAsia="Arial Narrow" w:hAnsi="Arial Narrow" w:cs="Arial Narrow"/>
          <w:sz w:val="22"/>
          <w:szCs w:val="22"/>
        </w:rPr>
        <w:t xml:space="preserve"/>
      </w:r>
      <w:r w:rsidRPr="00106EDA">
        <w:rPr>
          <w:rFonts w:ascii="Arial Narrow" w:eastAsia="Arial Narrow" w:hAnsi="Arial Narrow" w:cs="Arial Narrow"/>
          <w:color w:val="000000"/>
          <w:sz w:val="22"/>
          <w:szCs w:val="22"/>
        </w:rPr>
        <w:t xml:space="preserve"/>
      </w:r>
      <w:r w:rsidR="00C165E6" w:rsidRPr="00E902D0">
        <w:rPr>
          <w:rFonts w:ascii="Arial Narrow" w:eastAsia="Arial Narrow" w:hAnsi="Arial Narrow" w:cs="Arial Narrow"/>
          <w:sz w:val="22"/>
          <w:szCs w:val="22"/>
        </w:rPr>
        <w:t/>
      </w:r>
      <w:r w:rsidR="00C165E6">
        <w:rPr>
          <w:rFonts w:ascii="Arial Narrow" w:eastAsia="Arial Narrow" w:hAnsi="Arial Narrow" w:cs="Arial Narrow"/>
          <w:sz w:val="22"/>
          <w:szCs w:val="22"/>
        </w:rPr>
        <w:t/>
      </w:r>
      <w:r w:rsidR="00C165E6"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sz w:val="22"/>
          <w:szCs w:val="22"/>
        </w:rPr>
        <w:t xml:space="preserve"/>
      </w:r>
      <w:r w:rsidRPr="00106EDA">
        <w:rPr>
          <w:rFonts w:ascii="Arial Narrow" w:eastAsia="Arial Narrow" w:hAnsi="Arial Narrow" w:cs="Arial Narrow"/>
          <w:sz w:val="22"/>
          <w:szCs w:val="22"/>
        </w:rPr>
        <w:t/>
      </w:r>
      <w:r w:rsidRPr="00106EDA">
        <w:rPr>
          <w:rStyle w:val="Refdenotaalpie"/>
          <w:rFonts w:ascii="Arial Narrow" w:eastAsia="Arial Narrow" w:hAnsi="Arial Narrow" w:cs="Arial Narrow"/>
          <w:sz w:val="22"/>
          <w:szCs w:val="22"/>
          <w:vertAlign w:val="superscript"/>
        </w:rPr>
        <w:footnoteReference w:id="18"/>
      </w:r>
      <w:r w:rsidRPr="00106EDA">
        <w:rPr>
          <w:rFonts w:ascii="Arial Narrow" w:eastAsia="Arial Narrow" w:hAnsi="Arial Narrow" w:cs="Arial Narrow"/>
          <w:sz w:val="22"/>
          <w:szCs w:val="22"/>
        </w:rPr>
        <w:t/>
      </w:r>
    </w:p>
    <w:p w14:paraId="05A0E9FE" w14:textId="77777777" w:rsidR="00106EDA" w:rsidRPr="00106EDA" w:rsidRDefault="00106EDA" w:rsidP="00106EDA">
      <w:pPr>
        <w:spacing w:before="0" w:after="0" w:line="240" w:lineRule="auto"/>
        <w:shd w:val="clear" w:color="auto" w:fill="FFFFFF"/>
        <w:jc w:val="both"/>
        <w:rPr>
          <w:rFonts w:ascii="Arial Narrow" w:eastAsia="Arial Narrow" w:hAnsi="Arial Narrow" w:cs="Arial Narrow"/>
          <w:color w:val="000000"/>
          <w:sz w:val="22"/>
          <w:szCs w:val="22"/>
        </w:rPr>
      </w:pPr>
    </w:p>
    <w:p w14:paraId="093D732B" w14:textId="409F4451" w:rsidR="00106EDA" w:rsidRPr="00106EDA" w:rsidRDefault="00106EDA" w:rsidP="00106EDA">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sidR="00C165E6">
        <w:rPr>
          <w:rFonts w:ascii="Arial Narrow" w:eastAsia="Arial Narrow" w:hAnsi="Arial Narrow" w:cs="Arial Narrow"/>
          <w:color w:val="000000"/>
          <w:sz w:val="22"/>
          <w:szCs w:val="22"/>
        </w:rPr>
        <w:t xml:space="preserve"> </w:t>
      </w:r>
      <w:r w:rsidR="00C165E6" w:rsidRPr="00C165E6">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C165E6" w:rsidRPr="00C165E6">
        <w:rPr>
          <w:rFonts w:ascii="Arial Narrow" w:eastAsia="Arial Narrow" w:hAnsi="Arial Narrow" w:cs="Arial Narrow"/>
          <w:sz w:val="22"/>
          <w:szCs w:val="22"/>
        </w:rPr>
        <w:t xml:space="preserve"> Compañía de Seguros y Reaseguros S.A., Diveimport S.A. y GD Ajustadores de Seguros S.A</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w:t>
      </w:r>
      <w:r w:rsidR="00DA5F4C">
        <w:rPr>
          <w:rFonts w:ascii="Arial Narrow" w:eastAsia="Arial Narrow" w:hAnsi="Arial Narrow" w:cs="Arial Narrow"/>
          <w:sz w:val="22"/>
          <w:szCs w:val="22"/>
        </w:rPr>
        <w:t>n</w:t>
      </w:r>
      <w:r w:rsidRPr="00106EDA">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eastAsia="Arial Narrow" w:hAnsi="Arial Narrow" w:cs="Arial Narrow"/>
          <w:b/>
          <w:bCs/>
          <w:sz w:val="22"/>
          <w:szCs w:val="22"/>
        </w:rPr>
      </w:pPr>
    </w:p>
    <w:p w14:paraId="2EDA3383" w14:textId="77777777" w:rsidR="00A67DAD" w:rsidRDefault="00A67DAD" w:rsidP="009B5E9A">
      <w:pPr>
        <w:shd w:val="clear" w:color="auto" w:fill="FFFFFF"/>
        <w:jc w:val="center"/>
        <w:rPr>
          <w:rFonts w:ascii="Arial Narrow" w:eastAsia="Arial Narrow" w:hAnsi="Arial Narrow" w:cs="Arial Narrow"/>
          <w:b/>
          <w:bCs/>
          <w:sz w:val="22"/>
          <w:szCs w:val="22"/>
        </w:rPr>
      </w:pPr>
    </w:p>
    <w:p w14:paraId="0F4E3C8C" w14:textId="77777777" w:rsidR="00106EDA" w:rsidRPr="00E902D0" w:rsidRDefault="00106EDA" w:rsidP="009B5E9A">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9B5E9A">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9B5E9A">
      <w:pPr>
        <w:shd w:val="clear" w:color="auto" w:fill="FFFFFF"/>
        <w:jc w:val="center"/>
        <w:rPr>
          <w:rFonts w:ascii="Arial Narrow" w:eastAsia="Arial Narrow" w:hAnsi="Arial Narrow" w:cs="Arial Narrow"/>
          <w:b/>
          <w:bCs/>
          <w:sz w:val="22"/>
          <w:szCs w:val="22"/>
        </w:rPr>
      </w:pPr>
    </w:p>
    <w:p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9B5E9A">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9B5E9A">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t xml:space="preserve">Representada por el señor [APELLIDO] . </w:t>
      </w:r>
      <w:r w:rsidR="00115282" w:rsidRPr="00E902D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1577ED73" w14:textId="77777777" w:rsidR="00106EDA" w:rsidRPr="00D22D99" w:rsidRDefault="00106EDA" w:rsidP="00106EDA">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