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6B2E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2BB8" w:rsidRPr="004A2BB8">
        <w:rPr>
          <w:rFonts w:ascii="Arial Narrow" w:eastAsia="Arial Narrow" w:hAnsi="Arial Narrow" w:cs="Arial Narrow"/>
          <w:b/>
          <w:bCs/>
          <w:color w:val="000000"/>
          <w:kern w:val="0"/>
          <w:sz w:val="22"/>
          <w:szCs w:val="22"/>
          <w:shd w:val="clear" w:color="auto" w:fill="FFFFFF"/>
          <w:lang w:eastAsia="es-PE"/>
          <w14:ligatures w14:val="none"/>
        </w:rPr>
        <w:t>1889-2025</w:t>
      </w:r>
      <w:r w:rsidRPr="004A2BB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sidRPr="00DF41D1">
        <w:rPr>
          <w:rFonts w:ascii="Arial Narrow" w:eastAsia="Arial Narrow" w:hAnsi="Arial Narrow" w:cs="Arial Narrow"/>
          <w:b/>
          <w:color w:val="000000"/>
          <w:kern w:val="0"/>
          <w:sz w:val="22"/>
          <w:szCs w:val="22"/>
          <w:lang w:eastAsia="es-PE"/>
          <w14:ligatures w14:val="none"/>
        </w:rPr>
        <w:t>PACÍFICO COMPAÑÍA DE SEGUROS Y REASEGUROS S.A</w:t>
      </w:r>
      <w:r w:rsidR="00DF41D1" w:rsidRPr="008D14DF">
        <w:rPr>
          <w:rFonts w:ascii="Arial Narrow" w:eastAsia="Arial Narrow" w:hAnsi="Arial Narrow" w:cs="Arial Narrow"/>
          <w:b/>
          <w:color w:val="000000"/>
          <w:kern w:val="0"/>
          <w:sz w:val="22"/>
          <w:szCs w:val="22"/>
          <w:lang w:eastAsia="es-PE"/>
          <w14:ligatures w14:val="none"/>
        </w:rPr>
        <w:t xml:space="preserve">. </w:t>
      </w:r>
      <w:r w:rsidRPr="008D14DF">
        <w:rPr>
          <w:rFonts w:ascii="Arial Narrow" w:eastAsia="Arial Narrow" w:hAnsi="Arial Narrow" w:cs="Arial Narrow"/>
          <w:b/>
          <w:color w:val="000000"/>
          <w:kern w:val="0"/>
          <w:sz w:val="22"/>
          <w:szCs w:val="22"/>
          <w:lang w:eastAsia="es-PE"/>
          <w14:ligatures w14:val="none"/>
        </w:rPr>
        <w:t>(</w:t>
      </w:r>
      <w:r w:rsidR="00DF41D1" w:rsidRPr="008D14DF">
        <w:rPr>
          <w:rFonts w:ascii="Arial Narrow" w:eastAsia="Arial Narrow" w:hAnsi="Arial Narrow" w:cs="Arial Narrow"/>
          <w:b/>
          <w:color w:val="000000"/>
          <w:kern w:val="0"/>
          <w:sz w:val="22"/>
          <w:szCs w:val="22"/>
          <w:lang w:eastAsia="es-PE"/>
          <w14:ligatures w14:val="none"/>
        </w:rPr>
        <w:t>PACÍFICO</w:t>
      </w:r>
      <w:r w:rsidRPr="008D14D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D14D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D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14DF">
        <w:rPr>
          <w:rFonts w:ascii="Arial Narrow" w:eastAsia="Arial Narrow" w:hAnsi="Arial Narrow" w:cs="Arial Narrow"/>
          <w:color w:val="000000"/>
          <w:kern w:val="0"/>
          <w:sz w:val="22"/>
          <w:szCs w:val="22"/>
          <w:lang w:val="es-ES" w:eastAsia="es-ES"/>
          <w14:ligatures w14:val="none"/>
        </w:rPr>
        <w:t xml:space="preserve">Mediante el escrito del 5 de junio de 2025, subsanada mediante escrito del 8 de julio de 2025, el señor [APELLIDO] denunció a Pacífico por presuntas infracciones a la Ley 29571, Código de Protección y Defensa del Consumidor (en adelante, Código), señalando lo siguiente:</w:t>
      </w:r>
      <w:r w:rsidR="008D14DF" w:rsidRPr="008D14DF">
        <w:rPr>
          <w:rFonts w:ascii="Arial Narrow" w:eastAsia="Arial Narrow" w:hAnsi="Arial Narrow" w:cs="Arial Narrow"/>
          <w:color w:val="000000"/>
          <w:kern w:val="0"/>
          <w:sz w:val="22"/>
          <w:szCs w:val="22"/>
          <w:lang w:val="es-ES" w:eastAsia="es-ES"/>
          <w14:ligatures w14:val="none"/>
        </w:rPr>
        <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00996DC2" w:rsidRPr="008D14DF">
        <w:rPr>
          <w:rFonts w:ascii="Arial Narrow" w:eastAsia="Arial Narrow" w:hAnsi="Arial Narrow" w:cs="Arial Narrow"/>
          <w:color w:val="000000"/>
          <w:kern w:val="0"/>
          <w:sz w:val="22"/>
          <w:szCs w:val="22"/>
          <w:lang w:val="es-ES" w:eastAsia="es-ES"/>
          <w14:ligatures w14:val="none"/>
        </w:rPr>
        <w:t/>
      </w:r>
      <w:r w:rsidR="00996DC2"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xml:space="preserve"/>
      </w:r>
      <w:r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Pr="008D14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Con anterioridad al 4 de abril de 2023, su empleador contrató a su favor el Seguro Vida Ley – Póliza 85099 </w:t>
      </w:r>
      <w:r>
        <w:rPr>
          <w:rFonts w:ascii="Arial Narrow" w:eastAsia="Arial Narrow" w:hAnsi="Arial Narrow" w:cs="Arial Narrow"/>
          <w:color w:val="000000"/>
          <w:kern w:val="0"/>
          <w:sz w:val="22"/>
          <w:szCs w:val="22"/>
          <w:lang w:eastAsia="es-ES"/>
          <w14:ligatures w14:val="none"/>
        </w:rPr>
        <w:t xml:space="preserve">emitido por Pacífico </w:t>
      </w:r>
      <w:r w:rsidRPr="00E97826">
        <w:rPr>
          <w:rFonts w:ascii="Arial Narrow" w:eastAsia="Arial Narrow" w:hAnsi="Arial Narrow" w:cs="Arial Narrow"/>
          <w:color w:val="000000"/>
          <w:kern w:val="0"/>
          <w:sz w:val="22"/>
          <w:szCs w:val="22"/>
          <w:lang w:eastAsia="es-ES"/>
          <w14:ligatures w14:val="none"/>
        </w:rPr>
        <w:t>(en adelante, “Seguro Vida Ley”) con cobertura por invalidez total y permanente</w:t>
      </w:r>
      <w:r>
        <w:rPr>
          <w:rFonts w:ascii="Arial Narrow" w:eastAsia="Arial Narrow" w:hAnsi="Arial Narrow" w:cs="Arial Narrow"/>
          <w:color w:val="000000"/>
          <w:kern w:val="0"/>
          <w:sz w:val="22"/>
          <w:szCs w:val="22"/>
          <w:lang w:eastAsia="es-ES"/>
          <w14:ligatures w14:val="none"/>
        </w:rPr>
        <w:t>.</w:t>
      </w:r>
    </w:p>
    <w:p w14:paraId="720E345B" w14:textId="77777777" w:rsidR="00D04D02" w:rsidRPr="00E97826" w:rsidRDefault="00D04D02" w:rsidP="00D04D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after="0" w:line="240" w:lineRule="auto"/>
        <w:jc w:val="both"/>
        <w:rPr>
          <w:rFonts w:ascii="Arial Narrow" w:eastAsia="Arial Narrow" w:hAnsi="Arial Narrow" w:cs="Arial Narrow"/>
          <w:color w:val="000000"/>
          <w:kern w:val="0"/>
          <w:sz w:val="22"/>
          <w:szCs w:val="22"/>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Desde el 4 de abril de 2023 hasta el 4 de mayo de 2023, permaneció internado en la Unidad de Cuidados Intensivos</w:t>
      </w:r>
      <w:r w:rsidR="00D04D02">
        <w:rPr>
          <w:rFonts w:ascii="Arial Narrow" w:eastAsia="Arial Narrow" w:hAnsi="Arial Narrow" w:cs="Arial Narrow"/>
          <w:color w:val="000000"/>
          <w:kern w:val="0"/>
          <w:sz w:val="22"/>
          <w:szCs w:val="22"/>
          <w:lang w:eastAsia="es-ES"/>
          <w14:ligatures w14:val="none"/>
        </w:rPr>
        <w:t xml:space="preserve"> (en adelante, UCI)</w:t>
      </w:r>
      <w:r w:rsidRPr="00E97826">
        <w:rPr>
          <w:rFonts w:ascii="Arial Narrow" w:eastAsia="Arial Narrow" w:hAnsi="Arial Narrow" w:cs="Arial Narrow"/>
          <w:color w:val="000000"/>
          <w:kern w:val="0"/>
          <w:sz w:val="22"/>
          <w:szCs w:val="22"/>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El 25 de mayo de 2023, fue trasladado al Hospital Geriátrico San Isidro Labrador</w:t>
      </w:r>
      <w:r w:rsidR="004B4A2D">
        <w:rPr>
          <w:rFonts w:ascii="Arial Narrow" w:eastAsia="Arial Narrow" w:hAnsi="Arial Narrow" w:cs="Arial Narrow"/>
          <w:color w:val="000000"/>
          <w:kern w:val="0"/>
          <w:sz w:val="22"/>
          <w:szCs w:val="22"/>
          <w:lang w:eastAsia="es-ES"/>
          <w14:ligatures w14:val="none"/>
        </w:rPr>
        <w:t xml:space="preserve"> (en adelante, el Hospital)</w:t>
      </w:r>
      <w:r w:rsidRPr="00E97826">
        <w:rPr>
          <w:rFonts w:ascii="Arial Narrow" w:eastAsia="Arial Narrow" w:hAnsi="Arial Narrow" w:cs="Arial Narrow"/>
          <w:color w:val="000000"/>
          <w:kern w:val="0"/>
          <w:sz w:val="22"/>
          <w:szCs w:val="22"/>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after="0" w:line="240" w:lineRule="auto"/>
        <w:jc w:val="both"/>
        <w:rPr>
          <w:rFonts w:ascii="Arial Narrow" w:eastAsia="Arial Narrow" w:hAnsi="Arial Narrow" w:cs="Arial Narrow"/>
          <w:color w:val="000000"/>
          <w:kern w:val="0"/>
          <w:sz w:val="22"/>
          <w:szCs w:val="22"/>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lastRenderedPageBreak/>
        <w:t xml:space="preserve">Hasta fines de diciembre de 2023, continuó en rehabilitación </w:t>
      </w:r>
      <w:r w:rsidR="004B4A2D">
        <w:rPr>
          <w:rFonts w:ascii="Arial Narrow" w:eastAsia="Arial Narrow" w:hAnsi="Arial Narrow" w:cs="Arial Narrow"/>
          <w:color w:val="000000"/>
          <w:kern w:val="0"/>
          <w:sz w:val="22"/>
          <w:szCs w:val="22"/>
          <w:lang w:eastAsia="es-ES"/>
          <w14:ligatures w14:val="none"/>
        </w:rPr>
        <w:t>el Hospital</w:t>
      </w:r>
      <w:r w:rsidRPr="00E97826">
        <w:rPr>
          <w:rFonts w:ascii="Arial Narrow" w:eastAsia="Arial Narrow" w:hAnsi="Arial Narrow" w:cs="Arial Narrow"/>
          <w:color w:val="000000"/>
          <w:kern w:val="0"/>
          <w:sz w:val="22"/>
          <w:szCs w:val="22"/>
          <w:lang w:eastAsia="es-ES"/>
          <w14:ligatures w14:val="none"/>
        </w:rPr>
        <w:t xml:space="preserve">. Logró recuperación parcial de la marcha, pero con inseguridad, debilidad en extremidades izquierdas y dependencia para actividades cotidianas. </w:t>
      </w:r>
      <w:r w:rsidR="004B4A2D">
        <w:rPr>
          <w:rFonts w:ascii="Arial Narrow" w:eastAsia="Arial Narrow" w:hAnsi="Arial Narrow" w:cs="Arial Narrow"/>
          <w:color w:val="000000"/>
          <w:kern w:val="0"/>
          <w:sz w:val="22"/>
          <w:szCs w:val="22"/>
          <w:lang w:eastAsia="es-ES"/>
          <w14:ligatures w14:val="none"/>
        </w:rPr>
        <w:t xml:space="preserve"> </w:t>
      </w:r>
    </w:p>
    <w:p w14:paraId="44972EA5" w14:textId="77777777" w:rsidR="00842472" w:rsidRPr="00842472" w:rsidRDefault="00842472" w:rsidP="00842472">
      <w:pPr>
        <w:pStyle w:val="Prrafodelista"/>
        <w:rPr>
          <w:rFonts w:ascii="Arial Narrow" w:eastAsia="Arial Narrow" w:hAnsi="Arial Narrow" w:cs="Arial Narrow"/>
          <w:color w:val="000000"/>
          <w:kern w:val="0"/>
          <w:sz w:val="22"/>
          <w:szCs w:val="22"/>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15 de abril de 2024, se emitió e</w:t>
      </w:r>
      <w:r w:rsidRPr="00842472">
        <w:rPr>
          <w:rFonts w:ascii="Arial Narrow" w:eastAsia="Arial Narrow" w:hAnsi="Arial Narrow" w:cs="Arial Narrow"/>
          <w:color w:val="000000"/>
          <w:kern w:val="0"/>
          <w:sz w:val="22"/>
          <w:szCs w:val="22"/>
          <w:lang w:eastAsia="es-ES"/>
          <w14:ligatures w14:val="none"/>
        </w:rPr>
        <w:t xml:space="preserve">l Dictamen de Evaluación y Calificación de la COMAFP </w:t>
      </w:r>
      <w:r w:rsidR="00AD7EAF">
        <w:rPr>
          <w:rFonts w:ascii="Arial Narrow" w:eastAsia="Arial Narrow" w:hAnsi="Arial Narrow" w:cs="Arial Narrow"/>
          <w:color w:val="000000"/>
          <w:kern w:val="0"/>
          <w:sz w:val="22"/>
          <w:szCs w:val="22"/>
          <w:lang w:eastAsia="es-ES"/>
          <w14:ligatures w14:val="none"/>
        </w:rPr>
        <w:t>mediante el cual</w:t>
      </w:r>
      <w:r>
        <w:rPr>
          <w:rFonts w:ascii="Arial Narrow" w:eastAsia="Arial Narrow" w:hAnsi="Arial Narrow" w:cs="Arial Narrow"/>
          <w:color w:val="000000"/>
          <w:kern w:val="0"/>
          <w:sz w:val="22"/>
          <w:szCs w:val="22"/>
          <w:lang w:eastAsia="es-ES"/>
          <w14:ligatures w14:val="none"/>
        </w:rPr>
        <w:t xml:space="preserve"> </w:t>
      </w:r>
      <w:r w:rsidR="00A27E23" w:rsidRPr="00A27E23">
        <w:rPr>
          <w:rFonts w:ascii="Arial Narrow" w:eastAsia="Arial Narrow" w:hAnsi="Arial Narrow" w:cs="Arial Narrow"/>
          <w:color w:val="000000"/>
          <w:kern w:val="0"/>
          <w:sz w:val="22"/>
          <w:szCs w:val="22"/>
          <w:lang w:eastAsia="es-ES"/>
          <w14:ligatures w14:val="none"/>
        </w:rPr>
        <w:t xml:space="preserve">quedó establecido </w:t>
      </w:r>
      <w:r w:rsidR="00A27E23">
        <w:rPr>
          <w:rFonts w:ascii="Arial Narrow" w:eastAsia="Arial Narrow" w:hAnsi="Arial Narrow" w:cs="Arial Narrow"/>
          <w:color w:val="000000"/>
          <w:kern w:val="0"/>
          <w:sz w:val="22"/>
          <w:szCs w:val="22"/>
          <w:lang w:eastAsia="es-ES"/>
          <w14:ligatures w14:val="none"/>
        </w:rPr>
        <w:t>su</w:t>
      </w:r>
      <w:r w:rsidR="00A27E23" w:rsidRPr="00A27E23">
        <w:rPr>
          <w:rFonts w:ascii="Arial Narrow" w:eastAsia="Arial Narrow" w:hAnsi="Arial Narrow" w:cs="Arial Narrow"/>
          <w:color w:val="000000"/>
          <w:kern w:val="0"/>
          <w:sz w:val="22"/>
          <w:szCs w:val="22"/>
          <w:lang w:eastAsia="es-ES"/>
          <w14:ligatures w14:val="none"/>
        </w:rPr>
        <w:t xml:space="preserve"> condición neurológica actual que </w:t>
      </w:r>
      <w:r w:rsidR="00A27E23">
        <w:rPr>
          <w:rFonts w:ascii="Arial Narrow" w:eastAsia="Arial Narrow" w:hAnsi="Arial Narrow" w:cs="Arial Narrow"/>
          <w:color w:val="000000"/>
          <w:kern w:val="0"/>
          <w:sz w:val="22"/>
          <w:szCs w:val="22"/>
          <w:lang w:eastAsia="es-ES"/>
          <w14:ligatures w14:val="none"/>
        </w:rPr>
        <w:t>le</w:t>
      </w:r>
      <w:r w:rsidR="00A27E23" w:rsidRPr="00A27E23">
        <w:rPr>
          <w:rFonts w:ascii="Arial Narrow" w:eastAsia="Arial Narrow" w:hAnsi="Arial Narrow" w:cs="Arial Narrow"/>
          <w:color w:val="000000"/>
          <w:kern w:val="0"/>
          <w:sz w:val="22"/>
          <w:szCs w:val="22"/>
          <w:lang w:eastAsia="es-ES"/>
          <w14:ligatures w14:val="none"/>
        </w:rPr>
        <w:t xml:space="preserve"> inhabilita de forma permanente y total para realizar cualquier trabajo u ocupación</w:t>
      </w:r>
      <w:r w:rsidR="00A27E23">
        <w:rPr>
          <w:rFonts w:ascii="Arial Narrow" w:eastAsia="Arial Narrow" w:hAnsi="Arial Narrow" w:cs="Arial Narrow"/>
          <w:color w:val="000000"/>
          <w:kern w:val="0"/>
          <w:sz w:val="22"/>
          <w:szCs w:val="22"/>
          <w:lang w:eastAsia="es-ES"/>
          <w14:ligatures w14:val="none"/>
        </w:rPr>
        <w:t>.</w:t>
      </w:r>
      <w:r w:rsidR="00865E1C">
        <w:rPr>
          <w:rFonts w:ascii="Arial Narrow" w:eastAsia="Arial Narrow" w:hAnsi="Arial Narrow" w:cs="Arial Narrow"/>
          <w:color w:val="000000"/>
          <w:kern w:val="0"/>
          <w:sz w:val="22"/>
          <w:szCs w:val="22"/>
          <w:lang w:eastAsia="es-ES"/>
          <w14:ligatures w14:val="none"/>
        </w:rPr>
        <w:t xml:space="preserve"> </w:t>
      </w:r>
      <w:r w:rsidRPr="00865E1C">
        <w:rPr>
          <w:rFonts w:ascii="Arial Narrow" w:eastAsia="Arial Narrow" w:hAnsi="Arial Narrow" w:cs="Arial Narrow"/>
          <w:color w:val="000000"/>
          <w:kern w:val="0"/>
          <w:sz w:val="22"/>
          <w:szCs w:val="22"/>
          <w:lang w:eastAsia="es-ES"/>
          <w14:ligatures w14:val="none"/>
        </w:rPr>
        <w:t xml:space="preserve">Posteriormente, solicitó a Pacífico el otorgamiento de cobertura </w:t>
      </w:r>
      <w:r w:rsidR="007E30E4" w:rsidRPr="00865E1C">
        <w:rPr>
          <w:rFonts w:ascii="Arial Narrow" w:eastAsia="Arial Narrow" w:hAnsi="Arial Narrow" w:cs="Arial Narrow"/>
          <w:color w:val="000000"/>
          <w:kern w:val="0"/>
          <w:sz w:val="22"/>
          <w:szCs w:val="22"/>
          <w:lang w:eastAsia="es-ES"/>
          <w14:ligatures w14:val="none"/>
        </w:rPr>
        <w:t>del Seguro Vida Ley.</w:t>
      </w:r>
    </w:p>
    <w:p w14:paraId="176B7BBD" w14:textId="77777777" w:rsidR="00E97826" w:rsidRPr="00CF7547" w:rsidRDefault="00E97826" w:rsidP="00CF7547">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5E2C">
        <w:rPr>
          <w:rFonts w:ascii="Arial Narrow" w:eastAsia="Arial Narrow" w:hAnsi="Arial Narrow" w:cs="Arial Narrow"/>
          <w:kern w:val="0"/>
          <w14:ligatures w14:val="none"/>
          <w:sz w:val="22"/>
          <w:szCs w:val="22"/>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Arial Narrow" w:hAnsi="Arial Narrow" w:cs="Arial Narrow"/>
          <w:color w:val="000000"/>
          <w:kern w:val="0"/>
          <w:sz w:val="22"/>
          <w:szCs w:val="22"/>
          <w:lang w:val="es-ES" w:eastAsia="es-ES"/>
          <w14:ligatures w14:val="none"/>
        </w:rPr>
        <w:t xml:space="preserve"/>
      </w:r>
      <w:r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proofErr w:type="spellStart"/>
      <w:r w:rsidR="002039BC" w:rsidRPr="00235E2C">
        <w:rPr>
          <w:rFonts w:ascii="Arial Narrow" w:eastAsia="Arial Narrow" w:hAnsi="Arial Narrow" w:cs="Arial Narrow"/>
          <w:color w:val="000000"/>
          <w:kern w:val="0"/>
          <w:sz w:val="22"/>
          <w:szCs w:val="22"/>
          <w:lang w:val="es-ES" w:eastAsia="es-ES"/>
          <w14:ligatures w14:val="none"/>
        </w:rPr>
        <w:t/>
      </w:r>
      <w:proofErr w:type="spellEnd"/>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r w:rsidR="000E5B15" w:rsidRPr="00235E2C">
        <w:rPr>
          <w:rFonts w:ascii="Arial Narrow" w:eastAsia="Arial Narrow" w:hAnsi="Arial Narrow" w:cs="Arial Narrow"/>
          <w:color w:val="000000"/>
          <w:kern w:val="0"/>
          <w:sz w:val="22"/>
          <w:szCs w:val="22"/>
          <w:lang w:val="es-ES" w:eastAsia="es-ES"/>
          <w14:ligatures w14:val="none"/>
        </w:rPr>
        <w:t/>
      </w:r>
      <w:r w:rsidR="00235E2C"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p>
    <w:p w14:paraId="66005174" w14: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5E2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235E2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sz w:val="22"/>
          <w:szCs w:val="22"/>
          <w:vertAlign w:val="superscript"/>
          <w14:ligatures w14:val="none"/>
        </w:rPr>
        <w:footnoteReference w:id="3"/>
      </w:r>
      <w:r w:rsidRPr="00235E2C">
        <w:rPr>
          <w:rFonts w:ascii="Arial Narrow" w:eastAsia="Arial Narrow" w:hAnsi="Arial Narrow" w:cs="Arial Narrow"/>
          <w:color w:val="000000"/>
          <w:kern w:val="0"/>
          <w:sz w:val="22"/>
          <w:szCs w:val="22"/>
          <w:lang w:eastAsia="es-PE"/>
          <w14:ligatures w14:val="none"/>
        </w:rPr>
        <w:t xml:space="preserve">, </w:t>
      </w:r>
      <w:r w:rsidR="00121544" w:rsidRPr="00235E2C">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031495" w:rsidRPr="00031495">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Arial Narrow" w:hAnsi="Arial Narrow" w:cs="Arial Narrow"/>
          <w:kern w:val="0"/>
          <w:sz w:val="22"/>
          <w:szCs w:val="22"/>
          <w:shd w:val="clear" w:color="auto" w:fill="FFFFFF"/>
          <w:lang w:eastAsia="es-PE"/>
          <w14:ligatures w14:val="none"/>
        </w:rPr>
        <w:t/>
      </w:r>
      <w:proofErr w:type="spellEnd"/>
      <w:r w:rsidR="00031495" w:rsidRPr="00031495">
        <w:rPr>
          <w:rFonts w:ascii="Arial Narrow" w:eastAsia="Arial Narrow" w:hAnsi="Arial Narrow" w:cs="Arial Narrow"/>
          <w:kern w:val="0"/>
          <w:sz w:val="22"/>
          <w:szCs w:val="22"/>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y 19</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del Código</w:t>
      </w:r>
      <w:r w:rsidR="00711750" w:rsidRPr="0011069C">
        <w:rPr>
          <w:rStyle w:val="Refdenotaalpie"/>
          <w:rFonts w:ascii="Arial Narrow" w:eastAsia="Arial Narrow" w:hAnsi="Arial Narrow" w:cs="Arial Narrow"/>
          <w:kern w:val="0"/>
          <w:sz w:val="22"/>
          <w:szCs w:val="22"/>
          <w:vertAlign w:val="superscript"/>
          <w14:ligatures w14:val="none"/>
        </w:rPr>
        <w:footnoteReference w:id="4"/>
      </w:r>
      <w:r w:rsidR="00711750" w:rsidRPr="0011069C">
        <w:rPr>
          <w:rFonts w:ascii="Arial Narrow" w:eastAsia="Arial Narrow" w:hAnsi="Arial Narrow" w:cs="Arial Narrow"/>
          <w:kern w:val="0"/>
          <w14:ligatures w14:val="none"/>
          <w:sz w:val="22"/>
          <w:szCs w:val="22"/>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Arial Narrow" w:hAnsi="Arial Narrow" w:cs="Arial Narrow"/>
          <w:color w:val="000000"/>
          <w:kern w:val="0"/>
          <w:sz w:val="22"/>
          <w:szCs w:val="22"/>
          <w:lang w:val="es-ES" w:eastAsia="es-ES"/>
          <w14:ligatures w14:val="none"/>
        </w:rPr>
        <w:t xml:space="preserve">conviene requerir </w:t>
      </w:r>
      <w:r w:rsidR="000970DF" w:rsidRPr="000970DF">
        <w:rPr>
          <w:rFonts w:ascii="Arial Narrow" w:eastAsia="Arial Narrow" w:hAnsi="Arial Narrow" w:cs="Arial Narrow"/>
          <w:color w:val="000000"/>
          <w:kern w:val="0"/>
          <w:sz w:val="22"/>
          <w:szCs w:val="22"/>
          <w:lang w:val="es-ES" w:eastAsia="es-ES"/>
          <w14:ligatures w14:val="none"/>
        </w:rPr>
        <w:t xml:space="preserve">a la compañía aseguradora </w:t>
      </w:r>
      <w:r w:rsidRPr="000970DF">
        <w:rPr>
          <w:rFonts w:ascii="Arial Narrow" w:eastAsia="Arial Narrow" w:hAnsi="Arial Narrow" w:cs="Arial Narrow"/>
          <w:color w:val="000000"/>
          <w:kern w:val="0"/>
          <w:sz w:val="22"/>
          <w:szCs w:val="22"/>
          <w:lang w:val="es-ES" w:eastAsia="es-ES"/>
          <w14:ligatures w14:val="none"/>
        </w:rPr>
        <w:t>que, en un plazo no mayor de cinco (5) días hábile</w:t>
      </w:r>
      <w:r w:rsidRPr="0026598E">
        <w:rPr>
          <w:rFonts w:ascii="Arial Narrow" w:eastAsia="Arial Narrow" w:hAnsi="Arial Narrow" w:cs="Arial Narrow"/>
          <w:color w:val="000000"/>
          <w:kern w:val="0"/>
          <w:sz w:val="22"/>
          <w:szCs w:val="22"/>
          <w:lang w:val="es-ES" w:eastAsia="es-ES"/>
          <w14:ligatures w14:val="none"/>
        </w:rPr>
        <w:t>s contado a partir del día siguiente de la notificación de la presente resolución, cumpla con lo siguiente</w:t>
      </w:r>
      <w:r w:rsidRPr="001D6522">
        <w:rPr>
          <w:rFonts w:ascii="Arial Narrow" w:eastAsia="Arial Narrow" w:hAnsi="Arial Narrow" w:cs="Arial Narrow"/>
          <w:color w:val="000000"/>
          <w:kern w:val="0"/>
          <w:sz w:val="22"/>
          <w:szCs w:val="22"/>
          <w:lang w:val="es-ES" w:eastAsia="es-ES"/>
          <w14:ligatures w14:val="none"/>
        </w:rPr>
        <w:t xml:space="preserve">: </w:t>
      </w:r>
      <w:r w:rsidR="0092056F" w:rsidRPr="0092056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
      </w:r>
      <w:proofErr w:type="spellEnd"/>
      <w:r w:rsidR="0092056F" w:rsidRPr="0092056F">
        <w:rPr>
          <w:rFonts w:ascii="Arial Narrow" w:eastAsia="Arial Narrow" w:hAnsi="Arial Narrow" w:cs="Arial Narrow"/>
          <w:color w:val="000000"/>
          <w:kern w:val="0"/>
          <w:sz w:val="22"/>
          <w:szCs w:val="22"/>
          <w:lang w:val="es-ES" w:eastAsia="es-ES"/>
          <w14:ligatures w14:val="none"/>
        </w:rPr>
        <w:t xml:space="preserve"> 85099 del Seguro Vida Ley, así como el cargo de remisión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2056F" w:rsidRPr="0092056F">
        <w:rPr>
          <w:rFonts w:ascii="Arial Narrow" w:eastAsia="Arial Narrow" w:hAnsi="Arial Narrow" w:cs="Arial Narrow"/>
          <w:color w:val="000000"/>
          <w:kern w:val="0"/>
          <w:sz w:val="22"/>
          <w:szCs w:val="22"/>
          <w:lang w:val="es-ES" w:eastAsia="es-ES"/>
          <w14:ligatures w14:val="none"/>
        </w:rPr>
        <w:t>iii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D65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7E33436" w:rsidR="00121544" w:rsidRPr="0011069C" w:rsidRDefault="00CA59A2" w:rsidP="001106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5 de junio de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298" w:rsidRPr="00752298">
        <w:rPr>
          <w:rFonts w:ascii="Arial Narrow" w:eastAsia="Arial Narrow" w:hAnsi="Arial Narrow" w:cs="Arial Narrow"/>
          <w:color w:val="000000"/>
          <w:kern w:val="0"/>
          <w:sz w:val="22"/>
          <w:szCs w:val="22"/>
          <w:shd w:val="clear" w:color="auto" w:fill="FFFFFF"/>
          <w:lang w:eastAsia="es-PE"/>
          <w14:ligatures w14:val="none"/>
        </w:rPr>
        <w:t/>
      </w:r>
      <w:r w:rsidR="00752298">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000970DF" w:rsidRPr="000970DF">
        <w:rPr>
          <w:rFonts w:ascii="Arial Narrow" w:eastAsia="Arial Narrow" w:hAnsi="Arial Narrow" w:cs="Arial Narrow"/>
          <w:bCs/>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B7278E" w:rsidRPr="00F4320E">
        <w:rPr>
          <w:rFonts w:ascii="Arial Narrow" w:eastAsia="Arial Narrow" w:hAnsi="Arial Narrow" w:cs="Arial Narrow"/>
          <w:bCs/>
          <w:sz w:val="22"/>
          <w:szCs w:val="22"/>
        </w:rPr>
        <w:t/>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4320E">
        <w:rPr>
          <w:rFonts w:ascii="Arial Narrow" w:eastAsia="Arial Narrow" w:hAnsi="Arial Narrow" w:cs="Arial Narrow"/>
          <w:color w:val="000000"/>
          <w:kern w:val="0"/>
          <w:sz w:val="22"/>
          <w:szCs w:val="22"/>
          <w:shd w:val="clear" w:color="auto" w:fill="FFFFFF"/>
          <w:lang w:eastAsia="es-PE"/>
          <w14:ligatures w14:val="none"/>
        </w:rPr>
        <w:t/>
      </w:r>
      <w:r w:rsidR="0011069C">
        <w:rPr>
          <w:rFonts w:ascii="Arial Narrow" w:eastAsia="Arial Narrow" w:hAnsi="Arial Narrow" w:cs="Arial Narrow"/>
          <w:color w:val="000000"/>
          <w:kern w:val="0"/>
          <w:sz w:val="22"/>
          <w:szCs w:val="22"/>
          <w:shd w:val="clear" w:color="auto" w:fill="FFFFFF"/>
          <w:lang w:eastAsia="es-PE"/>
          <w14:ligatures w14:val="none"/>
        </w:rPr>
        <w:t xml:space="preserve"/>
      </w:r>
      <w:r w:rsid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711750" w:rsidRPr="0011069C">
        <w:rPr>
          <w:rFonts w:ascii="Arial Narrow" w:eastAsia="Arial Narrow" w:hAnsi="Arial Narrow" w:cs="Arial Narrow"/>
          <w:kern w:val="0"/>
          <w:sz w:val="22"/>
          <w:szCs w:val="22"/>
          <w:lang w:eastAsia="es-PE"/>
          <w14:ligatures w14:val="none"/>
        </w:rPr>
        <w:t xml:space="preserve"/>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F4320E" w:rsidRPr="00031495">
        <w:rPr>
          <w:rFonts w:ascii="Arial Narrow" w:eastAsia="Arial Narrow" w:hAnsi="Arial Narrow" w:cs="Arial Narrow"/>
          <w:color w:val="000000"/>
          <w:kern w:val="0"/>
          <w:sz w:val="22"/>
          <w:szCs w:val="22"/>
          <w:lang w:eastAsia="es-ES"/>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031495" w:rsidRPr="00031495">
        <w:rPr>
          <w:rFonts w:ascii="Arial Narrow" w:eastAsia="Arial Narrow" w:hAnsi="Arial Narrow" w:cs="Arial Narrow"/>
          <w:kern w:val="0"/>
          <w:sz w:val="22"/>
          <w:szCs w:val="22"/>
          <w:shd w:val="clear" w:color="auto" w:fill="FFFFFF"/>
          <w:lang w:eastAsia="es-PE"/>
          <w14:ligatures w14:val="none"/>
        </w:rPr>
        <w:t/>
      </w:r>
      <w:r w:rsidR="0062120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0B5536F4"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2298" w:rsidRPr="00752298">
        <w:rPr>
          <w:rFonts w:ascii="Arial Narrow" w:eastAsia="Arial Narrow" w:hAnsi="Arial Narrow" w:cs="Arial Narrow"/>
          <w:color w:val="000000"/>
          <w:kern w:val="0"/>
          <w:sz w:val="22"/>
          <w:szCs w:val="22"/>
          <w:lang w:val="es-ES" w:eastAsia="es-ES"/>
          <w14:ligatures w14:val="none"/>
        </w:rPr>
        <w:t xml:space="preserve">5 de junio de 2025, subsanada mediante escrito del 8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B7278E" w:rsidRPr="00B7278E">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F7B03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eastAsia="es-ES"/>
          <w14:ligatures w14:val="none"/>
        </w:rPr>
        <w:t/>
      </w:r>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0A1F03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70DF">
        <w:rPr>
          <w:rFonts w:ascii="Arial Narrow" w:eastAsia="Arial Narrow" w:hAnsi="Arial Narrow" w:cs="Arial Narrow"/>
          <w:spacing w:val="-3"/>
          <w:kern w:val="0"/>
          <w14:ligatures w14:val="none"/>
          <w:sz w:val="22"/>
          <w:szCs w:val="22"/>
        </w:rPr>
        <w:t/>
      </w:r>
      <w:r w:rsidR="000970DF" w:rsidRPr="000970DF">
        <w:rPr>
          <w:rFonts w:ascii="Arial Narrow" w:eastAsia="Arial Narrow" w:hAnsi="Arial Narrow" w:cs="Arial Narrow"/>
          <w:spacing w:val="-3"/>
          <w:kern w:val="0"/>
          <w14:ligatures w14:val="none"/>
          <w:sz w:val="22"/>
          <w:szCs w:val="22"/>
        </w:rPr>
        <w:t/>
      </w:r>
      <w:r w:rsidRPr="000970DF">
        <w:rPr>
          <w:rFonts w:ascii="Arial Narrow" w:eastAsia="Arial Narrow" w:hAnsi="Arial Narrow" w:cs="Arial Narrow"/>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5D76C4FA"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278E" w:rsidRPr="00B7278E">
        <w:rPr>
          <w:rFonts w:ascii="Arial Narrow" w:eastAsia="Arial Narrow" w:hAnsi="Arial Narrow" w:cs="Arial Narrow"/>
          <w:sz w:val="22"/>
          <w:szCs w:val="22"/>
        </w:rPr>
        <w:t>Pacífico Compañía de Seguros y Reaseguros S.A</w:t>
      </w:r>
      <w:r w:rsidRPr="00B7278E">
        <w:rPr>
          <w:rFonts w:ascii="Arial Narrow" w:eastAsia="Arial Narrow" w:hAnsi="Arial Narrow" w:cs="Arial Narrow"/>
          <w:sz w:val="22"/>
          <w:szCs w:val="22"/>
        </w:rPr>
        <w:t xml:space="preserve">. </w:t>
      </w:r>
      <w:r w:rsidRPr="00B7278E">
        <w:rPr>
          <w:rFonts w:ascii="Arial Narrow" w:eastAsia="Arial Narrow" w:hAnsi="Arial Narrow" w:cs="Arial Narrow"/>
          <w:sz w:val="22"/>
          <w:szCs w:val="22"/>
          <w:shd w:val="clear" w:color="auto" w:fill="FFFFFF"/>
        </w:rPr>
        <w:t xml:space="preserve">para que </w:t>
      </w:r>
      <w:r w:rsidRPr="00B7278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03817B30" w:rsidR="001B5674" w:rsidRPr="00AC737B" w:rsidRDefault="0058044E" w:rsidP="00AC73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t xml:space="preserve">Denuncia remitida a esta Comisión mediante MEMORANDUM </w:t>
      </w:r>
      <w:r w:rsidR="00FC1C87" w:rsidRPr="00AC737B">
        <w:rPr>
          <w:rFonts w:ascii="Arial Narrow" w:eastAsia="Arial Narrow" w:hAnsi="Arial Narrow" w:cs="Arial Narrow"/>
          <w:sz w:val="16"/>
          <w:szCs w:val="16"/>
        </w:rPr>
        <w:t xml:space="preserve">001724-2025-PS1/INDECOPI </w:t>
      </w:r>
      <w:r w:rsidRPr="00AC737B">
        <w:rPr>
          <w:rFonts w:ascii="Arial Narrow" w:eastAsia="Arial Narrow" w:hAnsi="Arial Narrow" w:cs="Arial Narrow"/>
          <w:sz w:val="16"/>
          <w:szCs w:val="16"/>
        </w:rPr>
        <w:t xml:space="preserve">de fecha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 xml:space="preserve">, </w:t>
      </w:r>
      <w:proofErr w:type="spellStart"/>
      <w:r w:rsidRPr="00AC737B">
        <w:rPr>
          <w:rFonts w:ascii="Arial Narrow" w:eastAsia="Arial Narrow" w:hAnsi="Arial Narrow" w:cs="Arial Narrow"/>
          <w:sz w:val="16"/>
          <w:szCs w:val="16"/>
        </w:rPr>
        <w:t xml:space="preserve">recibida</w:t>
      </w:r>
      <w:proofErr w:type="spellEnd"/>
      <w:r w:rsidRPr="00AC737B">
        <w:rPr>
          <w:rFonts w:ascii="Arial Narrow" w:eastAsia="Arial Narrow" w:hAnsi="Arial Narrow" w:cs="Arial Narrow"/>
          <w:sz w:val="16"/>
          <w:szCs w:val="16"/>
        </w:rPr>
        <w:t xml:space="preserve"> el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C737B" w:rsidRDefault="00CA59A2" w:rsidP="00CA59A2">
      <w:pPr>
        <w:pStyle w:val="Textonotapie"/>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t>Publicado</w:t>
      </w:r>
      <w:r w:rsidRPr="00AC737B">
        <w:rPr>
          <w:rFonts w:ascii="Arial Narrow" w:eastAsia="Arial Narrow" w:hAnsi="Arial Narrow" w:cs="Arial Narrow"/>
          <w:b/>
          <w:sz w:val="16"/>
          <w:szCs w:val="16"/>
        </w:rPr>
        <w:t xml:space="preserve"> </w:t>
      </w:r>
      <w:r w:rsidRPr="00AC737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ab/>
        <w:t>Artículo 27.-</w:t>
      </w:r>
      <w:r w:rsidRPr="00AC737B">
        <w:rPr>
          <w:rFonts w:ascii="Arial Narrow" w:eastAsia="Arial Narrow" w:hAnsi="Arial Narrow" w:cs="Arial Narrow"/>
          <w:sz w:val="16"/>
          <w:szCs w:val="16"/>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LEY SOBRE FACULTADES, NORMAS Y ORGANIZACIÓN DEL INDECOPI, APROBADA POR DECRETO LEGISLATIVO 807 Artículo 24.-</w:t>
      </w:r>
      <w:r w:rsidRPr="00AC737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C737B" w:rsidRDefault="00CA59A2" w:rsidP="00CA59A2">
      <w:pPr>
        <w:pStyle w:val="Textonotapie"/>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C737B">
        <w:rPr>
          <w:rFonts w:ascii="Arial Narrow" w:eastAsia="Arial Narrow" w:hAnsi="Arial Narrow" w:cs="Arial Narrow"/>
          <w:sz w:val="16"/>
          <w:szCs w:val="16"/>
        </w:rPr>
        <w:t/>
      </w:r>
      <w:proofErr w:type="spellEnd"/>
      <w:r w:rsidRPr="00AC737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C737B" w:rsidRDefault="00CA59A2" w:rsidP="00CA59A2">
      <w:pPr>
        <w:pStyle w:val="Textonotapie"/>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vertAlign w:val="superscript"/>
        </w:rPr>
        <w:t xml:space="preserve"> </w:t>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110.- Sanciones administrativas</w:t>
      </w:r>
    </w:p>
    <w:p w14:paraId="15C6524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b/>
          <w:sz w:val="16"/>
          <w:szCs w:val="16"/>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AC737B" w:rsidRDefault="00CA59A2" w:rsidP="00CA59A2">
      <w:pPr>
        <w:spacing w:after="0" w:line="240" w:lineRule="auto"/>
        <w:ind w:left="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d. En caso de infracciones muy graves y de reincidencia o </w:t>
      </w:r>
      <w:proofErr w:type="spellStart"/>
      <w:r w:rsidRPr="00AC737B">
        <w:rPr>
          <w:rFonts w:ascii="Arial Narrow" w:eastAsia="Arial Narrow" w:hAnsi="Arial Narrow" w:cs="Arial Narrow"/>
          <w:sz w:val="16"/>
          <w:szCs w:val="16"/>
        </w:rPr>
        <w:t>reiterancia</w:t>
      </w:r>
      <w:proofErr w:type="spellEnd"/>
      <w:r w:rsidRPr="00AC737B">
        <w:rPr>
          <w:rFonts w:ascii="Arial Narrow" w:eastAsia="Arial Narrow" w:hAnsi="Arial Narrow" w:cs="Arial Narrow"/>
          <w:sz w:val="16"/>
          <w:szCs w:val="16"/>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roofErr w:type="spellStart"/>
      <w:r w:rsidRPr="00AC737B">
        <w:rPr>
          <w:rFonts w:ascii="Arial Narrow" w:eastAsia="Arial Narrow" w:hAnsi="Arial Narrow" w:cs="Arial Narrow"/>
          <w:sz w:val="16"/>
          <w:szCs w:val="16"/>
        </w:rPr>
        <w:t>ii</w:t>
      </w:r>
      <w:proofErr w:type="spellEnd"/>
      <w:r w:rsidRPr="00AC737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e. Publicación de avisos </w:t>
      </w:r>
      <w:proofErr w:type="spellStart"/>
      <w:r w:rsidRPr="00AC737B">
        <w:rPr>
          <w:rFonts w:ascii="Arial Narrow" w:eastAsia="Arial Narrow" w:hAnsi="Arial Narrow" w:cs="Arial Narrow"/>
          <w:sz w:val="16"/>
          <w:szCs w:val="16"/>
        </w:rPr>
        <w:t>rectificatorios</w:t>
      </w:r>
      <w:proofErr w:type="spellEnd"/>
      <w:r w:rsidRPr="00AC737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Narrow"/>
          <w:sz w:val="16"/>
          <w:szCs w:val="16"/>
        </w:rPr>
        <w:t>liminarmente</w:t>
      </w:r>
      <w:proofErr w:type="spellEnd"/>
      <w:r w:rsidRPr="00AC737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b/>
          <w:bCs/>
          <w:sz w:val="16"/>
          <w:szCs w:val="16"/>
          <w:vertAlign w:val="superscript"/>
        </w:rPr>
        <w:footnoteRef/>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bCs/>
          <w:sz w:val="16"/>
          <w:szCs w:val="16"/>
        </w:rPr>
        <w:tab/>
        <w:t xml:space="preserve">DECRETO LEGISLATIVO </w:t>
      </w:r>
      <w:proofErr w:type="spellStart"/>
      <w:r w:rsidRPr="00AC737B">
        <w:rPr>
          <w:rFonts w:ascii="Arial Narrow" w:eastAsia="Arial Narrow" w:hAnsi="Arial Narrow" w:cs="Arial Narrow"/>
          <w:b/>
          <w:bCs/>
          <w:sz w:val="16"/>
          <w:szCs w:val="16"/>
        </w:rPr>
        <w:t/>
      </w:r>
      <w:proofErr w:type="spellEnd"/>
      <w:r w:rsidRPr="00AC737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eastAsia="Arial Narrow" w:hAnsi="Arial Narrow" w:cs="Arial Narrow"/>
          <w:bCs/>
          <w:sz w:val="16"/>
          <w:szCs w:val="16"/>
        </w:rPr>
      </w:pPr>
      <w:r w:rsidRPr="00AC737B">
        <w:rPr>
          <w:rFonts w:ascii="Arial Narrow" w:eastAsia="Arial Narrow" w:hAnsi="Arial Narrow" w:cs="Arial Narrow"/>
          <w:b/>
          <w:sz w:val="16"/>
          <w:szCs w:val="16"/>
        </w:rPr>
        <w:t xml:space="preserve">Artículo 29.- </w:t>
      </w:r>
      <w:r w:rsidRPr="00AC737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C737B" w:rsidRDefault="00CA59A2" w:rsidP="00CA59A2">
      <w:pPr>
        <w:pStyle w:val="Textonotapie"/>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20.- Modalidades de notificación</w:t>
      </w:r>
    </w:p>
    <w:p w14:paraId="23580398" w14:textId="77777777" w:rsidR="00CA59A2" w:rsidRPr="00AC737B" w:rsidRDefault="00CA59A2" w:rsidP="00CA59A2">
      <w:pPr>
        <w:pStyle w:val="Textonotapie"/>
        <w:ind w:left="1134"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20.4. </w:t>
      </w:r>
      <w:r w:rsidRPr="00AC737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