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4</w:t>
      </w:r>
      <w:r w:rsidR="00287905" w:rsidRPr="00E902D0">
        <w:rPr>
          <w:rFonts w:ascii="Arial Narrow" w:eastAsia="Arial Narrow" w:hAnsi="Arial Narrow" w:cs="Arial Narrow"/>
          <w:sz w:val="22"/>
          <w:szCs w:val="22"/>
        </w:rPr>
        <w:t xml:space="preserve"> de </w:t>
      </w:r>
      <w:r w:rsidR="007E3EAD" w:rsidRPr="007E3EAD">
        <w:rPr>
          <w:rFonts w:ascii="Arial Narrow" w:eastAsia="Arial Narrow" w:hAnsi="Arial Narrow" w:cs="Arial Narrow"/>
          <w:sz w:val="22"/>
          <w:szCs w:val="22"/>
        </w:rPr>
        <w:t>marzo</w:t>
      </w:r>
      <w:r w:rsidR="000E6F8B" w:rsidRPr="007E3EAD">
        <w:rPr>
          <w:rFonts w:ascii="Arial Narrow" w:eastAsia="Arial Narrow" w:hAnsi="Arial Narrow" w:cs="Arial Narrow"/>
          <w:sz w:val="22"/>
          <w:szCs w:val="22"/>
        </w:rPr>
        <w:t xml:space="preserve"> de 2026</w:t>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del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del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del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del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El 12 de enero del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consignó como fecha del robo el 27 de julio del 2025, precisando que ello obedeció a un error en la percepción de la fecha, puesto que el hecho ocurrió el 24 de julio del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96E9F39" w14: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w:hAnsi="Arial Narrow" w:cs="Arial"/>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hAnsi="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hAnsi="Arial Narrow" w:cs="Arial"/>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hAnsi="Arial Narrow"/>
          <w:sz w:val="22"/>
          <w:szCs w:val="22"/>
        </w:rPr>
      </w:pPr>
    </w:p>
    <w:p w14:paraId="4FBC6F96" w14: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547A15">
      <w:pPr>
        <w:ind w:left="567" w:hanging="567"/>
        <w:jc w:val="both"/>
        <w:rPr>
          <w:rFonts w:ascii="Arial Narrow" w:hAnsi="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hAnsi="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547A15">
      <w:pPr>
        <w:jc w:val="both"/>
        <w:rPr>
          <w:rFonts w:ascii="Arial Narrow" w:hAnsi="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hAnsi="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hAnsi="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vertAlign w:val="superscript"/>
        </w:rPr>
        <w:footnoteReference w:id="6"/>
      </w:r>
      <w:r w:rsidRPr="008D406E">
        <w:rPr>
          <w:rFonts w:ascii="Arial Narrow" w:hAnsi="Arial Narrow"/>
          <w:sz w:val="22"/>
          <w:szCs w:val="22"/>
        </w:rPr>
        <w:t>.</w:t>
      </w:r>
    </w:p>
    <w:p w14:paraId="0E208EA1" w14:textId="77777777" w:rsidR="00543B73" w:rsidRPr="008D406E" w:rsidRDefault="00543B73" w:rsidP="00547A15">
      <w:pPr>
        <w:jc w:val="both"/>
        <w:rPr>
          <w:rFonts w:ascii="Arial Narrow" w:hAnsi="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Style w:val="Refdenotaalpie"/>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la compañía aseguradora a través de la Carta SVCRRNC-4005332 habría rechazado injustificadamente al denunciante la cobertura de la Póliza 2101-1505093 del Seguro Vehicular por el siniestro del 24 de julio del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la compañía aseguradora a través de la carta del 15 de enero de 2026 habría rechazado injustificadamente la reconsideración de cobertura de la Póliza 2101-1505093 del Seguro Vehicular por el siniestro del 24 de julio del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hAnsi="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siniestro del 24 de julio del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siniestro del 24 de julio del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hAnsi="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547A15">
      <w:pPr>
        <w:jc w:val="both"/>
        <w:rPr>
          <w:rFonts w:ascii="Arial Narrow" w:hAnsi="Arial Narrow" w:cs="Arial"/>
          <w:b/>
          <w:bCs/>
          <w:sz w:val="22"/>
          <w:szCs w:val="22"/>
          <w:lang w:eastAsia="es-ES"/>
        </w:rPr>
      </w:pPr>
    </w:p>
    <w:p w14:paraId="699FAF78" w14:textId="2418F773" w:rsidR="00A84D46" w:rsidRPr="002F27C0" w:rsidRDefault="00167A06" w:rsidP="00547A15">
      <w:pPr>
        <w:jc w:val="both"/>
        <w:rPr>
          <w:rFonts w:ascii="Arial Narrow" w:hAnsi="Arial Narrow" w:cs="Arial"/>
          <w:sz w:val="22"/>
          <w:szCs w:val="22"/>
          <w:lang w:val="es-ES" w:eastAsia="es-ES"/>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B2C1A" w:rsidRPr="005B30B4">
        <w:rPr>
          <w:rFonts w:ascii="Arial Narrow" w:eastAsia="Arial Narrow" w:hAnsi="Arial Narrow" w:cs="Arial Narrow"/>
          <w:sz w:val="22"/>
          <w:szCs w:val="22"/>
        </w:rPr>
        <w:t>3 de febrero de 2026</w:t>
      </w:r>
      <w:r w:rsidR="00064607" w:rsidRPr="00064607">
        <w:rPr>
          <w:rFonts w:ascii="Arial Narrow" w:eastAsia="Arial Narrow" w:hAnsi="Arial Narrow" w:cs="Arial Narrow"/>
          <w:sz w:val="22"/>
          <w:szCs w:val="22"/>
        </w:rPr>
        <w:t xml:space="preserve"> </w:t>
      </w:r>
      <w:r w:rsidR="00064607" w:rsidRPr="00180D29">
        <w:rPr>
          <w:rFonts w:ascii="Arial Narrow" w:eastAsia="Arial Narrow" w:hAnsi="Arial Narrow" w:cs="Arial Narrow"/>
          <w:sz w:val="22"/>
          <w:szCs w:val="22"/>
        </w:rPr>
        <w:t>(parte no confidencial)</w:t>
      </w:r>
      <w:r w:rsidR="004A02B9" w:rsidRPr="00180D29">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w:t>
      </w:r>
      <w:r w:rsidR="00180D29" w:rsidRPr="002156EE">
        <w:rPr>
          <w:rFonts w:ascii="Arial Narrow" w:hAnsi="Arial Narrow" w:cs="Arial"/>
          <w:bCs/>
          <w:spacing w:val="-3"/>
          <w:sz w:val="22"/>
          <w:szCs w:val="22"/>
        </w:rPr>
        <w:t>A.</w:t>
      </w:r>
      <w:r w:rsidR="007E5A55" w:rsidRPr="002156EE">
        <w:rPr>
          <w:rStyle w:val="normaltextrun"/>
          <w:rFonts w:ascii="Arial Narrow" w:hAnsi="Arial Narrow"/>
          <w:sz w:val="22"/>
          <w:szCs w:val="22"/>
          <w:shd w:val="clear" w:color="auto" w:fill="FFFFFF"/>
        </w:rPr>
        <w:t xml:space="preserve">, </w:t>
      </w:r>
      <w:r w:rsidR="00A84D46" w:rsidRPr="002156E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156EE" w:rsidRPr="002156EE">
        <w:rPr>
          <w:rFonts w:ascii="Arial Narrow" w:hAnsi="Arial Narrow" w:cs="Arial"/>
          <w:sz w:val="22"/>
          <w:szCs w:val="22"/>
          <w:lang w:val="es-ES" w:eastAsia="es-ES"/>
        </w:rPr>
        <w:t>2025</w:t>
      </w:r>
      <w:r w:rsidR="00A84D46" w:rsidRPr="002156EE">
        <w:rPr>
          <w:rFonts w:ascii="Arial Narrow" w:hAnsi="Arial Narrow" w:cs="Arial"/>
          <w:sz w:val="22"/>
          <w:szCs w:val="22"/>
          <w:lang w:val="es-ES" w:eastAsia="es-ES"/>
        </w:rPr>
        <w:t>”. Toda vez que la confidencialidad será evaluada oportunamente. Ello, para que, de conformidad con lo dispuesto por el artículo 26 del Decreto Legislativo</w:t>
      </w:r>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w:t>
      </w:r>
      <w:r w:rsidR="00A84D46" w:rsidRPr="002F27C0">
        <w:rPr>
          <w:rFonts w:ascii="Arial Narrow" w:hAnsi="Arial Narrow" w:cs="Arial"/>
          <w:sz w:val="22"/>
          <w:szCs w:val="22"/>
          <w:lang w:val="es-ES" w:eastAsia="es-ES"/>
        </w:rPr>
        <w:t>iertas</w:t>
      </w:r>
      <w:r w:rsidR="00A84D46" w:rsidRPr="002F27C0">
        <w:rPr>
          <w:rStyle w:val="Refdenotaalpie"/>
          <w:rFonts w:ascii="Arial Narrow" w:hAnsi="Arial Narrow"/>
          <w:sz w:val="22"/>
          <w:szCs w:val="22"/>
          <w:vertAlign w:val="superscript"/>
        </w:rPr>
        <w:footnoteReference w:id="12"/>
      </w:r>
      <w:r w:rsidR="002F27C0" w:rsidRPr="002F27C0">
        <w:rPr>
          <w:rFonts w:ascii="Arial Narrow" w:eastAsia="Arial Narrow" w:hAnsi="Arial Narrow" w:cs="Arial Narrow"/>
          <w:sz w:val="22"/>
          <w:szCs w:val="22"/>
        </w:rPr>
        <w:t>.</w:t>
      </w:r>
      <w:r w:rsidR="002F27C0" w:rsidRPr="00E902D0">
        <w:rPr>
          <w:rFonts w:ascii="Arial Narrow" w:eastAsia="Arial Narrow" w:hAnsi="Arial Narrow" w:cs="Arial Narrow"/>
          <w:sz w:val="22"/>
          <w:szCs w:val="22"/>
        </w:rPr>
        <w:t xml:space="preserve"> </w:t>
      </w:r>
    </w:p>
    <w:p w14:paraId="2E1B770C" w14:textId="77777777" w:rsidR="00A84D46" w:rsidRPr="00E902D0" w:rsidRDefault="00A84D46" w:rsidP="00547A15">
      <w:pPr>
        <w:jc w:val="both"/>
        <w:rPr>
          <w:rFonts w:ascii="Arial Narrow" w:hAnsi="Arial Narrow" w:cs="Arial"/>
          <w:b/>
          <w:bCs/>
          <w:spacing w:val="-2"/>
          <w:sz w:val="22"/>
          <w:szCs w:val="22"/>
          <w:lang w:eastAsia="es-ES"/>
        </w:rPr>
      </w:pPr>
    </w:p>
    <w:p w14:paraId="5D99DE99" w14: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547A15">
      <w:pPr>
        <w:suppressAutoHyphens/>
        <w:jc w:val="both"/>
        <w:rPr>
          <w:rFonts w:ascii="Arial Narrow" w:hAnsi="Arial Narrow" w:cs="Arial"/>
          <w:sz w:val="22"/>
          <w:szCs w:val="22"/>
        </w:rPr>
      </w:pPr>
    </w:p>
    <w:p w14:paraId="5BCBBDDF" w14:textId="77777777" w:rsidR="00A81E02" w:rsidRPr="001A65A2" w:rsidRDefault="00A81E02" w:rsidP="00547A15">
      <w:pPr>
        <w:suppressAutoHyphens/>
        <w:jc w:val="both"/>
        <w:rPr>
          <w:rFonts w:ascii="Arial Narrow" w:hAnsi="Arial Narrow" w:cs="Arial"/>
          <w:bCs/>
          <w:sz w:val="22"/>
          <w:szCs w:val="22"/>
        </w:rPr>
      </w:pPr>
    </w:p>
    <w:p w14:paraId="2EDA3383" w14:textId="77777777" w:rsidR="00A67DAD" w:rsidRPr="00E902D0" w:rsidRDefault="00A67DAD" w:rsidP="00547A15">
      <w:pPr>
        <w:shd w:val="clear" w:color="auto" w:fill="FFFFFF"/>
        <w:rPr>
          <w:rFonts w:ascii="Arial Narrow" w:hAnsi="Arial Narrow" w:cs="Arial"/>
          <w:b/>
          <w:bCs/>
          <w:sz w:val="22"/>
          <w:szCs w:val="22"/>
        </w:rPr>
      </w:pPr>
    </w:p>
    <w:p w14:paraId="59650990" w14:textId="77777777" w:rsidR="00294A2E" w:rsidRPr="00E902D0" w:rsidRDefault="00294A2E" w:rsidP="00547A15">
      <w:pPr>
        <w:shd w:val="clear" w:color="auto" w:fill="FFFFFF"/>
        <w:jc w:val="center"/>
        <w:rPr>
          <w:rFonts w:ascii="Arial Narrow" w:hAnsi="Arial Narrow" w:cs="Arial"/>
          <w:b/>
          <w:bCs/>
          <w:sz w:val="22"/>
          <w:szCs w:val="22"/>
        </w:rPr>
      </w:pPr>
    </w:p>
    <w:p w14:paraId="31D96154" w14: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EVELING ROA QUISPE</w:t>
      </w:r>
      <w:r w:rsidRPr="00190D0B">
        <w:rPr>
          <w:rStyle w:val="eop"/>
          <w:rFonts w:ascii="Arial Narrow" w:hAnsi="Arial Narrow" w:cs="Segoe UI"/>
          <w:sz w:val="22"/>
          <w:szCs w:val="22"/>
          <w:lang w:val="pt-PT"/>
        </w:rPr>
        <w:t>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Secretaria Técnica</w:t>
      </w:r>
      <w:r w:rsidRPr="00190D0B">
        <w:rPr>
          <w:rStyle w:val="eop"/>
          <w:rFonts w:ascii="Arial Narrow" w:hAnsi="Arial Narrow" w:cs="Segoe UI"/>
          <w:sz w:val="22"/>
          <w:szCs w:val="22"/>
          <w:lang w:val="pt-PT"/>
        </w:rPr>
        <w:t>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547A15">
      <w:pPr>
        <w:shd w:val="clear" w:color="auto" w:fill="FFFFFF"/>
        <w:jc w:val="center"/>
        <w:rPr>
          <w:rFonts w:ascii="Arial Narrow" w:hAnsi="Arial Narrow" w:cs="Arial"/>
          <w:b/>
          <w:bCs/>
          <w:sz w:val="22"/>
          <w:szCs w:val="22"/>
        </w:rPr>
      </w:pPr>
    </w:p>
    <w:p w14:paraId="04334BAB" w14: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[APELLIDO] . </w:t>
      </w:r>
      <w:r w:rsidR="00190D0B" w:rsidRPr="00190D0B">
        <w:rPr>
          <w:rFonts w:ascii="Arial Narrow" w:hAnsi="Arial Narrow"/>
          <w:color w:val="000000" w:themeColor="text1"/>
          <w:sz w:val="16"/>
          <w:szCs w:val="16"/>
        </w:rPr>
        <w:t/>
      </w:r>
      <w:r w:rsidR="00D755C6" w:rsidRPr="00190D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vertAlign w:val="superscript"/>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