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AC9CF9" w14:textId="77777777" w:rsidR="00CA59A2" w:rsidRPr="00E0022C" w:rsidRDefault="00CA59A2" w:rsidP="00E0022C">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E0022C">
        <w:rPr>
          <w:rFonts w:ascii="Arial Narrow" w:eastAsia="Arial Narrow" w:hAnsi="Arial Narrow"/>
          <w:b/>
          <w:color w:val="000000"/>
        </w:rPr>
        <w:t>EXPEDIENTE</w:t>
      </w:r>
      <w:r w:rsidRPr="00E0022C">
        <w:rPr>
          <w:rFonts w:ascii="Arial Narrow" w:eastAsia="Arial Narrow" w:hAnsi="Arial Narrow"/>
          <w:b/>
          <w:color w:val="000000"/>
        </w:rPr>
        <w:tab/>
        <w:t>:</w:t>
      </w:r>
      <w:r w:rsidRPr="00E0022C">
        <w:rPr>
          <w:rFonts w:ascii="Arial Narrow" w:eastAsia="Arial Narrow" w:hAnsi="Arial Narrow"/>
          <w:b/>
          <w:color w:val="000000"/>
        </w:rPr>
        <w:tab/>
        <w:t>2287-2026/CC1</w:t>
      </w:r>
    </w:p>
    <w:p w14:paraId="680ED026" w14:textId="77777777"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b/>
          <w:color w:val="000000"/>
        </w:rPr>
        <w:t xml:space="preserve">DENUNCIANTE:[DENUNCIANTE] (SEÑOR [APELLIDO])</w:t>
      </w:r>
      <w:r w:rsidRPr="00E0022C">
        <w:rPr>
          <w:rFonts w:ascii="Arial Narrow" w:eastAsia="Arial Narrow" w:hAnsi="Arial Narrow"/>
          <w:b/>
          <w:color w:val="000000"/>
        </w:rPr>
        <w:tab/>
        <w:t/>
      </w:r>
      <w:r w:rsidRPr="00E0022C">
        <w:rPr>
          <w:rFonts w:ascii="Arial Narrow" w:eastAsia="Arial Narrow" w:hAnsi="Arial Narrow"/>
          <w:b/>
          <w:color w:val="000000"/>
        </w:rPr>
        <w:tab/>
        <w:t/>
      </w:r>
    </w:p>
    <w:p w14:paraId="1B543DE3" w14:textId="77777777"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b/>
          <w:color w:val="000000"/>
        </w:rPr>
        <w:t>DENUNCIADO</w:t>
      </w:r>
      <w:r w:rsidRPr="00E0022C">
        <w:rPr>
          <w:rFonts w:ascii="Arial Narrow" w:eastAsia="Arial Narrow" w:hAnsi="Arial Narrow"/>
          <w:b/>
          <w:color w:val="000000"/>
        </w:rPr>
        <w:tab/>
        <w:t>:</w:t>
      </w:r>
      <w:r w:rsidRPr="00E0022C">
        <w:rPr>
          <w:rFonts w:ascii="Arial Narrow" w:eastAsia="Arial Narrow" w:hAnsi="Arial Narrow"/>
          <w:b/>
          <w:color w:val="000000"/>
        </w:rPr>
        <w:tab/>
        <w:t>RÍMAC SEGUROS Y REASEGUROS S.A. (RÍMAC)</w:t>
      </w:r>
    </w:p>
    <w:p w14:paraId="09D6FF84" w14:textId="7150F55E" w:rsidR="00CA59A2" w:rsidRPr="00E0022C" w:rsidRDefault="00CA59A2" w:rsidP="00E0022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cs="Arial Narrow"/>
          <w:b/>
          <w:color w:val="000000"/>
          <w:kern w:val="0"/>
          <w:lang w:eastAsia="es-PE"/>
          <w14:ligatures w14:val="none"/>
        </w:rPr>
        <w:t>MATERIAS</w:t>
      </w:r>
      <w:r w:rsidRPr="00E0022C">
        <w:rPr>
          <w:rFonts w:ascii="Arial Narrow" w:eastAsia="Arial Narrow" w:hAnsi="Arial Narrow" w:cs="Arial Narrow"/>
          <w:b/>
          <w:color w:val="000000"/>
          <w:kern w:val="0"/>
          <w:lang w:eastAsia="es-PE"/>
          <w14:ligatures w14:val="none"/>
        </w:rPr>
        <w:tab/>
        <w:t>:</w:t>
      </w:r>
      <w:r w:rsidR="00E0022C" w:rsidRPr="00E0022C">
        <w:rPr>
          <w:rFonts w:ascii="Arial Narrow" w:eastAsia="Arial Narrow" w:hAnsi="Arial Narrow" w:cs="Arial Narrow"/>
          <w:b/>
          <w:color w:val="000000"/>
          <w:kern w:val="0"/>
          <w:lang w:eastAsia="es-PE"/>
          <w14:ligatures w14:val="none"/>
        </w:rPr>
        <w:t xml:space="preserve"> </w:t>
      </w:r>
      <w:r w:rsidRPr="00E0022C">
        <w:rPr>
          <w:rFonts w:ascii="Arial Narrow" w:eastAsia="Arial Narrow" w:hAnsi="Arial Narrow" w:cs="Arial Narrow"/>
          <w:b/>
          <w:color w:val="000000"/>
          <w:kern w:val="0"/>
          <w:lang w:eastAsia="es-PE"/>
          <w14:ligatures w14:val="none"/>
        </w:rPr>
        <w:t xml:space="preserve"> </w:t>
      </w:r>
      <w:r w:rsidRPr="00E0022C">
        <w:rPr>
          <w:rFonts w:ascii="Arial Narrow" w:eastAsia="Arial Narrow" w:hAnsi="Arial Narrow" w:cs="Arial Narrow"/>
          <w:b/>
          <w:color w:val="000000"/>
          <w:kern w:val="0"/>
          <w:lang w:eastAsia="es-PE"/>
          <w14:ligatures w14:val="none"/>
        </w:rPr>
        <w:tab/>
        <w:t>ADMISIÓN A TRÁMITE</w:t>
      </w:r>
    </w:p>
    <w:p w14:paraId="18151A76" w14:textId="77777777" w:rsidR="00CA59A2" w:rsidRPr="00E0022C" w:rsidRDefault="00CA59A2" w:rsidP="00E0022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cs="Arial Narrow"/>
          <w:b/>
          <w:color w:val="000000"/>
          <w:kern w:val="0"/>
          <w:lang w:eastAsia="es-PE"/>
          <w14:ligatures w14:val="none"/>
        </w:rPr>
        <w:t xml:space="preserve">REQUERIMIENTO DE INFORMACIÓN </w:t>
      </w:r>
    </w:p>
    <w:p w14:paraId="7CA4DA7C" w14:textId="77777777" w:rsidR="00CA59A2" w:rsidRPr="00E0022C" w:rsidRDefault="00CA59A2" w:rsidP="00E0022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b/>
          <w:color w:val="000000"/>
        </w:rPr>
        <w:t>RESOLUCIÓN</w:t>
      </w:r>
      <w:r w:rsidRPr="00E0022C">
        <w:rPr>
          <w:rFonts w:ascii="Arial Narrow" w:eastAsia="Arial Narrow" w:hAnsi="Arial Narrow"/>
          <w:b/>
          <w:color w:val="000000"/>
        </w:rPr>
        <w:tab/>
        <w:t>:</w:t>
      </w:r>
      <w:r w:rsidRPr="00E0022C">
        <w:rPr>
          <w:rFonts w:ascii="Arial Narrow" w:eastAsia="Arial Narrow" w:hAnsi="Arial Narrow"/>
          <w:b/>
          <w:color w:val="000000"/>
        </w:rPr>
        <w:tab/>
        <w:t>2</w:t>
      </w:r>
    </w:p>
    <w:p w14:paraId="5B5EBB09" w14:textId="77777777" w:rsidR="00CA59A2" w:rsidRPr="00E0022C" w:rsidRDefault="00CA59A2" w:rsidP="00E0022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C3A2900" w14:textId="3011A4E3" w:rsidR="00CA59A2" w:rsidRPr="00E0022C" w:rsidRDefault="00CA59A2" w:rsidP="00E0022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0022C">
        <w:rPr>
          <w:rFonts w:ascii="Arial Narrow" w:eastAsia="Arial Narrow" w:hAnsi="Arial Narrow"/>
          <w:color w:val="000000"/>
        </w:rPr>
        <w:t xml:space="preserve">Lima, </w:t>
      </w:r>
      <w:r w:rsidR="00DD0DBB">
        <w:rPr>
          <w:rFonts w:ascii="Arial Narrow" w:eastAsia="Arial Narrow" w:hAnsi="Arial Narrow"/>
          <w:color w:val="000000"/>
        </w:rPr>
        <w:t>20</w:t>
      </w:r>
      <w:r w:rsidRPr="00E0022C">
        <w:rPr>
          <w:rFonts w:ascii="Arial Narrow" w:eastAsia="Arial Narrow" w:hAnsi="Arial Narrow"/>
          <w:color w:val="000000"/>
        </w:rPr>
        <w:t xml:space="preserve"> de julio de 2026</w:t>
      </w:r>
    </w:p>
    <w:p w14:paraId="3E43D1F2" w14:textId="77777777" w:rsidR="00CA59A2" w:rsidRPr="00E0022C" w:rsidRDefault="00CA59A2" w:rsidP="00E0022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DA0ECD" w14:textId="77777777" w:rsidR="00CA59A2" w:rsidRPr="00E0022C" w:rsidRDefault="00CA59A2" w:rsidP="00E0022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0022C">
        <w:rPr>
          <w:rFonts w:ascii="Arial Narrow" w:eastAsia="Arial Narrow" w:hAnsi="Arial Narrow" w:cs="Arial Narrow"/>
          <w:b/>
          <w:color w:val="000000"/>
          <w:kern w:val="0"/>
          <w:lang w:eastAsia="es-PE"/>
          <w14:ligatures w14:val="none"/>
        </w:rPr>
        <w:t xml:space="preserve">HECHOS </w:t>
      </w:r>
    </w:p>
    <w:p w14:paraId="2A7698CE" w14:textId="77777777" w:rsidR="00CA59A2" w:rsidRPr="00E0022C" w:rsidRDefault="00CA59A2" w:rsidP="00E0022C">
      <w:pPr>
        <w:spacing w:after="0" w:line="240" w:lineRule="auto"/>
        <w:jc w:val="both"/>
        <w:rPr>
          <w:rFonts w:ascii="Arial Narrow" w:eastAsia="Times New Roman" w:hAnsi="Arial Narrow" w:cs="Times New Roman"/>
          <w:color w:val="000000"/>
          <w:kern w:val="0"/>
          <w:lang w:eastAsia="es-PE"/>
          <w14:ligatures w14:val="none"/>
        </w:rPr>
      </w:pPr>
    </w:p>
    <w:p w14:paraId="22D0D182" w14:textId="65118C46" w:rsidR="00CA59A2" w:rsidRPr="00E0022C" w:rsidRDefault="00CA59A2" w:rsidP="00E0022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0022C">
        <w:rPr>
          <w:rFonts w:ascii="Arial Narrow" w:eastAsia="Arial Narrow" w:hAnsi="Arial Narrow"/>
          <w:color w:val="000000"/>
        </w:rPr>
        <w:t xml:space="preserve">Mediante el escrito del 19 de junio de 2026, el señor [APELLIDO] denunció a Rímac por presuntas infracciones a la Ley 29571, Código de Protección y Defensa del Consumidor (en adelante, el Código), señalando lo siguiente:</w:t>
      </w:r>
      <w:r w:rsidR="00E0022C" w:rsidRPr="00E0022C">
        <w:rPr>
          <w:rStyle w:val="Refdenotaalpie"/>
          <w:rFonts w:ascii="Arial Narrow" w:eastAsia="Arial Narrow" w:hAnsi="Arial Narrow"/>
          <w:color w:val="000000"/>
          <w:vertAlign w:val="superscript"/>
        </w:rPr>
        <w:footnoteReference w:id="1"/>
      </w:r>
      <w:r w:rsidRPr="00E0022C">
        <w:rPr>
          <w:rFonts w:ascii="Arial Narrow" w:eastAsia="Arial Narrow" w:hAnsi="Arial Narrow"/>
          <w:color w:val="000000"/>
        </w:rPr>
        <w:t/>
      </w:r>
    </w:p>
    <w:p w14:paraId="40022452" w14:textId="77777777" w:rsidR="00CA59A2" w:rsidRPr="00E0022C" w:rsidRDefault="00CA59A2" w:rsidP="00E0022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BDC932D" w14: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01452">
        <w:rPr>
          <w:rFonts w:ascii="Arial Narrow" w:eastAsia="Arial Narrow" w:hAnsi="Arial Narrow"/>
          <w:color w:val="000000"/>
        </w:rPr>
        <w:t>El 27 de septiembre de 2024, ocurrió un siniestro vehicular consistente en un despiste del vehículo asegurado, el cual se encontraba cubierto por una póliza contratada con Rímac, bajo la modalidad de “todo riesgo”. El hecho fue acreditado mediante informe policial, estableciéndose que no existieron indicios de conducción temeraria ni condiciones de exclusión aplicables, por lo que correspondía la cobertura conforme a lo pactado.</w:t>
      </w:r>
    </w:p>
    <w:p w14:paraId="4C6AC949" w14:textId="77777777" w:rsidR="00753D75" w:rsidRPr="00753D75" w:rsidRDefault="00753D75" w:rsidP="00753D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B0D3BA" w14: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01452">
        <w:rPr>
          <w:rFonts w:ascii="Arial Narrow" w:eastAsia="Arial Narrow" w:hAnsi="Arial Narrow"/>
          <w:color w:val="000000"/>
        </w:rPr>
        <w:t>El 28 de septiembre de 2024, inicialmente, Rímac aceptó la cobertura del siniestro; sin embargo, posteriormente, mediante comunicación del 18 de octubre de 2024, modificó su posición y denegó la cobertura, invocando indebidamente una causal de exclusión relacionada con circulación en sentido contrario, la cual no resultaba aplicable a un despiste accidental.</w:t>
      </w:r>
    </w:p>
    <w:p w14:paraId="4579962B" w14:textId="77777777" w:rsidR="00753D75" w:rsidRPr="00753D75" w:rsidRDefault="00753D75" w:rsidP="00753D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A9C767" w14:textId="77777777" w:rsidR="00753D75" w:rsidRPr="00753D75"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01452">
        <w:rPr>
          <w:rFonts w:ascii="Arial Narrow" w:eastAsia="Arial Narrow" w:hAnsi="Arial Narrow"/>
          <w:color w:val="000000"/>
        </w:rPr>
        <w:t>Ante dicha negativa, el 17 de julio de 2025 se presentó reclamo ante la Defensoría del Asegurado (Expediente 6358), llevándose a cabo diversas actuaciones, incluyendo audiencia virtual el 6 de octubre de 2025. No obstante, mediante Resolución 209/25 de fecha 1 de diciembre de 2025, se declaró infundado el reclamo, aplicándose una interpretación restrictiva de la póliza. Posteriormente, el 12 de diciembre de 2025 se interpuso recurso de impugnación, el cual fue desestimado mediante Resolución 034/26 de fecha 14 de abril de 2026, notificada el 24 de abril de 2026, agotándose la vía administrativa previa.</w:t>
      </w:r>
    </w:p>
    <w:p w14:paraId="0520D405" w14:textId="77777777" w:rsidR="00753D75" w:rsidRPr="00753D75" w:rsidRDefault="00753D75" w:rsidP="00753D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9EBEC8" w14:textId="34539250" w:rsidR="00301452" w:rsidRPr="00301452" w:rsidRDefault="00301452" w:rsidP="0030145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01452">
        <w:rPr>
          <w:rFonts w:ascii="Arial Narrow" w:eastAsia="Arial Narrow" w:hAnsi="Arial Narrow"/>
          <w:color w:val="000000"/>
        </w:rPr>
        <w:t xml:space="preserve">Como consecuencia del siniestro y la falta de cobertura, se asumieron gastos directos por un total de S/ 83 287,63, desglosados en: S/ 70 000,00 por acuerdo reparatorio con los deudos, S/ 2 344,32 por guardianía del vehículo en depósito de Lurín, S/ 8 843,31 por reparación del vehículo, S/ 1 800,00 por servicios notariales y S/ 300,00 por traslado mediante grúa. </w:t>
      </w:r>
    </w:p>
    <w:p w14:paraId="5CA5EBC8" w14:textId="77777777" w:rsidR="00CA59A2" w:rsidRPr="00456E8F" w:rsidRDefault="00CA59A2" w:rsidP="00456E8F">
      <w:pPr>
        <w:spacing w:after="0" w:line="240" w:lineRule="auto"/>
        <w:jc w:val="both"/>
        <w:rPr>
          <w:rFonts w:ascii="Arial Narrow" w:eastAsia="Times New Roman" w:hAnsi="Arial Narrow" w:cs="Arial"/>
          <w:color w:val="000000"/>
          <w:kern w:val="0"/>
          <w:lang w:eastAsia="es-ES"/>
          <w14:ligatures w14:val="none"/>
        </w:rPr>
      </w:pPr>
    </w:p>
    <w:p w14:paraId="645344FA" w14:textId="4232C4B3" w:rsidR="00CA59A2" w:rsidRPr="00456E8F" w:rsidRDefault="00CA59A2" w:rsidP="00E0022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0022C">
        <w:rPr>
          <w:rFonts w:ascii="Arial Narrow" w:eastAsia="Arial Narrow" w:hAnsi="Arial Narrow"/>
          <w:color w:val="000000"/>
        </w:rPr>
        <w:t xml:space="preserve">El señor [APELLIDO] solicitó, en calidad de medida correctiva, que Rímac cumpla con otorgar la cobertura del Siniestro 892007 y pagar la suma de S/ 83 287,63 por los gastos asumidos, más los intereses legales correspondientes. Asimismo, requirió el pago de las costas y costos del presente procedimiento.</w:t>
      </w:r>
      <w:r w:rsidR="00534C65">
        <w:rPr>
          <w:rFonts w:ascii="Arial Narrow" w:eastAsia="Arial Narrow" w:hAnsi="Arial Narrow"/>
          <w:color w:val="000000"/>
        </w:rPr>
        <w:t xml:space="preserve"/>
      </w:r>
      <w:r w:rsidRPr="00E0022C">
        <w:rPr>
          <w:rFonts w:ascii="Arial Narrow" w:eastAsia="Arial Narrow" w:hAnsi="Arial Narrow"/>
          <w:color w:val="000000"/>
        </w:rPr>
        <w:t/>
      </w:r>
    </w:p>
    <w:p w14:paraId="30B0CFC9" w14:textId="77777777" w:rsidR="00456E8F" w:rsidRPr="00E0022C" w:rsidRDefault="00456E8F" w:rsidP="00456E8F">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98A1C2F" w14:textId="77777777" w:rsidR="00CA59A2" w:rsidRPr="00E0022C" w:rsidRDefault="00CA59A2" w:rsidP="00E0022C">
      <w:pPr>
        <w:spacing w:after="0" w:line="240" w:lineRule="auto"/>
        <w:contextualSpacing/>
        <w:jc w:val="both"/>
        <w:rPr>
          <w:rFonts w:ascii="Arial Narrow" w:eastAsia="Arial Narrow" w:hAnsi="Arial Narrow" w:cs="Arial Narrow"/>
          <w:b/>
          <w:color w:val="000000"/>
          <w:kern w:val="0"/>
          <w:lang w:eastAsia="es-PE"/>
          <w14:ligatures w14:val="none"/>
        </w:rPr>
      </w:pPr>
    </w:p>
    <w:p w14:paraId="72683075" w14:textId="77777777"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cs="Arial Narrow"/>
          <w:b/>
          <w:color w:val="000000"/>
          <w:kern w:val="0"/>
          <w:lang w:eastAsia="es-PE"/>
          <w14:ligatures w14:val="none"/>
        </w:rPr>
        <w:t>DE LA ADMISIÓN A TRÁMITE DE LA DENUNCIA</w:t>
      </w:r>
    </w:p>
    <w:p w14:paraId="2217DC3C" w14:textId="77777777" w:rsidR="00CA59A2" w:rsidRPr="00E0022C" w:rsidRDefault="00CA59A2" w:rsidP="00E0022C">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007EF33D" w14:textId="77777777" w:rsidR="00973207" w:rsidRPr="006E7EC9" w:rsidRDefault="00CA59A2" w:rsidP="00973207">
      <w:pPr>
        <w:pStyle w:val="Prrafodelista"/>
        <w:numPr>
          <w:ilvl w:val="0"/>
          <w:numId w:val="10"/>
        </w:numPr>
        <w:spacing w:after="0" w:line="240" w:lineRule="auto"/>
        <w:ind w:left="567" w:hanging="567"/>
        <w:jc w:val="both"/>
        <w:rPr>
          <w:rFonts w:ascii="Arial Narrow" w:eastAsia="Arial Narrow" w:hAnsi="Arial Narrow" w:cs="Arial"/>
          <w:bCs/>
          <w:kern w:val="0"/>
          <w14:ligatures w14:val="none"/>
        </w:rPr>
      </w:pPr>
      <w:r w:rsidRPr="00E0022C">
        <w:rPr>
          <w:rFonts w:ascii="Arial Narrow" w:eastAsia="Arial Narrow" w:hAnsi="Arial Narrow"/>
          <w:color w:val="000000"/>
        </w:rPr>
        <w:t xml:space="preserve">La Secretaría Técnica de la Comisión de Protección al Consumidor 1 (en adelante, la Secretaría Técnica), en ejercicio de sus facultades, considera que el hecho denunciado, consistente en que la compañía aseguradora habría negado de forma injustificada la cobertura de la Póliza 1019845478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E0022C" w:rsidRPr="00E0022C">
        <w:rPr>
          <w:rStyle w:val="Refdenotaalpie"/>
          <w:rFonts w:ascii="Arial Narrow" w:eastAsia="Arial Narrow" w:hAnsi="Arial Narrow"/>
          <w:color w:val="000000"/>
          <w:vertAlign w:val="superscript"/>
        </w:rPr>
        <w:footnoteReference w:id="2"/>
      </w:r>
      <w:r w:rsidRPr="00E0022C">
        <w:rPr>
          <w:rFonts w:ascii="Arial Narrow" w:eastAsia="Arial Narrow" w:hAnsi="Arial Narrow"/>
          <w:color w:val="000000"/>
        </w:rPr>
        <w:t xml:space="preserve"/>
      </w:r>
      <w:r w:rsidR="00E0022C" w:rsidRPr="00E0022C">
        <w:rPr>
          <w:rStyle w:val="Refdenotaalpie"/>
          <w:rFonts w:ascii="Arial Narrow" w:eastAsia="Arial Narrow" w:hAnsi="Arial Narrow"/>
          <w:color w:val="000000"/>
          <w:vertAlign w:val="superscript"/>
        </w:rPr>
        <w:footnoteReference w:id="3"/>
      </w:r>
      <w:r w:rsidRPr="00E0022C">
        <w:rPr>
          <w:rFonts w:ascii="Arial Narrow" w:eastAsia="Arial Narrow" w:hAnsi="Arial Narrow"/>
          <w:color w:val="000000"/>
        </w:rPr>
        <w:t xml:space="preserve"/>
      </w:r>
      <w:r w:rsidR="00973207" w:rsidRPr="00B55C2B">
        <w:rPr>
          <w:rFonts w:ascii="Arial Narrow" w:eastAsia="Times New Roman" w:hAnsi="Arial Narrow" w:cs="Segoe UI"/>
          <w:color w:val="000000"/>
          <w:kern w:val="0"/>
          <w:lang w:eastAsia="es-PE"/>
          <w14:ligatures w14:val="none"/>
        </w:rPr>
        <w:t xml:space="preserve"/>
      </w:r>
      <w:r w:rsidR="00973207">
        <w:rPr>
          <w:rFonts w:ascii="Arial Narrow" w:eastAsia="Arial Narrow" w:hAnsi="Arial Narrow"/>
          <w:color w:val="000000"/>
        </w:rPr>
        <w:t/>
      </w:r>
      <w:r w:rsidR="00973207" w:rsidRPr="00CA233D">
        <w:rPr>
          <w:rFonts w:ascii="Arial Narrow" w:eastAsia="Arial Narrow" w:hAnsi="Arial Narrow"/>
          <w:color w:val="000000"/>
        </w:rPr>
        <w:t xml:space="preserve"/>
      </w:r>
      <w:r w:rsidR="00973207">
        <w:rPr>
          <w:rFonts w:ascii="Arial Narrow" w:eastAsia="Arial Narrow" w:hAnsi="Arial Narrow"/>
          <w:color w:val="000000"/>
        </w:rPr>
        <w:t xml:space="preserve"/>
      </w:r>
      <w:r w:rsidR="00973207" w:rsidRPr="00CA233D">
        <w:rPr>
          <w:rFonts w:ascii="Arial Narrow" w:eastAsia="Arial Narrow" w:hAnsi="Arial Narrow"/>
          <w:color w:val="000000"/>
        </w:rPr>
        <w:t/>
      </w:r>
      <w:r w:rsidR="00973207">
        <w:rPr>
          <w:rFonts w:ascii="Arial Narrow" w:eastAsia="Arial Narrow" w:hAnsi="Arial Narrow"/>
          <w:color w:val="000000"/>
        </w:rPr>
        <w:t xml:space="preserve"/>
      </w:r>
      <w:r w:rsidR="00973207" w:rsidRPr="00CA233D">
        <w:rPr>
          <w:rFonts w:ascii="Arial Narrow" w:eastAsia="Arial Narrow" w:hAnsi="Arial Narrow"/>
          <w:color w:val="000000"/>
        </w:rPr>
        <w:t xml:space="preserve"/>
      </w:r>
      <w:r w:rsidR="00973207" w:rsidRPr="00B55C2B">
        <w:rPr>
          <w:rFonts w:ascii="Arial Narrow" w:eastAsia="Times New Roman" w:hAnsi="Arial Narrow" w:cs="Segoe UI"/>
          <w:color w:val="000000"/>
          <w:kern w:val="0"/>
          <w:lang w:eastAsia="es-PE"/>
          <w14:ligatures w14:val="none"/>
        </w:rPr>
        <w:t/>
      </w:r>
      <w:r w:rsidR="00973207" w:rsidRPr="00AC42EB">
        <w:rPr>
          <w:rFonts w:ascii="Arial Narrow" w:eastAsia="Times New Roman" w:hAnsi="Arial Narrow" w:cs="Segoe UI"/>
          <w:color w:val="000000"/>
          <w:kern w:val="0"/>
          <w:lang w:eastAsia="es-PE"/>
          <w14:ligatures w14:val="none"/>
        </w:rPr>
        <w:t xml:space="preserve"/>
      </w:r>
      <w:r w:rsidR="00973207" w:rsidRPr="00AC42EB">
        <w:rPr>
          <w:rFonts w:ascii="Arial Narrow" w:eastAsia="Arial Narrow" w:hAnsi="Arial Narrow" w:cs="Arial Narrow"/>
          <w:kern w:val="0"/>
          <w14:ligatures w14:val="none"/>
        </w:rPr>
        <w:t/>
      </w:r>
      <w:r w:rsidR="00973207" w:rsidRPr="00AC42EB">
        <w:rPr>
          <w:rFonts w:ascii="Arial Narrow" w:eastAsia="Times New Roman" w:hAnsi="Arial Narrow" w:cs="Segoe UI"/>
          <w:color w:val="000000"/>
          <w:kern w:val="0"/>
          <w:lang w:eastAsia="es-PE"/>
          <w14:ligatures w14:val="none"/>
        </w:rPr>
        <w:t/>
      </w:r>
      <w:r w:rsidR="00973207" w:rsidRPr="00AC42EB">
        <w:rPr>
          <w:rFonts w:ascii="Arial Narrow" w:eastAsia="Arial Narrow" w:hAnsi="Arial Narrow" w:cs="Arial Narrow"/>
          <w:kern w:val="0"/>
          <w14:ligatures w14:val="none"/>
        </w:rPr>
        <w:t xml:space="preserve"/>
      </w:r>
      <w:r w:rsidR="00973207" w:rsidRPr="00AC42EB">
        <w:rPr>
          <w:rFonts w:ascii="Arial Narrow" w:eastAsia="Times New Roman" w:hAnsi="Arial Narrow" w:cs="Segoe UI"/>
          <w:color w:val="000000"/>
          <w:kern w:val="0"/>
          <w:lang w:eastAsia="es-PE"/>
          <w14:ligatures w14:val="none"/>
        </w:rPr>
        <w:t/>
      </w:r>
      <w:r w:rsidR="00973207" w:rsidRPr="00AC42EB">
        <w:rPr>
          <w:rFonts w:ascii="Arial Narrow" w:eastAsia="Arial Narrow" w:hAnsi="Arial Narrow" w:cs="Arial Narrow"/>
          <w:kern w:val="0"/>
          <w14:ligatures w14:val="none"/>
        </w:rPr>
        <w:t xml:space="preserve"/>
      </w:r>
      <w:r w:rsidR="00973207" w:rsidRPr="00AC42EB">
        <w:rPr>
          <w:rStyle w:val="Refdenotaalpie"/>
          <w:rFonts w:ascii="Arial Narrow" w:eastAsia="Arial Narrow" w:hAnsi="Arial Narrow" w:cs="Arial"/>
          <w:kern w:val="0"/>
          <w:vertAlign w:val="superscript"/>
          <w14:ligatures w14:val="none"/>
        </w:rPr>
        <w:footnoteReference w:id="4"/>
      </w:r>
      <w:r w:rsidR="00973207" w:rsidRPr="00AC42EB">
        <w:rPr>
          <w:rFonts w:ascii="Arial Narrow" w:eastAsia="Arial Narrow" w:hAnsi="Arial Narrow" w:cs="Arial Narrow"/>
          <w:kern w:val="0"/>
          <w14:ligatures w14:val="none"/>
        </w:rPr>
        <w:t/>
      </w:r>
      <w:bookmarkStart w:id="2" w:name="_Hlk210652752"/>
    </w:p>
    <w:p w14:paraId="21461160" w14:textId="77777777" w:rsidR="00973207" w:rsidRPr="006E7EC9" w:rsidRDefault="00973207" w:rsidP="00973207">
      <w:pPr>
        <w:pStyle w:val="Prrafodelista"/>
        <w:spacing w:after="0" w:line="240" w:lineRule="auto"/>
        <w:ind w:left="567"/>
        <w:jc w:val="both"/>
        <w:rPr>
          <w:rFonts w:ascii="Arial Narrow" w:eastAsia="Arial Narrow" w:hAnsi="Arial Narrow" w:cs="Arial"/>
          <w:bCs/>
          <w:kern w:val="0"/>
          <w14:ligatures w14:val="none"/>
        </w:rPr>
      </w:pPr>
    </w:p>
    <w:p w14:paraId="2F7F8020" w14:textId="77777777" w:rsidR="00456E8F" w:rsidRPr="00456E8F" w:rsidRDefault="00973207" w:rsidP="00456E8F">
      <w:pPr>
        <w:pStyle w:val="Prrafodelista"/>
        <w:numPr>
          <w:ilvl w:val="0"/>
          <w:numId w:val="10"/>
        </w:numPr>
        <w:spacing w:after="0" w:line="240" w:lineRule="auto"/>
        <w:ind w:left="567" w:hanging="567"/>
        <w:jc w:val="both"/>
        <w:rPr>
          <w:rFonts w:ascii="Arial Narrow" w:eastAsia="Arial Narrow" w:hAnsi="Arial Narrow" w:cs="Arial"/>
          <w:bCs/>
          <w:kern w:val="0"/>
          <w14:ligatures w14:val="none"/>
        </w:rPr>
      </w:pPr>
      <w:r w:rsidRPr="006E7EC9">
        <w:rPr>
          <w:rFonts w:ascii="Arial Narrow" w:eastAsia="Arial Narrow" w:hAnsi="Arial Narrow" w:cs="Arial Narrow"/>
          <w:kern w:val="0"/>
          <w14:ligatures w14:val="none"/>
        </w:rPr>
        <w:t xml:space="preserve">Así también, </w:t>
      </w:r>
      <w:bookmarkStart w:id="3" w:name="_Hlk213098178"/>
      <w:r w:rsidRPr="006E7EC9">
        <w:rPr>
          <w:rFonts w:ascii="Arial Narrow" w:eastAsia="Arial Narrow" w:hAnsi="Arial Narrow" w:cs="Arial Narrow"/>
          <w:kern w:val="0"/>
          <w14:ligatures w14:val="none"/>
        </w:rPr>
        <w:t xml:space="preserve">la Secretaría Técnica, en ejercicio de sus facultades, considera que el hecho denunciado, consistente en que </w:t>
      </w:r>
      <w:r w:rsidR="00554412" w:rsidRPr="005A5B56">
        <w:rPr>
          <w:rFonts w:ascii="Arial Narrow" w:eastAsia="Times New Roman" w:hAnsi="Arial Narrow" w:cs="Arial"/>
          <w:color w:val="000000"/>
          <w:kern w:val="0"/>
          <w:lang w:val="es-ES" w:eastAsia="es-ES"/>
          <w14:ligatures w14:val="none"/>
        </w:rPr>
        <w:t xml:space="preserve">la compañía aseguradora </w:t>
      </w:r>
      <w:r w:rsidR="00554412" w:rsidRPr="005A5B56">
        <w:rPr>
          <w:rFonts w:ascii="Arial Narrow" w:eastAsia="Arial Narrow" w:hAnsi="Arial Narrow" w:cs="Arial Narrow"/>
          <w:kern w:val="0"/>
          <w14:ligatures w14:val="none"/>
        </w:rPr>
        <w:t xml:space="preserve">habría incluido una cláusula abusiva en </w:t>
      </w:r>
      <w:r w:rsidR="00554412" w:rsidRPr="00E949EB">
        <w:rPr>
          <w:rFonts w:ascii="Arial Narrow" w:eastAsia="Times New Roman" w:hAnsi="Arial Narrow" w:cs="Arial"/>
          <w:color w:val="000000"/>
          <w:kern w:val="0"/>
          <w:lang w:val="es-ES" w:eastAsia="es-ES"/>
          <w14:ligatures w14:val="none"/>
        </w:rPr>
        <w:t xml:space="preserve">la </w:t>
      </w:r>
      <w:r w:rsidR="00554412" w:rsidRPr="00E949EB">
        <w:rPr>
          <w:rFonts w:ascii="Arial Narrow" w:eastAsia="Arial Narrow" w:hAnsi="Arial Narrow"/>
          <w:color w:val="000000"/>
        </w:rPr>
        <w:t xml:space="preserve">Póliza </w:t>
      </w:r>
      <w:r w:rsidR="00554412" w:rsidRPr="008B0D29">
        <w:rPr>
          <w:rFonts w:ascii="Arial Narrow" w:eastAsia="Arial Narrow" w:hAnsi="Arial Narrow"/>
          <w:color w:val="000000"/>
        </w:rPr>
        <w:t>2101-1404488</w:t>
      </w:r>
      <w:r w:rsidR="00554412">
        <w:rPr>
          <w:rFonts w:ascii="Arial Narrow" w:eastAsia="Arial Narrow" w:hAnsi="Arial Narrow"/>
          <w:color w:val="000000"/>
        </w:rPr>
        <w:t xml:space="preserve"> </w:t>
      </w:r>
      <w:r w:rsidR="00554412" w:rsidRPr="00E949EB">
        <w:rPr>
          <w:rFonts w:ascii="Arial Narrow" w:eastAsia="Arial Narrow" w:hAnsi="Arial Narrow"/>
          <w:color w:val="000000"/>
        </w:rPr>
        <w:t xml:space="preserve">del Seguro </w:t>
      </w:r>
      <w:r w:rsidR="00554412">
        <w:rPr>
          <w:rFonts w:ascii="Arial Narrow" w:eastAsia="Arial Narrow" w:hAnsi="Arial Narrow"/>
          <w:color w:val="000000"/>
        </w:rPr>
        <w:t>Vehicular</w:t>
      </w:r>
      <w:r w:rsidRPr="006E7EC9">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E7EC9">
        <w:rPr>
          <w:rFonts w:ascii="Arial Narrow" w:eastAsia="Arial Narrow" w:hAnsi="Arial Narrow" w:cs="Arial Narrow"/>
        </w:rPr>
        <w:t xml:space="preserve">el numeral 49.1. del artículo 49 y al literal a) del artículo 50 </w:t>
      </w:r>
      <w:r w:rsidRPr="00C941ED">
        <w:rPr>
          <w:rStyle w:val="Refdenotaalpie"/>
          <w:rFonts w:cs="Arial"/>
          <w:vertAlign w:val="superscript"/>
        </w:rPr>
        <w:footnoteReference w:id="5"/>
      </w:r>
      <w:r w:rsidRPr="006E7EC9">
        <w:rPr>
          <w:rFonts w:ascii="Arial Narrow" w:eastAsia="Arial Narrow" w:hAnsi="Arial Narrow" w:cs="Arial Narrow"/>
          <w:kern w:val="0"/>
          <w14:ligatures w14:val="none"/>
        </w:rPr>
        <w:t>.</w:t>
      </w:r>
      <w:bookmarkEnd w:id="2"/>
      <w:bookmarkEnd w:id="3"/>
      <w:r>
        <w:rPr>
          <w:rFonts w:ascii="Arial Narrow" w:eastAsia="Arial Narrow" w:hAnsi="Arial Narrow" w:cs="Arial Narrow"/>
          <w:kern w:val="0"/>
          <w14:ligatures w14:val="none"/>
        </w:rPr>
        <w:t xml:space="preserve"> </w:t>
      </w:r>
      <w:bookmarkEnd w:id="0"/>
      <w:bookmarkEnd w:id="1"/>
    </w:p>
    <w:p w14:paraId="7C5BEF7E" w14:textId="77777777" w:rsidR="00456E8F" w:rsidRPr="00456E8F" w:rsidRDefault="00456E8F" w:rsidP="00456E8F">
      <w:pPr>
        <w:pStyle w:val="Prrafodelista"/>
        <w:spacing w:after="0" w:line="240" w:lineRule="auto"/>
        <w:ind w:left="567"/>
        <w:jc w:val="both"/>
        <w:rPr>
          <w:rFonts w:ascii="Arial Narrow" w:eastAsia="Arial Narrow" w:hAnsi="Arial Narrow" w:cs="Arial"/>
          <w:bCs/>
          <w:kern w:val="0"/>
          <w14:ligatures w14:val="none"/>
        </w:rPr>
      </w:pPr>
    </w:p>
    <w:p w14:paraId="30A3CD74" w14:textId="49632A56" w:rsidR="00CA59A2" w:rsidRPr="00456E8F" w:rsidRDefault="00CA59A2" w:rsidP="00456E8F">
      <w:pPr>
        <w:pStyle w:val="Prrafodelista"/>
        <w:numPr>
          <w:ilvl w:val="0"/>
          <w:numId w:val="10"/>
        </w:numPr>
        <w:spacing w:after="0" w:line="240" w:lineRule="auto"/>
        <w:ind w:left="567" w:hanging="567"/>
        <w:jc w:val="both"/>
        <w:rPr>
          <w:rFonts w:ascii="Arial Narrow" w:eastAsia="Arial Narrow" w:hAnsi="Arial Narrow" w:cs="Arial"/>
          <w:bCs/>
          <w:kern w:val="0"/>
          <w14:ligatures w14:val="none"/>
        </w:rPr>
      </w:pPr>
      <w:r w:rsidRPr="00456E8F">
        <w:rPr>
          <w:rFonts w:ascii="Arial Narrow" w:eastAsia="Arial Narrow" w:hAnsi="Arial Narrow" w:cs="Arial"/>
          <w:color w:val="000000"/>
          <w:kern w:val="0"/>
          <w:lang w:eastAsia="es-PE"/>
          <w14:ligatures w14:val="none"/>
        </w:rPr>
        <w:lastRenderedPageBreak/>
        <w:t>En tanto la denuncia reúne los requisitos establecidos por la norma citada, corresponde admitirla a trámite</w:t>
      </w:r>
      <w:r w:rsidRPr="00E0022C">
        <w:rPr>
          <w:rStyle w:val="Refdenotaalpie"/>
          <w:rFonts w:cs="Arial Narrow"/>
          <w:vertAlign w:val="superscript"/>
        </w:rPr>
        <w:footnoteReference w:id="6"/>
      </w:r>
      <w:r w:rsidRPr="00456E8F">
        <w:rPr>
          <w:rFonts w:ascii="Arial Narrow" w:eastAsia="Arial Narrow" w:hAnsi="Arial Narrow" w:cs="Arial"/>
          <w:color w:val="000000"/>
          <w:kern w:val="0"/>
          <w:lang w:eastAsia="es-PE"/>
          <w14:ligatures w14:val="none"/>
        </w:rPr>
        <w:t>.</w:t>
      </w:r>
    </w:p>
    <w:p w14:paraId="170DA77F" w14:textId="77777777" w:rsidR="00CA59A2" w:rsidRPr="00E0022C" w:rsidRDefault="00CA59A2" w:rsidP="00E0022C">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4" w:name="_Hlk214963071"/>
    </w:p>
    <w:p w14:paraId="01DF6A23" w14:textId="77777777"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cs="Arial Narrow"/>
          <w:b/>
          <w:color w:val="000000"/>
          <w:kern w:val="0"/>
          <w:lang w:eastAsia="es-PE"/>
          <w14:ligatures w14:val="none"/>
        </w:rPr>
        <w:t>REQUERIMIENTO DE INFORMACIÓN</w:t>
      </w:r>
    </w:p>
    <w:p w14:paraId="72F780A0" w14:textId="77777777" w:rsidR="00CA59A2" w:rsidRPr="00E0022C" w:rsidRDefault="00CA59A2" w:rsidP="00E0022C">
      <w:pPr>
        <w:spacing w:after="0" w:line="240" w:lineRule="auto"/>
        <w:jc w:val="both"/>
        <w:rPr>
          <w:rFonts w:ascii="Arial Narrow" w:eastAsia="Times New Roman" w:hAnsi="Arial Narrow" w:cs="Arial"/>
          <w:color w:val="000000"/>
          <w:kern w:val="0"/>
          <w:lang w:val="es-ES" w:eastAsia="es-ES"/>
          <w14:ligatures w14:val="none"/>
        </w:rPr>
      </w:pPr>
    </w:p>
    <w:p w14:paraId="1C0E7802" w14:textId="19271F4F" w:rsidR="00CA59A2" w:rsidRPr="00E0022C" w:rsidRDefault="00CA59A2" w:rsidP="00456E8F">
      <w:pPr>
        <w:pStyle w:val="Prrafodelista"/>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E0022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973207" w:rsidRPr="00E949EB">
        <w:rPr>
          <w:rFonts w:ascii="Arial Narrow" w:eastAsia="Times New Roman" w:hAnsi="Arial Narrow" w:cs="Arial"/>
          <w:color w:val="000000"/>
          <w:kern w:val="0"/>
          <w:lang w:val="es-ES" w:eastAsia="es-ES"/>
          <w14:ligatures w14:val="none"/>
        </w:rPr>
        <w:t xml:space="preserve">(i) presentar una copia completa, legible y debidamente suscrita de la </w:t>
      </w:r>
      <w:r w:rsidR="00973207" w:rsidRPr="00E949EB">
        <w:rPr>
          <w:rFonts w:ascii="Arial Narrow" w:eastAsia="Arial Narrow" w:hAnsi="Arial Narrow"/>
          <w:color w:val="000000"/>
        </w:rPr>
        <w:t xml:space="preserve">Póliza </w:t>
      </w:r>
      <w:r w:rsidR="008B0D29" w:rsidRPr="008B0D29">
        <w:rPr>
          <w:rFonts w:ascii="Arial Narrow" w:eastAsia="Arial Narrow" w:hAnsi="Arial Narrow"/>
          <w:color w:val="000000"/>
        </w:rPr>
        <w:t>2101-1404488</w:t>
      </w:r>
      <w:r w:rsidR="008B0D29">
        <w:rPr>
          <w:rFonts w:ascii="Arial Narrow" w:eastAsia="Arial Narrow" w:hAnsi="Arial Narrow"/>
          <w:color w:val="000000"/>
        </w:rPr>
        <w:t xml:space="preserve"> </w:t>
      </w:r>
      <w:r w:rsidR="00973207" w:rsidRPr="00E949EB">
        <w:rPr>
          <w:rFonts w:ascii="Arial Narrow" w:eastAsia="Arial Narrow" w:hAnsi="Arial Narrow"/>
          <w:color w:val="000000"/>
        </w:rPr>
        <w:t xml:space="preserve">del Seguro </w:t>
      </w:r>
      <w:r w:rsidR="008B0D29">
        <w:rPr>
          <w:rFonts w:ascii="Arial Narrow" w:eastAsia="Arial Narrow" w:hAnsi="Arial Narrow"/>
          <w:color w:val="000000"/>
        </w:rPr>
        <w:t>Vehicular</w:t>
      </w:r>
      <w:r w:rsidR="00973207" w:rsidRPr="00E949EB">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8B0D29">
        <w:rPr>
          <w:rFonts w:ascii="Arial Narrow" w:eastAsia="Times New Roman" w:hAnsi="Arial Narrow" w:cs="Arial"/>
          <w:color w:val="000000"/>
          <w:kern w:val="0"/>
          <w:lang w:val="es-ES" w:eastAsia="es-ES"/>
          <w14:ligatures w14:val="none"/>
        </w:rPr>
        <w:t>que la negativa de otorgamiento de cobertura fue justificada</w:t>
      </w:r>
      <w:r w:rsidR="00973207" w:rsidRPr="00E949EB">
        <w:rPr>
          <w:rFonts w:ascii="Arial Narrow" w:eastAsia="Times New Roman" w:hAnsi="Arial Narrow" w:cs="Arial"/>
          <w:color w:val="000000"/>
          <w:kern w:val="0"/>
          <w:lang w:eastAsia="es-ES"/>
          <w14:ligatures w14:val="none"/>
        </w:rPr>
        <w:t xml:space="preserve">; y, (iii) </w:t>
      </w:r>
      <w:r w:rsidR="00973207" w:rsidRPr="00E949EB">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973207" w:rsidRPr="00E949EB">
        <w:rPr>
          <w:rFonts w:ascii="Arial Narrow" w:eastAsia="Arial Narrow" w:hAnsi="Arial Narrow"/>
          <w:color w:val="000000"/>
        </w:rPr>
        <w:t>.</w:t>
      </w:r>
    </w:p>
    <w:bookmarkEnd w:id="4"/>
    <w:p w14:paraId="721EB546" w14:textId="77777777" w:rsidR="00CA59A2" w:rsidRPr="00E0022C" w:rsidRDefault="00CA59A2" w:rsidP="00E0022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F1D2263" w14:textId="7F146721" w:rsidR="00CA59A2" w:rsidRPr="00E0022C" w:rsidRDefault="00CA59A2" w:rsidP="00E0022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0022C">
        <w:rPr>
          <w:rFonts w:ascii="Arial Narrow" w:eastAsia="Arial Narrow" w:hAnsi="Arial Narrow" w:cs="Arial Narrow"/>
          <w:b/>
          <w:color w:val="000000"/>
          <w:kern w:val="0"/>
          <w:lang w:eastAsia="es-PE"/>
          <w14:ligatures w14:val="none"/>
        </w:rPr>
        <w:t>RESOLUCIÓN DE LA SECRETARÍA TÉCNICA</w:t>
      </w:r>
      <w:r w:rsidR="00E0022C" w:rsidRPr="00E0022C">
        <w:rPr>
          <w:rFonts w:ascii="Arial Narrow" w:eastAsia="Arial Narrow" w:hAnsi="Arial Narrow" w:cs="Arial Narrow"/>
          <w:b/>
          <w:color w:val="000000"/>
          <w:kern w:val="0"/>
          <w:lang w:eastAsia="es-PE"/>
          <w14:ligatures w14:val="none"/>
        </w:rPr>
        <w:t xml:space="preserve"> </w:t>
      </w:r>
    </w:p>
    <w:p w14:paraId="3BBCEF6E" w14:textId="77777777" w:rsidR="00CA59A2" w:rsidRPr="00E0022C" w:rsidRDefault="00CA59A2" w:rsidP="00E0022C">
      <w:pPr>
        <w:spacing w:after="0" w:line="240" w:lineRule="auto"/>
        <w:jc w:val="both"/>
        <w:rPr>
          <w:rFonts w:ascii="Arial Narrow" w:eastAsia="Arial Narrow" w:hAnsi="Arial Narrow" w:cs="Arial Narrow"/>
          <w:b/>
          <w:color w:val="000000"/>
          <w:kern w:val="0"/>
          <w:lang w:eastAsia="es-PE"/>
          <w14:ligatures w14:val="none"/>
        </w:rPr>
      </w:pPr>
    </w:p>
    <w:p w14:paraId="19FF3853" w14:textId="77777777" w:rsidR="00973207" w:rsidRPr="00CA233D" w:rsidRDefault="00CA59A2" w:rsidP="00973207">
      <w:pPr>
        <w:spacing w:after="0" w:line="240" w:lineRule="auto"/>
        <w:jc w:val="both"/>
        <w:rPr>
          <w:rFonts w:ascii="Arial Narrow" w:eastAsia="Calibri" w:hAnsi="Arial Narrow" w:cs="Arial Narrow"/>
          <w:color w:val="000000"/>
          <w:kern w:val="0"/>
          <w:lang w:eastAsia="es-PE"/>
          <w14:ligatures w14:val="none"/>
        </w:rPr>
      </w:pPr>
      <w:r w:rsidRPr="00E0022C">
        <w:rPr>
          <w:rFonts w:ascii="Arial Narrow" w:eastAsia="Arial Narrow" w:hAnsi="Arial Narrow"/>
          <w:b/>
          <w:color w:val="000000"/>
        </w:rPr>
        <w:t xml:space="preserve">PRIMERO: admitir a trámite la denuncia del 19 de junio de 2026 interpuesta por [DENUNCIANTE] contra Rímac Seguros y Reaseguros S.A., por lo siguiente:</w:t>
      </w:r>
      <w:r w:rsidRPr="00E0022C">
        <w:rPr>
          <w:rFonts w:ascii="Arial Narrow" w:eastAsia="Arial Narrow" w:hAnsi="Arial Narrow"/>
          <w:color w:val="000000"/>
        </w:rPr>
        <w:t xml:space="preserve"/>
      </w:r>
      <w:r w:rsidR="00973207" w:rsidRPr="00CA233D">
        <w:rPr>
          <w:rFonts w:ascii="Arial Narrow" w:eastAsia="Arial Narrow" w:hAnsi="Arial Narrow"/>
          <w:color w:val="000000"/>
        </w:rPr>
        <w:t/>
      </w:r>
    </w:p>
    <w:p w14:paraId="6F208777" w14:textId="77777777" w:rsidR="00973207" w:rsidRPr="00CA233D" w:rsidRDefault="00973207" w:rsidP="00973207">
      <w:pPr>
        <w:spacing w:after="0" w:line="240" w:lineRule="auto"/>
        <w:jc w:val="both"/>
        <w:rPr>
          <w:rFonts w:ascii="Arial Narrow" w:eastAsia="Calibri" w:hAnsi="Arial Narrow" w:cs="Arial Narrow"/>
          <w:color w:val="000000"/>
          <w:kern w:val="0"/>
          <w:lang w:eastAsia="es-PE"/>
          <w14:ligatures w14:val="none"/>
        </w:rPr>
      </w:pPr>
    </w:p>
    <w:p w14:paraId="4DF9CCBA" w14:textId="12802F64" w:rsidR="00973207" w:rsidRPr="00CA233D" w:rsidRDefault="00973207" w:rsidP="009732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233D">
        <w:rPr>
          <w:rFonts w:ascii="Arial Narrow" w:eastAsia="Arial Narrow" w:hAnsi="Arial Narrow"/>
          <w:color w:val="000000"/>
        </w:rPr>
        <w:t xml:space="preserve">Presunta infracción al deber de idoneidad, tipificada en los artículos 18 y 19 de la Ley 29571, Código de Protección y Defensa del Consumidor, en tanto </w:t>
      </w:r>
      <w:r>
        <w:rPr>
          <w:rFonts w:ascii="Arial Narrow" w:eastAsia="Arial Narrow" w:hAnsi="Arial Narrow"/>
          <w:color w:val="000000"/>
        </w:rPr>
        <w:t>la compañía aseguradora</w:t>
      </w:r>
      <w:r w:rsidRPr="00CA233D">
        <w:rPr>
          <w:rFonts w:ascii="Arial Narrow" w:eastAsia="Arial Narrow" w:hAnsi="Arial Narrow"/>
          <w:color w:val="000000"/>
        </w:rPr>
        <w:t xml:space="preserve"> </w:t>
      </w:r>
      <w:r w:rsidR="009300C6" w:rsidRPr="009300C6">
        <w:rPr>
          <w:rFonts w:ascii="Arial Narrow" w:eastAsia="Arial Narrow" w:hAnsi="Arial Narrow"/>
          <w:color w:val="000000"/>
        </w:rPr>
        <w:t xml:space="preserve">habría negado la cobertura de responsabilidad civil frente a terceros </w:t>
      </w:r>
      <w:r w:rsidR="0036005D" w:rsidRPr="00E949EB">
        <w:rPr>
          <w:rFonts w:ascii="Arial Narrow" w:eastAsia="Times New Roman" w:hAnsi="Arial Narrow" w:cs="Arial"/>
          <w:color w:val="000000"/>
          <w:kern w:val="0"/>
          <w:lang w:val="es-ES" w:eastAsia="es-ES"/>
          <w14:ligatures w14:val="none"/>
        </w:rPr>
        <w:t xml:space="preserve">de la </w:t>
      </w:r>
      <w:r w:rsidR="0036005D" w:rsidRPr="00E949EB">
        <w:rPr>
          <w:rFonts w:ascii="Arial Narrow" w:eastAsia="Arial Narrow" w:hAnsi="Arial Narrow"/>
          <w:color w:val="000000"/>
        </w:rPr>
        <w:t xml:space="preserve">Póliza </w:t>
      </w:r>
      <w:r w:rsidR="0036005D" w:rsidRPr="008B0D29">
        <w:rPr>
          <w:rFonts w:ascii="Arial Narrow" w:eastAsia="Arial Narrow" w:hAnsi="Arial Narrow"/>
          <w:color w:val="000000"/>
        </w:rPr>
        <w:t>2101-1404488</w:t>
      </w:r>
      <w:r w:rsidR="0036005D">
        <w:rPr>
          <w:rFonts w:ascii="Arial Narrow" w:eastAsia="Arial Narrow" w:hAnsi="Arial Narrow"/>
          <w:color w:val="000000"/>
        </w:rPr>
        <w:t xml:space="preserve"> </w:t>
      </w:r>
      <w:r w:rsidR="0036005D" w:rsidRPr="00E949EB">
        <w:rPr>
          <w:rFonts w:ascii="Arial Narrow" w:eastAsia="Arial Narrow" w:hAnsi="Arial Narrow"/>
          <w:color w:val="000000"/>
        </w:rPr>
        <w:t xml:space="preserve">del Seguro </w:t>
      </w:r>
      <w:r w:rsidR="0036005D">
        <w:rPr>
          <w:rFonts w:ascii="Arial Narrow" w:eastAsia="Arial Narrow" w:hAnsi="Arial Narrow"/>
          <w:color w:val="000000"/>
        </w:rPr>
        <w:t>Vehicular</w:t>
      </w:r>
      <w:r w:rsidR="0036005D" w:rsidRPr="009300C6">
        <w:rPr>
          <w:rFonts w:ascii="Arial Narrow" w:eastAsia="Arial Narrow" w:hAnsi="Arial Narrow"/>
          <w:color w:val="000000"/>
        </w:rPr>
        <w:t xml:space="preserve"> </w:t>
      </w:r>
      <w:r w:rsidR="009300C6" w:rsidRPr="009300C6">
        <w:rPr>
          <w:rFonts w:ascii="Arial Narrow" w:eastAsia="Arial Narrow" w:hAnsi="Arial Narrow"/>
          <w:color w:val="000000"/>
        </w:rPr>
        <w:t xml:space="preserve">por el siniestro del 28 de setiembre de 2024, pese a que ante la </w:t>
      </w:r>
      <w:r w:rsidR="009300C6">
        <w:rPr>
          <w:rFonts w:ascii="Arial Narrow" w:eastAsia="Arial Narrow" w:hAnsi="Arial Narrow"/>
          <w:color w:val="000000"/>
        </w:rPr>
        <w:t>Policia Nacional del Perú</w:t>
      </w:r>
      <w:r w:rsidR="009300C6" w:rsidRPr="009300C6">
        <w:rPr>
          <w:rFonts w:ascii="Arial Narrow" w:eastAsia="Arial Narrow" w:hAnsi="Arial Narrow"/>
          <w:color w:val="000000"/>
        </w:rPr>
        <w:t xml:space="preserve"> manifestó que el siniestro contaba con cobertura</w:t>
      </w:r>
      <w:r w:rsidRPr="00CA233D">
        <w:rPr>
          <w:rFonts w:ascii="Arial Narrow" w:eastAsia="Arial Narrow" w:hAnsi="Arial Narrow"/>
          <w:color w:val="000000"/>
        </w:rPr>
        <w:t>.</w:t>
      </w:r>
    </w:p>
    <w:p w14:paraId="032FD603" w14:textId="77777777" w:rsidR="00973207" w:rsidRPr="00CA233D" w:rsidRDefault="00973207" w:rsidP="00973207">
      <w:pPr>
        <w:spacing w:after="0" w:line="240" w:lineRule="auto"/>
        <w:jc w:val="both"/>
        <w:rPr>
          <w:rFonts w:ascii="Arial Narrow" w:hAnsi="Arial Narrow"/>
        </w:rPr>
      </w:pPr>
    </w:p>
    <w:p w14:paraId="5D31EDC8" w14:textId="68ED2EAC" w:rsidR="00973207" w:rsidRPr="00CA233D" w:rsidRDefault="00973207" w:rsidP="009732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233D">
        <w:rPr>
          <w:rFonts w:ascii="Arial Narrow" w:eastAsia="Arial Narrow" w:hAnsi="Arial Narrow"/>
          <w:color w:val="000000"/>
        </w:rPr>
        <w:t xml:space="preserve">Presunta </w:t>
      </w:r>
      <w:bookmarkStart w:id="5" w:name="_Hlk213096705"/>
      <w:bookmarkStart w:id="6" w:name="_Hlk213161573"/>
      <w:bookmarkStart w:id="7" w:name="_Hlk213410405"/>
      <w:r w:rsidRPr="005A5B56">
        <w:rPr>
          <w:rFonts w:ascii="Arial Narrow" w:eastAsia="Arial Narrow" w:hAnsi="Arial Narrow" w:cs="Arial Narrow"/>
        </w:rPr>
        <w:t xml:space="preserve">Presunta infracción </w:t>
      </w:r>
      <w:r w:rsidRPr="00C941ED">
        <w:rPr>
          <w:rFonts w:ascii="Arial Narrow" w:eastAsia="Arial Narrow" w:hAnsi="Arial Narrow" w:cs="Arial Narrow"/>
        </w:rPr>
        <w:t>al numeral 49.1. del artículo 49 y al literal a) del artículo 50 de la Ley</w:t>
      </w:r>
      <w:r w:rsidRPr="005A5B56">
        <w:rPr>
          <w:rFonts w:ascii="Arial Narrow" w:eastAsia="Arial Narrow" w:hAnsi="Arial Narrow" w:cs="Arial Narrow"/>
        </w:rPr>
        <w:t xml:space="preserve"> 29571</w:t>
      </w:r>
      <w:bookmarkEnd w:id="5"/>
      <w:r w:rsidRPr="005A5B56">
        <w:rPr>
          <w:rFonts w:ascii="Arial Narrow" w:eastAsia="Arial Narrow" w:hAnsi="Arial Narrow" w:cs="Arial Narrow"/>
        </w:rPr>
        <w:t>, Código de Protección y Defensa del Consumidor</w:t>
      </w:r>
      <w:bookmarkEnd w:id="6"/>
      <w:r w:rsidRPr="005A5B56">
        <w:rPr>
          <w:rFonts w:ascii="Arial Narrow" w:eastAsia="Arial Narrow" w:hAnsi="Arial Narrow" w:cs="Arial Narrow"/>
        </w:rPr>
        <w:t xml:space="preserve">, en tanto </w:t>
      </w:r>
      <w:bookmarkEnd w:id="7"/>
      <w:r w:rsidRPr="005A5B56">
        <w:rPr>
          <w:rFonts w:ascii="Arial Narrow" w:eastAsia="Times New Roman" w:hAnsi="Arial Narrow" w:cs="Arial"/>
          <w:color w:val="000000"/>
          <w:kern w:val="0"/>
          <w:lang w:val="es-ES" w:eastAsia="es-ES"/>
          <w14:ligatures w14:val="none"/>
        </w:rPr>
        <w:t xml:space="preserve">la compañía aseguradora </w:t>
      </w:r>
      <w:r w:rsidRPr="005A5B56">
        <w:rPr>
          <w:rFonts w:ascii="Arial Narrow" w:eastAsia="Arial Narrow" w:hAnsi="Arial Narrow" w:cs="Arial Narrow"/>
          <w:kern w:val="0"/>
          <w14:ligatures w14:val="none"/>
        </w:rPr>
        <w:t xml:space="preserve">habría incluido una cláusula abusiva en </w:t>
      </w:r>
      <w:r>
        <w:rPr>
          <w:rFonts w:ascii="Arial Narrow" w:eastAsia="Arial Narrow" w:hAnsi="Arial Narrow"/>
          <w:color w:val="000000"/>
        </w:rPr>
        <w:t xml:space="preserve">la </w:t>
      </w:r>
      <w:r w:rsidR="0036005D" w:rsidRPr="00E949EB">
        <w:rPr>
          <w:rFonts w:ascii="Arial Narrow" w:eastAsia="Arial Narrow" w:hAnsi="Arial Narrow"/>
          <w:color w:val="000000"/>
        </w:rPr>
        <w:t xml:space="preserve">Póliza </w:t>
      </w:r>
      <w:r w:rsidR="0036005D" w:rsidRPr="008B0D29">
        <w:rPr>
          <w:rFonts w:ascii="Arial Narrow" w:eastAsia="Arial Narrow" w:hAnsi="Arial Narrow"/>
          <w:color w:val="000000"/>
        </w:rPr>
        <w:t>2101-1404488</w:t>
      </w:r>
      <w:r w:rsidR="0036005D">
        <w:rPr>
          <w:rFonts w:ascii="Arial Narrow" w:eastAsia="Arial Narrow" w:hAnsi="Arial Narrow"/>
          <w:color w:val="000000"/>
        </w:rPr>
        <w:t xml:space="preserve"> </w:t>
      </w:r>
      <w:r w:rsidR="0036005D" w:rsidRPr="00E949EB">
        <w:rPr>
          <w:rFonts w:ascii="Arial Narrow" w:eastAsia="Arial Narrow" w:hAnsi="Arial Narrow"/>
          <w:color w:val="000000"/>
        </w:rPr>
        <w:t xml:space="preserve">del Seguro </w:t>
      </w:r>
      <w:r w:rsidR="0036005D">
        <w:rPr>
          <w:rFonts w:ascii="Arial Narrow" w:eastAsia="Arial Narrow" w:hAnsi="Arial Narrow"/>
          <w:color w:val="000000"/>
        </w:rPr>
        <w:t>Vehicular</w:t>
      </w:r>
      <w:r w:rsidRPr="00CA233D">
        <w:rPr>
          <w:rFonts w:ascii="Arial Narrow" w:eastAsia="Arial Narrow" w:hAnsi="Arial Narrow"/>
          <w:color w:val="000000"/>
        </w:rPr>
        <w:t>.</w:t>
      </w:r>
      <w:r>
        <w:rPr>
          <w:rFonts w:ascii="Arial Narrow" w:eastAsia="Arial Narrow" w:hAnsi="Arial Narrow"/>
          <w:color w:val="000000"/>
        </w:rPr>
        <w:t xml:space="preserve"> </w:t>
      </w:r>
    </w:p>
    <w:p w14:paraId="48330FFE" w14:textId="5F7BF071" w:rsidR="00952758" w:rsidRPr="00E0022C" w:rsidRDefault="00952758" w:rsidP="00973207">
      <w:pPr>
        <w:spacing w:after="0" w:line="240" w:lineRule="auto"/>
        <w:jc w:val="both"/>
        <w:rPr>
          <w:rFonts w:ascii="Arial Narrow" w:hAnsi="Arial Narrow"/>
        </w:rPr>
      </w:pPr>
    </w:p>
    <w:p w14:paraId="69F951A5" w14:textId="77777777" w:rsidR="00CA59A2" w:rsidRPr="00E0022C" w:rsidRDefault="00CA59A2" w:rsidP="00E0022C">
      <w:pPr>
        <w:spacing w:after="0" w:line="240" w:lineRule="auto"/>
        <w:contextualSpacing/>
        <w:jc w:val="both"/>
        <w:rPr>
          <w:rFonts w:ascii="Arial Narrow" w:eastAsia="Calibri" w:hAnsi="Arial Narrow" w:cs="Arial"/>
          <w:kern w:val="0"/>
          <w14:ligatures w14:val="none"/>
        </w:rPr>
      </w:pPr>
      <w:r w:rsidRPr="00E0022C">
        <w:rPr>
          <w:rFonts w:ascii="Arial Narrow" w:eastAsia="Arial Narrow" w:hAnsi="Arial Narrow"/>
          <w:b/>
          <w:color w:val="000000"/>
        </w:rPr>
        <w:t xml:space="preserve">SEGUNDO: </w:t>
      </w:r>
      <w:r w:rsidRPr="00E0022C">
        <w:rPr>
          <w:rFonts w:ascii="Arial Narrow" w:eastAsia="Arial Narrow" w:hAnsi="Arial Narrow"/>
          <w:color w:val="000000"/>
        </w:rPr>
        <w:t>tener por ofrecidos los medios probatorios presentados en el escrito de denuncia del 19 de junio de 2026.</w:t>
      </w:r>
    </w:p>
    <w:p w14:paraId="1CBE26FF" w14:textId="77777777" w:rsidR="00CA59A2" w:rsidRPr="00E0022C" w:rsidRDefault="00CA59A2" w:rsidP="00E0022C">
      <w:pPr>
        <w:spacing w:after="0" w:line="240" w:lineRule="auto"/>
        <w:contextualSpacing/>
        <w:jc w:val="both"/>
        <w:rPr>
          <w:rFonts w:ascii="Arial Narrow" w:eastAsia="Times New Roman" w:hAnsi="Arial Narrow" w:cs="Times New Roman"/>
          <w:color w:val="000000"/>
          <w:kern w:val="0"/>
          <w:lang w:eastAsia="es-PE"/>
          <w14:ligatures w14:val="none"/>
        </w:rPr>
      </w:pPr>
    </w:p>
    <w:p w14:paraId="45EAC85F"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b/>
          <w:color w:val="000000"/>
        </w:rPr>
        <w:t xml:space="preserve">TERCERO: </w:t>
      </w:r>
      <w:r w:rsidRPr="00E0022C">
        <w:rPr>
          <w:rFonts w:ascii="Arial Narrow" w:eastAsia="Arial Narrow" w:hAnsi="Arial Narrow"/>
          <w:color w:val="000000"/>
        </w:rPr>
        <w:t>requerir a Rímac Seguros y Reaseguros S.A. que cumpla con lo siguiente:</w:t>
      </w:r>
    </w:p>
    <w:p w14:paraId="5B15C624" w14:textId="77777777" w:rsidR="00CA59A2" w:rsidRPr="00E0022C" w:rsidRDefault="00CA59A2" w:rsidP="00E0022C">
      <w:pPr>
        <w:spacing w:after="0" w:line="240" w:lineRule="auto"/>
        <w:jc w:val="both"/>
        <w:rPr>
          <w:rFonts w:ascii="Arial Narrow" w:eastAsia="Times New Roman" w:hAnsi="Arial Narrow" w:cs="Times New Roman"/>
          <w:color w:val="000000"/>
          <w:kern w:val="0"/>
          <w:lang w:eastAsia="es-PE"/>
          <w14:ligatures w14:val="none"/>
        </w:rPr>
      </w:pPr>
    </w:p>
    <w:p w14:paraId="6D5F46EA" w14: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B30782A" w14: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D7ED886" w14:textId="77777777" w:rsidR="00CA59A2" w:rsidRPr="00E0022C" w:rsidRDefault="00CA59A2" w:rsidP="00E0022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cs="Arial Narrow"/>
          <w:color w:val="000000"/>
          <w:kern w:val="0"/>
          <w:lang w:eastAsia="es-PE"/>
          <w14:ligatures w14:val="none"/>
        </w:rPr>
        <w:t>consignar el Número de Registro Único de Contribuyentes (RUC); y,</w:t>
      </w:r>
    </w:p>
    <w:p w14:paraId="56454A7F" w14:textId="77777777" w:rsidR="00CA59A2" w:rsidRPr="00E0022C" w:rsidRDefault="00CA59A2" w:rsidP="00E0022C">
      <w:pPr>
        <w:numPr>
          <w:ilvl w:val="0"/>
          <w:numId w:val="3"/>
        </w:numPr>
        <w:spacing w:after="0" w:line="240" w:lineRule="auto"/>
        <w:ind w:left="567" w:hanging="567"/>
        <w:jc w:val="both"/>
        <w:rPr>
          <w:rFonts w:ascii="Arial Narrow" w:eastAsia="Calibri" w:hAnsi="Arial Narrow" w:cs="Arial"/>
          <w:kern w:val="0"/>
          <w14:ligatures w14:val="none"/>
        </w:rPr>
      </w:pPr>
      <w:r w:rsidRPr="00E0022C">
        <w:rPr>
          <w:rFonts w:ascii="Arial Narrow" w:eastAsia="Arial Narrow" w:hAnsi="Arial Narrow" w:cs="Arial Narrow"/>
          <w:color w:val="000000"/>
          <w:kern w:val="0"/>
          <w:lang w:eastAsia="es-PE"/>
          <w14:ligatures w14:val="none"/>
        </w:rPr>
        <w:lastRenderedPageBreak/>
        <w:t xml:space="preserve">fijar domicilio procesal para el procedimiento, de conformidad con el numeral 1 del artículo 442 del Código Procesal Civil. </w:t>
      </w:r>
      <w:r w:rsidRPr="00E0022C">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E0022C">
        <w:rPr>
          <w:rFonts w:ascii="Arial Narrow" w:eastAsia="Arial Narrow" w:hAnsi="Arial Narrow" w:cs="Arial"/>
          <w:color w:val="000000"/>
          <w:kern w:val="0"/>
          <w:lang w:val="es"/>
          <w14:ligatures w14:val="none"/>
        </w:rPr>
        <w:t>;</w:t>
      </w:r>
    </w:p>
    <w:p w14:paraId="3B47BE5B" w14:textId="77777777" w:rsidR="00CA59A2" w:rsidRPr="00E0022C" w:rsidRDefault="00CA59A2" w:rsidP="00E0022C">
      <w:pPr>
        <w:numPr>
          <w:ilvl w:val="0"/>
          <w:numId w:val="3"/>
        </w:numPr>
        <w:spacing w:after="0" w:line="240" w:lineRule="auto"/>
        <w:ind w:left="567" w:hanging="567"/>
        <w:jc w:val="both"/>
        <w:rPr>
          <w:rFonts w:ascii="Arial Narrow" w:eastAsia="Calibri" w:hAnsi="Arial Narrow" w:cs="Arial"/>
          <w:kern w:val="0"/>
          <w14:ligatures w14:val="none"/>
        </w:rPr>
      </w:pPr>
      <w:r w:rsidRPr="00E0022C">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0022C">
        <w:rPr>
          <w:rStyle w:val="Refdenotaalpie"/>
          <w:rFonts w:ascii="Arial Narrow" w:eastAsia="Arial Narrow" w:hAnsi="Arial Narrow" w:cs="Arial"/>
          <w:color w:val="000000"/>
          <w:kern w:val="0"/>
          <w:vertAlign w:val="superscript"/>
          <w14:ligatures w14:val="none"/>
        </w:rPr>
        <w:footnoteReference w:id="7"/>
      </w:r>
      <w:r w:rsidRPr="00E0022C">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E0022C">
        <w:rPr>
          <w:rFonts w:ascii="Arial Narrow" w:eastAsia="Arial Narrow" w:hAnsi="Arial Narrow" w:cs="Arial"/>
          <w:color w:val="000000"/>
          <w:spacing w:val="-2"/>
          <w:kern w:val="0"/>
          <w14:ligatures w14:val="none"/>
        </w:rPr>
        <w:t>Código</w:t>
      </w:r>
      <w:r w:rsidRPr="00E0022C">
        <w:rPr>
          <w:rStyle w:val="Refdenotaalpie"/>
          <w:rFonts w:ascii="Arial Narrow" w:eastAsia="Arial Narrow" w:hAnsi="Arial Narrow" w:cs="Arial"/>
          <w:color w:val="000000"/>
          <w:spacing w:val="-2"/>
          <w:kern w:val="0"/>
          <w:vertAlign w:val="superscript"/>
          <w14:ligatures w14:val="none"/>
        </w:rPr>
        <w:footnoteReference w:id="8"/>
      </w:r>
      <w:r w:rsidRPr="00E0022C">
        <w:rPr>
          <w:rFonts w:ascii="Arial Narrow" w:eastAsia="Arial Narrow" w:hAnsi="Arial Narrow" w:cs="Arial"/>
          <w:color w:val="000000"/>
          <w:spacing w:val="-2"/>
          <w:kern w:val="0"/>
          <w14:ligatures w14:val="none"/>
        </w:rPr>
        <w:t>.</w:t>
      </w:r>
    </w:p>
    <w:p w14:paraId="4A5E8931" w14:textId="77777777" w:rsidR="00CA59A2" w:rsidRPr="00E0022C" w:rsidRDefault="00CA59A2" w:rsidP="00E0022C">
      <w:pPr>
        <w:spacing w:after="0" w:line="240" w:lineRule="auto"/>
        <w:ind w:left="567"/>
        <w:jc w:val="both"/>
        <w:rPr>
          <w:rFonts w:ascii="Arial Narrow" w:eastAsia="Arial Narrow" w:hAnsi="Arial Narrow" w:cs="Arial Narrow"/>
          <w:color w:val="000000"/>
          <w:kern w:val="0"/>
          <w:lang w:eastAsia="es-PE"/>
          <w14:ligatures w14:val="none"/>
        </w:rPr>
      </w:pPr>
    </w:p>
    <w:p w14:paraId="27C1F85D"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b/>
          <w:color w:val="000000"/>
        </w:rPr>
        <w:t xml:space="preserve">CUARTO: </w:t>
      </w:r>
      <w:r w:rsidRPr="00E0022C">
        <w:rPr>
          <w:rFonts w:ascii="Arial Narrow" w:eastAsia="Arial Narrow" w:hAnsi="Arial Narrow"/>
          <w:color w:val="000000"/>
        </w:rPr>
        <w:t>correr traslado de la denuncia interpuesta el 19 de junio de 2026 a Rímac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5761E046"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p>
    <w:p w14:paraId="60E5CB1F" w14:textId="09938370" w:rsidR="00CA59A2" w:rsidRPr="00E0022C" w:rsidRDefault="00CA59A2" w:rsidP="00E0022C">
      <w:pPr>
        <w:spacing w:after="0" w:line="240" w:lineRule="auto"/>
        <w:jc w:val="both"/>
        <w:rPr>
          <w:rFonts w:ascii="Arial Narrow" w:eastAsia="Times New Roman" w:hAnsi="Arial Narrow" w:cs="Arial"/>
          <w:color w:val="000000"/>
          <w:kern w:val="0"/>
          <w:lang w:val="es-ES" w:eastAsia="es-ES"/>
          <w14:ligatures w14:val="none"/>
        </w:rPr>
      </w:pPr>
      <w:r w:rsidRPr="00E0022C">
        <w:rPr>
          <w:rFonts w:ascii="Arial Narrow" w:eastAsia="Arial Narrow" w:hAnsi="Arial Narrow"/>
          <w:b/>
          <w:color w:val="000000"/>
        </w:rPr>
        <w:t xml:space="preserve">QUINTO: </w:t>
      </w:r>
      <w:r w:rsidRPr="00E0022C">
        <w:rPr>
          <w:rFonts w:ascii="Arial Narrow" w:eastAsia="Arial Narrow" w:hAnsi="Arial Narrow"/>
          <w:color w:val="000000"/>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8B0D29" w:rsidRPr="00E949EB">
        <w:rPr>
          <w:rFonts w:ascii="Arial Narrow" w:eastAsia="Times New Roman" w:hAnsi="Arial Narrow" w:cs="Arial"/>
          <w:color w:val="000000"/>
          <w:kern w:val="0"/>
          <w:lang w:val="es-ES" w:eastAsia="es-ES"/>
          <w14:ligatures w14:val="none"/>
        </w:rPr>
        <w:t xml:space="preserve">(i) presentar una copia completa, legible y debidamente suscrita de la </w:t>
      </w:r>
      <w:r w:rsidR="008B0D29" w:rsidRPr="00E949EB">
        <w:rPr>
          <w:rFonts w:ascii="Arial Narrow" w:eastAsia="Arial Narrow" w:hAnsi="Arial Narrow"/>
          <w:color w:val="000000"/>
        </w:rPr>
        <w:t xml:space="preserve">Póliza </w:t>
      </w:r>
      <w:r w:rsidR="008B0D29" w:rsidRPr="008B0D29">
        <w:rPr>
          <w:rFonts w:ascii="Arial Narrow" w:eastAsia="Arial Narrow" w:hAnsi="Arial Narrow"/>
          <w:color w:val="000000"/>
        </w:rPr>
        <w:t>2101-1404488</w:t>
      </w:r>
      <w:r w:rsidR="008B0D29">
        <w:rPr>
          <w:rFonts w:ascii="Arial Narrow" w:eastAsia="Arial Narrow" w:hAnsi="Arial Narrow"/>
          <w:color w:val="000000"/>
        </w:rPr>
        <w:t xml:space="preserve"> </w:t>
      </w:r>
      <w:r w:rsidR="008B0D29" w:rsidRPr="00E949EB">
        <w:rPr>
          <w:rFonts w:ascii="Arial Narrow" w:eastAsia="Arial Narrow" w:hAnsi="Arial Narrow"/>
          <w:color w:val="000000"/>
        </w:rPr>
        <w:t xml:space="preserve">del Seguro </w:t>
      </w:r>
      <w:r w:rsidR="008B0D29">
        <w:rPr>
          <w:rFonts w:ascii="Arial Narrow" w:eastAsia="Arial Narrow" w:hAnsi="Arial Narrow"/>
          <w:color w:val="000000"/>
        </w:rPr>
        <w:t>Vehicular</w:t>
      </w:r>
      <w:r w:rsidR="008B0D29" w:rsidRPr="00E949EB">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8B0D29">
        <w:rPr>
          <w:rFonts w:ascii="Arial Narrow" w:eastAsia="Times New Roman" w:hAnsi="Arial Narrow" w:cs="Arial"/>
          <w:color w:val="000000"/>
          <w:kern w:val="0"/>
          <w:lang w:val="es-ES" w:eastAsia="es-ES"/>
          <w14:ligatures w14:val="none"/>
        </w:rPr>
        <w:t>que la negativa de otorgamiento de cobertura fue justificada</w:t>
      </w:r>
      <w:r w:rsidR="008B0D29" w:rsidRPr="00E949EB">
        <w:rPr>
          <w:rFonts w:ascii="Arial Narrow" w:eastAsia="Times New Roman" w:hAnsi="Arial Narrow" w:cs="Arial"/>
          <w:color w:val="000000"/>
          <w:kern w:val="0"/>
          <w:lang w:eastAsia="es-ES"/>
          <w14:ligatures w14:val="none"/>
        </w:rPr>
        <w:t xml:space="preserve">; y, (iii) </w:t>
      </w:r>
      <w:r w:rsidR="008B0D29" w:rsidRPr="00E949EB">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r w:rsidR="00973207" w:rsidRPr="00E949EB">
        <w:rPr>
          <w:rFonts w:ascii="Arial Narrow" w:eastAsia="Arial Narrow" w:hAnsi="Arial Narrow"/>
          <w:color w:val="000000"/>
        </w:rPr>
        <w:t>.</w:t>
      </w:r>
    </w:p>
    <w:p w14:paraId="6AAE6177" w14:textId="77777777" w:rsidR="00CA59A2" w:rsidRPr="00E0022C" w:rsidRDefault="00CA59A2" w:rsidP="00E0022C">
      <w:pPr>
        <w:spacing w:after="0" w:line="240" w:lineRule="auto"/>
        <w:jc w:val="both"/>
        <w:rPr>
          <w:rFonts w:ascii="Arial Narrow" w:eastAsia="Arial Narrow" w:hAnsi="Arial Narrow" w:cs="Arial Narrow"/>
          <w:b/>
          <w:color w:val="000000"/>
          <w:kern w:val="0"/>
          <w:lang w:val="es-ES" w:eastAsia="es-PE"/>
          <w14:ligatures w14:val="none"/>
        </w:rPr>
      </w:pPr>
    </w:p>
    <w:p w14:paraId="3EDE0013"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cs="Arial Narrow"/>
          <w:b/>
          <w:color w:val="000000"/>
          <w:kern w:val="0"/>
          <w:lang w:eastAsia="es-PE"/>
          <w14:ligatures w14:val="none"/>
        </w:rPr>
        <w:t>SEXTO:</w:t>
      </w:r>
      <w:r w:rsidRPr="00E0022C">
        <w:rPr>
          <w:rFonts w:ascii="Arial Narrow" w:eastAsia="Arial Narrow" w:hAnsi="Arial Narrow" w:cs="Arial Narrow"/>
          <w:color w:val="000000"/>
          <w:kern w:val="0"/>
          <w:lang w:eastAsia="es-PE"/>
          <w14:ligatures w14:val="none"/>
        </w:rPr>
        <w:t xml:space="preserve"> </w:t>
      </w:r>
      <w:bookmarkStart w:id="8" w:name="_Hlk188286915"/>
      <w:r w:rsidRPr="00E0022C">
        <w:rPr>
          <w:rFonts w:ascii="Arial Narrow" w:eastAsia="Arial Narrow" w:hAnsi="Arial Narrow" w:cs="Arial Narrow"/>
          <w:color w:val="000000"/>
          <w:kern w:val="0"/>
          <w:lang w:eastAsia="es-PE"/>
          <w14:ligatures w14:val="none"/>
        </w:rPr>
        <w:t xml:space="preserve">informar a las partes que el artículo 110 de la Ley </w:t>
      </w:r>
      <w:r w:rsidR="003A71B1" w:rsidRPr="00E0022C">
        <w:rPr>
          <w:rFonts w:ascii="Arial Narrow" w:eastAsia="Arial Narrow" w:hAnsi="Arial Narrow" w:cs="Times New Roman"/>
          <w:color w:val="000000"/>
          <w:kern w:val="0"/>
          <w:lang w:eastAsia="es-PE"/>
          <w14:ligatures w14:val="none"/>
        </w:rPr>
        <w:t>29571</w:t>
      </w:r>
      <w:r w:rsidRPr="00E0022C">
        <w:rPr>
          <w:rFonts w:ascii="Arial Narrow" w:eastAsia="Arial Narrow" w:hAnsi="Arial Narrow" w:cs="Arial Narrow"/>
          <w:color w:val="000000"/>
          <w:kern w:val="0"/>
          <w:lang w:eastAsia="es-PE"/>
          <w14:ligatures w14:val="none"/>
        </w:rPr>
        <w:t>, Código de Protección y Defensa del Consumidor</w:t>
      </w:r>
      <w:r w:rsidRPr="00E0022C">
        <w:rPr>
          <w:rStyle w:val="Refdenotaalpie"/>
          <w:rFonts w:ascii="Arial Narrow" w:eastAsia="Arial Narrow" w:hAnsi="Arial Narrow" w:cs="Times New Roman"/>
          <w:color w:val="000000"/>
          <w:kern w:val="0"/>
          <w:vertAlign w:val="superscript"/>
          <w:lang w:eastAsia="es-PE"/>
          <w14:ligatures w14:val="none"/>
        </w:rPr>
        <w:footnoteReference w:id="9"/>
      </w:r>
      <w:r w:rsidRPr="00E0022C">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E0022C">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 115 y 116 de la referida norma</w:t>
      </w:r>
      <w:r w:rsidRPr="00E0022C">
        <w:rPr>
          <w:rStyle w:val="Refdenotaalpie"/>
          <w:rFonts w:ascii="Arial Narrow" w:eastAsia="Arial Narrow" w:hAnsi="Arial Narrow" w:cs="Times New Roman"/>
          <w:color w:val="000000"/>
          <w:kern w:val="0"/>
          <w:vertAlign w:val="superscript"/>
          <w:lang w:eastAsia="es-PE"/>
          <w14:ligatures w14:val="none"/>
        </w:rPr>
        <w:footnoteReference w:id="10"/>
      </w:r>
      <w:r w:rsidRPr="00E0022C">
        <w:rPr>
          <w:rFonts w:ascii="Arial Narrow" w:eastAsia="Arial Narrow" w:hAnsi="Arial Narrow" w:cs="Arial Narrow"/>
          <w:color w:val="000000"/>
          <w:kern w:val="0"/>
          <w:lang w:eastAsia="es-PE"/>
          <w14:ligatures w14:val="none"/>
        </w:rPr>
        <w:t xml:space="preserve">. </w:t>
      </w:r>
      <w:bookmarkEnd w:id="8"/>
      <w:r w:rsidRPr="00E0022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0022C">
        <w:rPr>
          <w:rStyle w:val="Refdenotaalpie"/>
          <w:rFonts w:ascii="Arial Narrow" w:eastAsia="Arial Narrow" w:hAnsi="Arial Narrow" w:cs="Times New Roman"/>
          <w:color w:val="000000"/>
          <w:kern w:val="0"/>
          <w:vertAlign w:val="superscript"/>
          <w:lang w:eastAsia="es-PE"/>
          <w14:ligatures w14:val="none"/>
        </w:rPr>
        <w:footnoteReference w:id="11"/>
      </w:r>
      <w:r w:rsidRPr="00E0022C">
        <w:rPr>
          <w:rFonts w:ascii="Arial Narrow" w:eastAsia="Arial Narrow" w:hAnsi="Arial Narrow" w:cs="Arial Narrow"/>
          <w:color w:val="000000"/>
          <w:kern w:val="0"/>
          <w:lang w:eastAsia="es-PE"/>
          <w14:ligatures w14:val="none"/>
        </w:rPr>
        <w:t>.</w:t>
      </w:r>
    </w:p>
    <w:p w14:paraId="65B5BDAE" w14:textId="77777777" w:rsidR="00CA59A2" w:rsidRPr="00E0022C" w:rsidRDefault="00CA59A2" w:rsidP="00E0022C">
      <w:pPr>
        <w:spacing w:after="0" w:line="240" w:lineRule="auto"/>
        <w:jc w:val="both"/>
        <w:rPr>
          <w:rFonts w:ascii="Arial Narrow" w:eastAsia="Arial Narrow" w:hAnsi="Arial Narrow" w:cs="Arial Narrow"/>
          <w:b/>
          <w:color w:val="000000"/>
          <w:kern w:val="0"/>
          <w:lang w:eastAsia="es-PE"/>
          <w14:ligatures w14:val="none"/>
        </w:rPr>
      </w:pPr>
    </w:p>
    <w:p w14:paraId="083AA1D1"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r w:rsidRPr="00E0022C">
        <w:rPr>
          <w:rFonts w:ascii="Arial Narrow" w:eastAsia="Arial Narrow" w:hAnsi="Arial Narrow" w:cs="Arial Narrow"/>
          <w:b/>
          <w:color w:val="000000"/>
          <w:kern w:val="0"/>
          <w:lang w:eastAsia="es-PE"/>
          <w14:ligatures w14:val="none"/>
        </w:rPr>
        <w:t>SÉTIMO:</w:t>
      </w:r>
      <w:r w:rsidRPr="00E0022C">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C5E8E17" w14:textId="77777777" w:rsidR="00CA59A2" w:rsidRPr="00E0022C" w:rsidRDefault="00CA59A2" w:rsidP="00E0022C">
      <w:pPr>
        <w:spacing w:after="0" w:line="240" w:lineRule="auto"/>
        <w:jc w:val="both"/>
        <w:rPr>
          <w:rFonts w:ascii="Arial Narrow" w:eastAsia="Arial Narrow" w:hAnsi="Arial Narrow" w:cs="Arial Narrow"/>
          <w:color w:val="000000"/>
          <w:kern w:val="0"/>
          <w:lang w:eastAsia="es-PE"/>
          <w14:ligatures w14:val="none"/>
        </w:rPr>
      </w:pPr>
    </w:p>
    <w:p w14:paraId="627DE6EA" w14:textId="4A4D15DB" w:rsidR="00CA59A2" w:rsidRPr="00E0022C" w:rsidRDefault="00CA59A2" w:rsidP="00E0022C">
      <w:pPr>
        <w:suppressAutoHyphens/>
        <w:spacing w:after="0" w:line="240" w:lineRule="auto"/>
        <w:jc w:val="both"/>
        <w:rPr>
          <w:rFonts w:ascii="Arial Narrow" w:eastAsia="Calibri" w:hAnsi="Arial Narrow" w:cs="Arial"/>
          <w:kern w:val="0"/>
          <w:u w:val="single"/>
          <w14:ligatures w14:val="none"/>
        </w:rPr>
      </w:pPr>
      <w:r w:rsidRPr="00E0022C">
        <w:rPr>
          <w:rFonts w:ascii="Arial Narrow" w:eastAsia="Arial Narrow" w:hAnsi="Arial Narrow" w:cs="Arial"/>
          <w:b/>
          <w:bCs/>
          <w:color w:val="000000"/>
          <w:kern w:val="0"/>
          <w14:ligatures w14:val="none"/>
        </w:rPr>
        <w:t>OCTAVO</w:t>
      </w:r>
      <w:r w:rsidRPr="00E0022C">
        <w:rPr>
          <w:rFonts w:ascii="Arial Narrow" w:eastAsia="Arial Narrow" w:hAnsi="Arial Narrow" w:cs="Arial"/>
          <w:b/>
          <w:color w:val="000000"/>
          <w:kern w:val="0"/>
          <w14:ligatures w14:val="none"/>
        </w:rPr>
        <w:t>:</w:t>
      </w:r>
      <w:r w:rsidRPr="00E0022C">
        <w:rPr>
          <w:rFonts w:ascii="Arial Narrow" w:eastAsia="Arial Narrow" w:hAnsi="Arial Narrow" w:cs="Arial"/>
          <w:color w:val="000000"/>
          <w:kern w:val="0"/>
          <w14:ligatures w14:val="none"/>
        </w:rPr>
        <w:t xml:space="preserve"> comunicar a las partes que, de acuerdo a lo señalado por el artículo 29 del Decreto Legislativo</w:t>
      </w:r>
      <w:r w:rsidR="00E0022C" w:rsidRPr="00E0022C">
        <w:rPr>
          <w:rFonts w:ascii="Arial Narrow" w:eastAsia="Arial Narrow" w:hAnsi="Arial Narrow" w:cs="Arial"/>
          <w:color w:val="000000"/>
          <w:kern w:val="0"/>
          <w14:ligatures w14:val="none"/>
        </w:rPr>
        <w:t xml:space="preserve"> </w:t>
      </w:r>
      <w:r w:rsidRPr="00E0022C">
        <w:rPr>
          <w:rFonts w:ascii="Arial Narrow" w:eastAsia="Arial Narrow" w:hAnsi="Arial Narrow" w:cs="Arial"/>
          <w:color w:val="000000"/>
          <w:kern w:val="0"/>
          <w14:ligatures w14:val="none"/>
        </w:rPr>
        <w:t>807</w:t>
      </w:r>
      <w:r w:rsidRPr="00E0022C">
        <w:rPr>
          <w:rStyle w:val="Refdenotaalpie"/>
          <w:rFonts w:ascii="Arial Narrow" w:eastAsia="Arial Narrow" w:hAnsi="Arial Narrow" w:cs="Arial"/>
          <w:color w:val="000000"/>
          <w:kern w:val="0"/>
          <w:vertAlign w:val="superscript"/>
          <w14:ligatures w14:val="none"/>
        </w:rPr>
        <w:footnoteReference w:id="12"/>
      </w:r>
      <w:r w:rsidRPr="00E0022C">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0022C">
        <w:rPr>
          <w:rFonts w:ascii="Arial Narrow" w:eastAsia="Arial Narrow" w:hAnsi="Arial Narrow" w:cs="Arial"/>
          <w:color w:val="000000"/>
          <w:kern w:val="0"/>
          <w:u w:val="single"/>
          <w14:ligatures w14:val="none"/>
        </w:rPr>
        <w:t>expresamente su facultad para asistir y conciliar en su representación</w:t>
      </w:r>
      <w:r w:rsidRPr="00E0022C">
        <w:rPr>
          <w:rFonts w:ascii="Arial Narrow" w:eastAsia="Arial Narrow" w:hAnsi="Arial Narrow" w:cs="Arial"/>
          <w:bCs/>
          <w:color w:val="000000"/>
          <w:kern w:val="0"/>
          <w14:ligatures w14:val="none"/>
        </w:rPr>
        <w:t>.</w:t>
      </w:r>
      <w:r w:rsidRPr="00E0022C">
        <w:rPr>
          <w:rFonts w:ascii="Arial Narrow" w:eastAsia="Arial Narrow" w:hAnsi="Arial Narrow" w:cs="Arial"/>
          <w:b/>
          <w:bCs/>
          <w:color w:val="000000"/>
          <w:kern w:val="0"/>
          <w14:ligatures w14:val="none"/>
        </w:rPr>
        <w:t xml:space="preserve"> </w:t>
      </w:r>
      <w:r w:rsidRPr="00E0022C">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131081B1" w14:textId="77777777" w:rsidR="00CA59A2" w:rsidRPr="00E0022C" w:rsidRDefault="00CA59A2" w:rsidP="00E0022C">
      <w:pPr>
        <w:suppressAutoHyphens/>
        <w:spacing w:after="0" w:line="240" w:lineRule="auto"/>
        <w:jc w:val="both"/>
        <w:rPr>
          <w:rFonts w:ascii="Arial Narrow" w:eastAsia="Calibri" w:hAnsi="Arial Narrow" w:cs="Arial"/>
          <w:kern w:val="0"/>
          <w:u w:val="single"/>
          <w14:ligatures w14:val="none"/>
        </w:rPr>
      </w:pPr>
    </w:p>
    <w:p w14:paraId="7B4C1F3D" w14:textId="77777777" w:rsidR="00CA59A2" w:rsidRPr="00E0022C" w:rsidRDefault="00CA59A2" w:rsidP="00E0022C">
      <w:pPr>
        <w:suppressAutoHyphens/>
        <w:spacing w:after="0" w:line="240" w:lineRule="auto"/>
        <w:jc w:val="both"/>
        <w:rPr>
          <w:rFonts w:ascii="Arial Narrow" w:eastAsia="Times New Roman" w:hAnsi="Arial Narrow" w:cs="Times New Roman"/>
          <w:color w:val="000000"/>
          <w:kern w:val="0"/>
          <w:lang w:eastAsia="es-PE"/>
          <w14:ligatures w14:val="none"/>
        </w:rPr>
      </w:pPr>
      <w:r w:rsidRPr="00E0022C">
        <w:rPr>
          <w:rFonts w:ascii="Arial Narrow" w:eastAsia="Arial Narrow" w:hAnsi="Arial Narrow" w:cs="Times New Roman"/>
          <w:b/>
          <w:color w:val="000000"/>
          <w:kern w:val="0"/>
          <w:lang w:eastAsia="es-PE"/>
          <w14:ligatures w14:val="none"/>
        </w:rPr>
        <w:t>NOVENO:</w:t>
      </w:r>
      <w:r w:rsidRPr="00E0022C">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3257735A" w14:textId="77777777" w:rsidR="00CA59A2" w:rsidRPr="00E0022C" w:rsidRDefault="00CA59A2" w:rsidP="00E0022C">
      <w:pPr>
        <w:suppressAutoHyphens/>
        <w:spacing w:after="0" w:line="240" w:lineRule="auto"/>
        <w:jc w:val="both"/>
        <w:rPr>
          <w:rFonts w:ascii="Arial Narrow" w:eastAsia="Times New Roman" w:hAnsi="Arial Narrow" w:cs="Times New Roman"/>
          <w:color w:val="000000"/>
          <w:kern w:val="0"/>
          <w:lang w:eastAsia="es-PE"/>
          <w14:ligatures w14:val="none"/>
        </w:rPr>
      </w:pPr>
    </w:p>
    <w:p w14:paraId="5FF117D7" w14:textId="49DE0044" w:rsidR="005B4857" w:rsidRPr="00E0022C" w:rsidRDefault="00CA59A2" w:rsidP="00E0022C">
      <w:pPr>
        <w:suppressAutoHyphens/>
        <w:spacing w:after="0" w:line="240" w:lineRule="auto"/>
        <w:jc w:val="both"/>
        <w:rPr>
          <w:rFonts w:ascii="Arial Narrow" w:hAnsi="Arial Narrow" w:cs="Arial"/>
        </w:rPr>
      </w:pPr>
      <w:r w:rsidRPr="00E0022C">
        <w:rPr>
          <w:rFonts w:ascii="Arial Narrow" w:eastAsia="Arial Narrow" w:hAnsi="Arial Narrow"/>
          <w:b/>
          <w:color w:val="000000"/>
        </w:rPr>
        <w:lastRenderedPageBreak/>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0022C">
        <w:rPr>
          <w:rFonts w:ascii="Arial Narrow" w:eastAsia="Arial Narrow" w:hAnsi="Arial Narrow"/>
          <w:color w:val="000000"/>
        </w:rPr>
        <w:t xml:space="preserve"/>
      </w:r>
      <w:r w:rsidR="00456E8F" w:rsidRPr="00E0022C">
        <w:rPr>
          <w:rFonts w:ascii="Arial Narrow" w:eastAsia="Arial Narrow" w:hAnsi="Arial Narrow"/>
          <w:color w:val="000000"/>
        </w:rPr>
        <w:t xml:space="preserve"/>
      </w:r>
      <w:r w:rsidRPr="00E0022C">
        <w:rPr>
          <w:rFonts w:ascii="Arial Narrow" w:eastAsia="Arial Narrow" w:hAnsi="Arial Narrow"/>
          <w:color w:val="000000"/>
        </w:rPr>
        <w:t xml:space="preserve"/>
      </w:r>
      <w:r w:rsidR="00456E8F" w:rsidRPr="00E0022C">
        <w:rPr>
          <w:rFonts w:ascii="Arial Narrow" w:eastAsia="Arial Narrow" w:hAnsi="Arial Narrow"/>
          <w:color w:val="000000"/>
        </w:rPr>
        <w:t xml:space="preserve"/>
      </w:r>
      <w:r w:rsidR="00456E8F">
        <w:rPr>
          <w:rFonts w:ascii="Arial Narrow" w:eastAsia="Arial Narrow" w:hAnsi="Arial Narrow"/>
          <w:color w:val="000000"/>
        </w:rPr>
        <w:t/>
      </w:r>
      <w:r w:rsidR="00456E8F" w:rsidRPr="00E0022C">
        <w:rPr>
          <w:rFonts w:ascii="Arial Narrow" w:eastAsia="Arial Narrow" w:hAnsi="Arial Narrow"/>
          <w:color w:val="000000"/>
        </w:rPr>
        <w:t xml:space="preserve"/>
      </w:r>
      <w:r w:rsidRPr="00E0022C">
        <w:rPr>
          <w:rFonts w:ascii="Arial Narrow" w:eastAsia="Arial Narrow" w:hAnsi="Arial Narrow"/>
          <w:color w:val="000000"/>
        </w:rPr>
        <w:t/>
      </w:r>
      <w:r w:rsidR="00E0022C" w:rsidRPr="00E0022C">
        <w:rPr>
          <w:rStyle w:val="Refdenotaalpie"/>
          <w:rFonts w:ascii="Arial Narrow" w:eastAsia="Arial Narrow" w:hAnsi="Arial Narrow"/>
          <w:color w:val="000000"/>
          <w:vertAlign w:val="superscript"/>
        </w:rPr>
        <w:footnoteReference w:id="13"/>
      </w:r>
      <w:r w:rsidRPr="00E0022C">
        <w:rPr>
          <w:rFonts w:ascii="Arial Narrow" w:eastAsia="Arial Narrow" w:hAnsi="Arial Narrow"/>
          <w:color w:val="000000"/>
        </w:rPr>
        <w:t/>
      </w:r>
    </w:p>
    <w:p w14:paraId="3F2C6C45" w14:textId="77777777" w:rsidR="005B4857" w:rsidRPr="00E0022C" w:rsidRDefault="005B4857" w:rsidP="00E0022C">
      <w:pPr>
        <w:suppressAutoHyphens/>
        <w:spacing w:after="0" w:line="240" w:lineRule="auto"/>
        <w:jc w:val="both"/>
        <w:rPr>
          <w:rFonts w:ascii="Arial Narrow" w:hAnsi="Arial Narrow" w:cs="Arial"/>
        </w:rPr>
      </w:pPr>
    </w:p>
    <w:p w14:paraId="4CEF9A80" w14:textId="77777777" w:rsidR="00952758" w:rsidRPr="00E0022C" w:rsidRDefault="00952758" w:rsidP="00E0022C">
      <w:pPr>
        <w:spacing w:after="0" w:line="240" w:lineRule="auto"/>
        <w:jc w:val="both"/>
        <w:rPr>
          <w:rFonts w:ascii="Arial Narrow" w:hAnsi="Arial Narrow"/>
        </w:rPr>
      </w:pPr>
    </w:p>
    <w:p w14:paraId="1F070BF3" w14:textId="77777777" w:rsidR="00952758" w:rsidRPr="00E0022C" w:rsidRDefault="00952758" w:rsidP="00E0022C">
      <w:pPr>
        <w:spacing w:after="0" w:line="240" w:lineRule="auto"/>
        <w:jc w:val="both"/>
        <w:rPr>
          <w:rFonts w:ascii="Arial Narrow" w:hAnsi="Arial Narrow"/>
        </w:rPr>
      </w:pPr>
    </w:p>
    <w:p w14:paraId="6C622EE2" w14:textId="77777777" w:rsidR="00952758" w:rsidRPr="00E0022C" w:rsidRDefault="00952758" w:rsidP="00E0022C">
      <w:pPr>
        <w:spacing w:after="0" w:line="240" w:lineRule="auto"/>
        <w:jc w:val="both"/>
        <w:rPr>
          <w:rFonts w:ascii="Arial Narrow" w:hAnsi="Arial Narrow"/>
        </w:rPr>
      </w:pPr>
    </w:p>
    <w:p w14:paraId="0DAD8A7E" w14:textId="77777777" w:rsidR="003A00D7" w:rsidRPr="00E0022C" w:rsidRDefault="003A00D7"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s="Arial Narrow"/>
          <w:b/>
          <w:color w:val="000000"/>
          <w:lang w:eastAsia="es-PE"/>
        </w:rPr>
        <w:t xml:space="preserve">Firmado digitalmente por </w:t>
      </w:r>
    </w:p>
    <w:p w14:paraId="55A6B6F3" w14:textId="77777777" w:rsidR="00C03E0B" w:rsidRPr="00E0022C" w:rsidRDefault="00C03E0B"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s="Arial Narrow"/>
          <w:b/>
          <w:color w:val="000000"/>
          <w:lang w:eastAsia="es-PE"/>
        </w:rPr>
        <w:t>EVELING ROA QUISPE</w:t>
      </w:r>
    </w:p>
    <w:p w14:paraId="77C56470" w14:textId="77777777" w:rsidR="00C03E0B" w:rsidRPr="00E0022C" w:rsidRDefault="00C03E0B"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s="Arial Narrow"/>
          <w:b/>
          <w:color w:val="000000"/>
          <w:lang w:eastAsia="es-PE"/>
        </w:rPr>
        <w:t>Secretaria Técnica</w:t>
      </w:r>
    </w:p>
    <w:p w14:paraId="6AAB068F" w14:textId="77777777" w:rsidR="003A00D7" w:rsidRPr="00E0022C" w:rsidRDefault="003A00D7" w:rsidP="00E0022C">
      <w:pPr>
        <w:spacing w:after="0" w:line="240" w:lineRule="auto"/>
        <w:jc w:val="center"/>
        <w:rPr>
          <w:rFonts w:ascii="Arial Narrow" w:eastAsia="Arial Narrow" w:hAnsi="Arial Narrow" w:cs="Arial Narrow"/>
          <w:b/>
          <w:color w:val="000000"/>
          <w:lang w:eastAsia="es-PE"/>
        </w:rPr>
      </w:pPr>
      <w:r w:rsidRPr="00E0022C">
        <w:rPr>
          <w:rFonts w:ascii="Arial Narrow" w:eastAsia="Arial Narrow" w:hAnsi="Arial Narrow"/>
          <w:color w:val="000000"/>
        </w:rPr>
        <w:t>Comisión de Protección al Consumidor 1</w:t>
      </w:r>
    </w:p>
    <w:p w14:paraId="3E278F1D" w14:textId="77777777" w:rsidR="003A00D7" w:rsidRPr="00E0022C" w:rsidRDefault="003A00D7" w:rsidP="00E0022C">
      <w:pPr>
        <w:spacing w:after="0" w:line="240" w:lineRule="auto"/>
        <w:rPr>
          <w:rFonts w:ascii="Arial Narrow" w:hAnsi="Arial Narrow"/>
          <w:sz w:val="16"/>
          <w:szCs w:val="18"/>
        </w:rPr>
      </w:pPr>
      <w:r w:rsidRPr="00E0022C">
        <w:rPr>
          <w:rFonts w:ascii="Arial Narrow" w:eastAsia="Arial Narrow" w:hAnsi="Arial Narrow"/>
          <w:color w:val="000000"/>
          <w:sz w:val="16"/>
          <w:szCs w:val="18"/>
        </w:rPr>
        <w:t>LGP/JCQ</w:t>
      </w:r>
    </w:p>
    <w:p w14:paraId="0EAA2C59" w14:textId="77777777" w:rsidR="00CA59A2" w:rsidRPr="00E0022C" w:rsidRDefault="00CA59A2" w:rsidP="00E0022C">
      <w:pPr>
        <w:spacing w:after="0" w:line="240" w:lineRule="auto"/>
        <w:jc w:val="both"/>
        <w:rPr>
          <w:rFonts w:ascii="Arial Narrow" w:hAnsi="Arial Narrow"/>
        </w:rPr>
      </w:pPr>
    </w:p>
    <w:p w14:paraId="3173F985" w14:textId="77777777" w:rsidR="001B5674" w:rsidRPr="00E0022C" w:rsidRDefault="001B5674" w:rsidP="00E0022C">
      <w:pPr>
        <w:spacing w:after="0" w:line="240" w:lineRule="auto"/>
        <w:jc w:val="both"/>
        <w:rPr>
          <w:rFonts w:ascii="Arial Narrow" w:hAnsi="Arial Narrow"/>
        </w:rPr>
      </w:pPr>
    </w:p>
    <w:sectPr w:rsidR="001B5674" w:rsidRPr="00E0022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0EB95" w14:textId="77777777" w:rsidR="00400B50" w:rsidRDefault="00400B50" w:rsidP="00DA79A0">
      <w:pPr>
        <w:spacing w:after="0" w:line="240" w:lineRule="auto"/>
      </w:pPr>
      <w:r>
        <w:separator/>
      </w:r>
    </w:p>
  </w:endnote>
  <w:endnote w:type="continuationSeparator" w:id="0">
    <w:p w14:paraId="6026BAAF" w14:textId="77777777" w:rsidR="00400B50" w:rsidRDefault="00400B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F768B"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6C5AE" w14:textId="63E54334" w:rsidR="00B91E42" w:rsidRPr="00E0022C" w:rsidRDefault="00E0022C" w:rsidP="00E0022C">
    <w:pPr>
      <w:pStyle w:val="Piedepgina"/>
      <w:tabs>
        <w:tab w:val="clear" w:pos="4252"/>
        <w:tab w:val="clear" w:pos="8504"/>
        <w:tab w:val="center" w:pos="4678"/>
      </w:tabs>
      <w:rPr>
        <w:rFonts w:ascii="Arial Narrow" w:hAnsi="Arial Narrow" w:cs="Arial"/>
        <w:sz w:val="18"/>
      </w:rPr>
    </w:pPr>
    <w:r w:rsidRPr="00E0022C">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D66DE"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87C48" w14:textId="77777777" w:rsidR="00400B50" w:rsidRDefault="00400B50" w:rsidP="00DA79A0">
      <w:pPr>
        <w:spacing w:after="0" w:line="240" w:lineRule="auto"/>
      </w:pPr>
      <w:r>
        <w:separator/>
      </w:r>
    </w:p>
  </w:footnote>
  <w:footnote w:type="continuationSeparator" w:id="0">
    <w:p w14:paraId="42411370" w14:textId="77777777" w:rsidR="00400B50" w:rsidRDefault="00400B50" w:rsidP="00DA79A0">
      <w:pPr>
        <w:spacing w:after="0" w:line="240" w:lineRule="auto"/>
      </w:pPr>
      <w:r>
        <w:continuationSeparator/>
      </w:r>
    </w:p>
  </w:footnote>
  <w:footnote w:id="1">
    <w:p w14:paraId="73F40C8C" w14:textId="3FB42FAA" w:rsidR="00E0022C" w:rsidRPr="00CC2CC6" w:rsidRDefault="00E0022C" w:rsidP="00E0022C">
      <w:pPr>
        <w:pStyle w:val="Textonotapie"/>
        <w:tabs>
          <w:tab w:val="left" w:pos="567"/>
        </w:tabs>
        <w:spacing w:after="200"/>
        <w:ind w:left="567" w:hanging="567"/>
        <w:jc w:val="both"/>
        <w:rPr>
          <w:rFonts w:ascii="Arial Narrow" w:hAnsi="Arial Narrow" w:cs="Arial"/>
          <w:sz w:val="17"/>
          <w:szCs w:val="17"/>
          <w:lang w:val="es-419"/>
        </w:rPr>
      </w:pPr>
      <w:r w:rsidRPr="00CC2CC6">
        <w:rPr>
          <w:rStyle w:val="Refdenotaalpie"/>
          <w:rFonts w:ascii="Arial Narrow" w:hAnsi="Arial Narrow" w:cs="Arial"/>
          <w:sz w:val="16"/>
          <w:szCs w:val="17"/>
          <w:vertAlign w:val="superscript"/>
        </w:rPr>
        <w:footnoteRef/>
      </w:r>
      <w:r w:rsidRPr="00CC2CC6">
        <w:rPr>
          <w:rFonts w:ascii="Arial Narrow" w:hAnsi="Arial Narrow" w:cs="Arial"/>
          <w:sz w:val="17"/>
          <w:szCs w:val="17"/>
        </w:rPr>
        <w:t xml:space="preserve"> </w:t>
      </w:r>
      <w:r w:rsidRPr="00CC2CC6">
        <w:rPr>
          <w:rFonts w:ascii="Arial Narrow" w:hAnsi="Arial Narrow" w:cs="Arial"/>
          <w:sz w:val="17"/>
          <w:szCs w:val="17"/>
          <w:lang w:val="es-419"/>
        </w:rPr>
        <w:tab/>
        <w:t>Publicado el 2 de setiembre del 2010 en el Diario Oficial El Peruano, vigente desde el 2 de octubre del 2010 y modificado por Decreto Legislativo 1308.</w:t>
      </w:r>
    </w:p>
  </w:footnote>
  <w:footnote w:id="2">
    <w:p w14:paraId="0B979F46" w14:textId="0A4C4DD3" w:rsidR="00E0022C" w:rsidRPr="00CC2CC6" w:rsidRDefault="00E0022C" w:rsidP="00E0022C">
      <w:pPr>
        <w:pStyle w:val="Textonotapie"/>
        <w:tabs>
          <w:tab w:val="left" w:pos="567"/>
        </w:tabs>
        <w:spacing w:after="200"/>
        <w:ind w:left="567" w:hanging="567"/>
        <w:jc w:val="both"/>
        <w:rPr>
          <w:rFonts w:ascii="Arial Narrow" w:hAnsi="Arial Narrow" w:cs="Arial"/>
          <w:sz w:val="17"/>
          <w:szCs w:val="17"/>
          <w:lang w:val="es-419"/>
        </w:rPr>
      </w:pPr>
      <w:r w:rsidRPr="00CC2CC6">
        <w:rPr>
          <w:rStyle w:val="Refdenotaalpie"/>
          <w:rFonts w:ascii="Arial Narrow" w:hAnsi="Arial Narrow" w:cs="Arial"/>
          <w:sz w:val="16"/>
          <w:szCs w:val="17"/>
          <w:vertAlign w:val="superscript"/>
        </w:rPr>
        <w:footnoteRef/>
      </w:r>
      <w:r w:rsidRPr="00CC2CC6">
        <w:rPr>
          <w:rFonts w:ascii="Arial Narrow" w:hAnsi="Arial Narrow" w:cs="Arial"/>
          <w:sz w:val="17"/>
          <w:szCs w:val="17"/>
        </w:rPr>
        <w:t xml:space="preserve"> </w:t>
      </w:r>
      <w:r w:rsidRPr="00CC2CC6">
        <w:rPr>
          <w:rFonts w:ascii="Arial Narrow" w:hAnsi="Arial Narrow" w:cs="Arial"/>
          <w:sz w:val="17"/>
          <w:szCs w:val="17"/>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3">
    <w:p w14:paraId="0320AF60" w14:textId="2AE84A0B" w:rsidR="00E0022C" w:rsidRPr="00CC2CC6" w:rsidRDefault="00E0022C" w:rsidP="00E0022C">
      <w:pPr>
        <w:pStyle w:val="Textonotapie"/>
        <w:tabs>
          <w:tab w:val="left" w:pos="567"/>
        </w:tabs>
        <w:spacing w:after="200"/>
        <w:ind w:left="567" w:hanging="567"/>
        <w:jc w:val="both"/>
        <w:rPr>
          <w:rFonts w:ascii="Arial Narrow" w:hAnsi="Arial Narrow" w:cs="Arial"/>
          <w:b/>
          <w:sz w:val="17"/>
          <w:szCs w:val="17"/>
          <w:lang w:val="es-419"/>
        </w:rPr>
      </w:pPr>
      <w:r w:rsidRPr="00CC2CC6">
        <w:rPr>
          <w:rStyle w:val="Refdenotaalpie"/>
          <w:rFonts w:ascii="Arial Narrow" w:hAnsi="Arial Narrow" w:cs="Arial"/>
          <w:sz w:val="16"/>
          <w:szCs w:val="17"/>
          <w:vertAlign w:val="superscript"/>
        </w:rPr>
        <w:footnoteRef/>
      </w:r>
      <w:r w:rsidRPr="00CC2CC6">
        <w:rPr>
          <w:rFonts w:ascii="Arial Narrow" w:hAnsi="Arial Narrow" w:cs="Arial"/>
          <w:b/>
          <w:sz w:val="17"/>
          <w:szCs w:val="17"/>
        </w:rPr>
        <w:t xml:space="preserve"> </w:t>
      </w:r>
      <w:r w:rsidRPr="00CC2CC6">
        <w:rPr>
          <w:rFonts w:ascii="Arial Narrow" w:hAnsi="Arial Narrow" w:cs="Arial"/>
          <w:b/>
          <w:sz w:val="17"/>
          <w:szCs w:val="17"/>
          <w:lang w:val="es-419"/>
        </w:rPr>
        <w:tab/>
        <w:t>Ley sobre Facultades, Normas y Organización del Indecopi, aprobada mediante Decreto Legislativo 807, cuyo Texto Único Ordenado fue aprobado por Decreto Legislativo 1033.</w:t>
      </w:r>
    </w:p>
  </w:footnote>
  <w:footnote w:id="4">
    <w:p w14:paraId="62C9F50A" w14:textId="77777777" w:rsidR="00973207" w:rsidRPr="00CC2CC6" w:rsidRDefault="00973207" w:rsidP="00973207">
      <w:pPr>
        <w:pStyle w:val="Textonotapie"/>
        <w:tabs>
          <w:tab w:val="left" w:pos="567"/>
        </w:tabs>
        <w:ind w:left="567" w:right="-1" w:hanging="567"/>
        <w:jc w:val="both"/>
        <w:rPr>
          <w:rFonts w:ascii="Arial Narrow" w:eastAsia="Arial Narrow" w:hAnsi="Arial Narrow" w:cs="Arial Narrow"/>
          <w:b/>
          <w:bCs/>
          <w:sz w:val="17"/>
          <w:szCs w:val="17"/>
        </w:rPr>
      </w:pPr>
      <w:r w:rsidRPr="00CC2CC6">
        <w:rPr>
          <w:rStyle w:val="Refdenotaalpie"/>
          <w:rFonts w:ascii="Arial Narrow" w:hAnsi="Arial Narrow"/>
          <w:sz w:val="16"/>
          <w:szCs w:val="17"/>
          <w:vertAlign w:val="superscript"/>
        </w:rPr>
        <w:footnoteRef/>
      </w:r>
      <w:r w:rsidRPr="00CC2CC6">
        <w:rPr>
          <w:rFonts w:ascii="Arial Narrow" w:hAnsi="Arial Narrow"/>
          <w:sz w:val="17"/>
          <w:szCs w:val="17"/>
        </w:rPr>
        <w:t xml:space="preserve"> </w:t>
      </w:r>
      <w:r w:rsidRPr="00CC2CC6">
        <w:rPr>
          <w:rFonts w:ascii="Arial Narrow" w:hAnsi="Arial Narrow"/>
          <w:sz w:val="17"/>
          <w:szCs w:val="17"/>
        </w:rPr>
        <w:tab/>
      </w:r>
      <w:r w:rsidRPr="00CC2CC6">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8CA7CAC" w14:textId="77777777" w:rsidR="00973207" w:rsidRPr="00CC2CC6" w:rsidRDefault="00973207" w:rsidP="00973207">
      <w:pPr>
        <w:pStyle w:val="Textonotapie"/>
        <w:ind w:left="567" w:right="-1"/>
        <w:jc w:val="both"/>
        <w:rPr>
          <w:rFonts w:ascii="Arial Narrow" w:eastAsia="Arial Narrow" w:hAnsi="Arial Narrow" w:cs="Arial Narrow"/>
          <w:b/>
          <w:bCs/>
          <w:sz w:val="17"/>
          <w:szCs w:val="17"/>
        </w:rPr>
      </w:pPr>
      <w:r w:rsidRPr="00CC2CC6">
        <w:rPr>
          <w:rFonts w:ascii="Arial Narrow" w:eastAsia="Arial Narrow" w:hAnsi="Arial Narrow" w:cs="Arial Narrow"/>
          <w:b/>
          <w:bCs/>
          <w:sz w:val="17"/>
          <w:szCs w:val="17"/>
        </w:rPr>
        <w:t xml:space="preserve">Artículo 18.- Idoneidad </w:t>
      </w:r>
    </w:p>
    <w:p w14:paraId="0B1DDA8F"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564E08"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0FC5794" w14:textId="77777777" w:rsidR="00973207" w:rsidRPr="00CC2CC6" w:rsidRDefault="00973207" w:rsidP="00973207">
      <w:pPr>
        <w:pStyle w:val="Textonotapie"/>
        <w:ind w:left="567" w:right="-1"/>
        <w:jc w:val="both"/>
        <w:rPr>
          <w:rFonts w:ascii="Arial Narrow" w:eastAsia="Arial Narrow" w:hAnsi="Arial Narrow" w:cs="Arial Narrow"/>
          <w:sz w:val="17"/>
          <w:szCs w:val="17"/>
        </w:rPr>
      </w:pPr>
    </w:p>
    <w:p w14:paraId="1BB8BE55"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b/>
          <w:bCs/>
          <w:sz w:val="17"/>
          <w:szCs w:val="17"/>
        </w:rPr>
        <w:t xml:space="preserve">Artículo 19.- Obligación de los proveedores </w:t>
      </w:r>
    </w:p>
    <w:p w14:paraId="196A7635"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44592FE" w14:textId="77777777" w:rsidR="00973207" w:rsidRPr="00CC2CC6" w:rsidRDefault="00973207" w:rsidP="00973207">
      <w:pPr>
        <w:pStyle w:val="Textonotapie"/>
        <w:jc w:val="both"/>
        <w:rPr>
          <w:rFonts w:ascii="Arial Narrow" w:hAnsi="Arial Narrow"/>
          <w:sz w:val="17"/>
          <w:szCs w:val="17"/>
        </w:rPr>
      </w:pPr>
    </w:p>
  </w:footnote>
  <w:footnote w:id="5">
    <w:p w14:paraId="1C24D58B" w14:textId="77777777" w:rsidR="00973207" w:rsidRPr="00CC2CC6" w:rsidRDefault="00973207" w:rsidP="00973207">
      <w:pPr>
        <w:pStyle w:val="Textonotapie"/>
        <w:tabs>
          <w:tab w:val="left" w:pos="567"/>
        </w:tabs>
        <w:ind w:left="567" w:right="-1" w:hanging="567"/>
        <w:jc w:val="both"/>
        <w:rPr>
          <w:rFonts w:ascii="Arial Narrow" w:eastAsia="Arial Narrow" w:hAnsi="Arial Narrow" w:cs="Arial Narrow"/>
          <w:b/>
          <w:bCs/>
          <w:sz w:val="17"/>
          <w:szCs w:val="17"/>
        </w:rPr>
      </w:pPr>
      <w:r w:rsidRPr="00CC2CC6">
        <w:rPr>
          <w:rStyle w:val="Refdenotaalpie"/>
          <w:rFonts w:ascii="Arial Narrow" w:hAnsi="Arial Narrow"/>
          <w:sz w:val="16"/>
          <w:szCs w:val="17"/>
          <w:vertAlign w:val="superscript"/>
        </w:rPr>
        <w:footnoteRef/>
      </w:r>
      <w:r w:rsidRPr="00CC2CC6">
        <w:rPr>
          <w:rFonts w:ascii="Arial Narrow" w:hAnsi="Arial Narrow"/>
          <w:sz w:val="17"/>
          <w:szCs w:val="17"/>
        </w:rPr>
        <w:t xml:space="preserve"> </w:t>
      </w:r>
      <w:r w:rsidRPr="00CC2CC6">
        <w:rPr>
          <w:rFonts w:ascii="Arial Narrow" w:hAnsi="Arial Narrow"/>
          <w:sz w:val="17"/>
          <w:szCs w:val="17"/>
        </w:rPr>
        <w:tab/>
      </w:r>
      <w:r w:rsidRPr="00CC2CC6">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4C2102F9" w14:textId="77777777" w:rsidR="00973207" w:rsidRPr="00CC2CC6" w:rsidRDefault="00973207" w:rsidP="00973207">
      <w:pPr>
        <w:pStyle w:val="Textonotapie"/>
        <w:ind w:left="567" w:right="-1"/>
        <w:jc w:val="both"/>
        <w:rPr>
          <w:rFonts w:ascii="Arial Narrow" w:eastAsia="Arial Narrow" w:hAnsi="Arial Narrow" w:cs="Arial Narrow"/>
          <w:b/>
          <w:bCs/>
          <w:sz w:val="17"/>
          <w:szCs w:val="17"/>
        </w:rPr>
      </w:pPr>
      <w:r w:rsidRPr="00CC2CC6">
        <w:rPr>
          <w:rFonts w:ascii="Arial Narrow" w:eastAsia="Arial Narrow" w:hAnsi="Arial Narrow" w:cs="Arial Narrow"/>
          <w:b/>
          <w:bCs/>
          <w:sz w:val="17"/>
          <w:szCs w:val="17"/>
        </w:rPr>
        <w:t>Artículo 49.- Definición de cláusulas abusivas</w:t>
      </w:r>
    </w:p>
    <w:p w14:paraId="297BDD41"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FE3D571" w14:textId="77777777" w:rsidR="00973207" w:rsidRPr="00CC2CC6" w:rsidRDefault="00973207" w:rsidP="00973207">
      <w:pPr>
        <w:pStyle w:val="Textonotapie"/>
        <w:ind w:left="567" w:right="-1"/>
        <w:jc w:val="both"/>
        <w:rPr>
          <w:rFonts w:ascii="Arial Narrow" w:eastAsia="Arial Narrow" w:hAnsi="Arial Narrow" w:cs="Arial Narrow"/>
          <w:sz w:val="17"/>
          <w:szCs w:val="17"/>
        </w:rPr>
      </w:pPr>
    </w:p>
    <w:p w14:paraId="328006D3" w14:textId="77777777" w:rsidR="00973207" w:rsidRPr="00CC2CC6" w:rsidRDefault="00973207" w:rsidP="00973207">
      <w:pPr>
        <w:pStyle w:val="Textonotapie"/>
        <w:ind w:left="567" w:right="-1"/>
        <w:jc w:val="both"/>
        <w:rPr>
          <w:rFonts w:ascii="Arial Narrow" w:eastAsia="Arial Narrow" w:hAnsi="Arial Narrow" w:cs="Arial Narrow"/>
          <w:b/>
          <w:bCs/>
          <w:sz w:val="17"/>
          <w:szCs w:val="17"/>
        </w:rPr>
      </w:pPr>
      <w:r w:rsidRPr="00CC2CC6">
        <w:rPr>
          <w:rFonts w:ascii="Arial Narrow" w:eastAsia="Arial Narrow" w:hAnsi="Arial Narrow" w:cs="Arial Narrow"/>
          <w:b/>
          <w:bCs/>
          <w:sz w:val="17"/>
          <w:szCs w:val="17"/>
        </w:rPr>
        <w:t>Artículo 50.- Cláusulas abusivas de ineficacia absoluta</w:t>
      </w:r>
    </w:p>
    <w:p w14:paraId="74929E06"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 xml:space="preserve">Son cláusulas abusivas de ineficacia absoluta las siguientes: </w:t>
      </w:r>
    </w:p>
    <w:p w14:paraId="37C5300F"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Narrow"/>
          <w:sz w:val="17"/>
          <w:szCs w:val="17"/>
        </w:rPr>
        <w:t>a. Las que excluyan o limiten la responsabilidad del proveedor o sus dependientes por dolo o culpa, o las que trasladen la responsabilidad al consumidor por los hechos u omisiones del proveedor.</w:t>
      </w:r>
    </w:p>
    <w:p w14:paraId="22D18E3C" w14:textId="77777777" w:rsidR="00973207" w:rsidRPr="00CC2CC6" w:rsidRDefault="00973207" w:rsidP="00973207">
      <w:pPr>
        <w:pStyle w:val="Textonotapie"/>
        <w:ind w:left="567" w:right="-1"/>
        <w:jc w:val="both"/>
        <w:rPr>
          <w:rFonts w:ascii="Arial Narrow" w:eastAsia="Arial Narrow" w:hAnsi="Arial Narrow" w:cs="Arial Narrow"/>
          <w:sz w:val="17"/>
          <w:szCs w:val="17"/>
        </w:rPr>
      </w:pPr>
      <w:r w:rsidRPr="00CC2CC6">
        <w:rPr>
          <w:rFonts w:ascii="Arial Narrow" w:eastAsia="Arial Narrow" w:hAnsi="Arial Narrow" w:cs="Arial"/>
          <w:sz w:val="17"/>
          <w:szCs w:val="17"/>
        </w:rPr>
        <w:t>(...).</w:t>
      </w:r>
    </w:p>
    <w:p w14:paraId="5C4A6505" w14:textId="77777777" w:rsidR="00973207" w:rsidRPr="00CC2CC6" w:rsidRDefault="00973207" w:rsidP="00973207">
      <w:pPr>
        <w:pStyle w:val="Textonotapie"/>
        <w:jc w:val="both"/>
        <w:rPr>
          <w:rFonts w:ascii="Arial Narrow" w:hAnsi="Arial Narrow"/>
          <w:sz w:val="17"/>
          <w:szCs w:val="17"/>
        </w:rPr>
      </w:pPr>
    </w:p>
  </w:footnote>
  <w:footnote w:id="6">
    <w:p w14:paraId="7FA684FD" w14:textId="6D77B2E1"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6"/>
          <w:szCs w:val="17"/>
          <w:vertAlign w:val="superscript"/>
        </w:rPr>
        <w:footnoteRef/>
      </w:r>
      <w:r w:rsidR="00E0022C" w:rsidRPr="00CC2CC6">
        <w:rPr>
          <w:rFonts w:ascii="Arial Narrow" w:hAnsi="Arial Narrow" w:cs="Arial"/>
          <w:b/>
          <w:sz w:val="17"/>
          <w:szCs w:val="17"/>
        </w:rPr>
        <w:t xml:space="preserve"> </w:t>
      </w:r>
      <w:r w:rsidR="0028322F" w:rsidRPr="00CC2CC6">
        <w:rPr>
          <w:rFonts w:ascii="Arial Narrow" w:hAnsi="Arial Narrow" w:cs="Arial"/>
          <w:b/>
          <w:sz w:val="17"/>
          <w:szCs w:val="17"/>
        </w:rPr>
        <w:tab/>
        <w:t>LEY SOBRE FACULTADES, NORMAS Y ORGANIZACIÓN DEL INDECOPI, APROBADA POR DECRETO LEGISLATIVO 807</w:t>
      </w:r>
    </w:p>
    <w:p w14:paraId="3248D319" w14:textId="77777777"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24.- El Secretario Técnico se encargará de la tramitación del procedimiento. Para ello, cuenta con las siguientes facultades:</w:t>
      </w:r>
    </w:p>
    <w:p w14:paraId="2ED74338" w14:textId="504D3CD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 </w:t>
      </w:r>
    </w:p>
    <w:p w14:paraId="133A8CB8" w14:textId="3E23EFB4"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c) Admitir denuncias a trámite, en aquellos casos en que la Comisión le haya delegado esta facultad. </w:t>
      </w:r>
    </w:p>
    <w:p w14:paraId="48352C5C" w14:textId="03AF9FF1"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2FEC769B" w14:textId="15C561FF" w:rsidR="00CA59A2" w:rsidRPr="00CC2CC6" w:rsidRDefault="0028322F" w:rsidP="00E0022C">
      <w:pPr>
        <w:pStyle w:val="Textonotapie"/>
        <w:spacing w:after="200"/>
        <w:ind w:left="567"/>
        <w:jc w:val="both"/>
        <w:rPr>
          <w:rFonts w:ascii="Arial Narrow" w:eastAsia="Arial Narrow" w:hAnsi="Arial Narrow" w:cs="Arial"/>
          <w:sz w:val="17"/>
          <w:szCs w:val="17"/>
        </w:rPr>
      </w:pPr>
      <w:r w:rsidRPr="00CC2CC6">
        <w:rPr>
          <w:rFonts w:ascii="Arial Narrow" w:hAnsi="Arial Narrow" w:cs="Arial"/>
          <w:sz w:val="17"/>
          <w:szCs w:val="17"/>
        </w:rPr>
        <w:t xml:space="preserve">. </w:t>
      </w:r>
    </w:p>
  </w:footnote>
  <w:footnote w:id="7">
    <w:p w14:paraId="0FF50D18" w14:textId="039781F9" w:rsidR="00CA59A2" w:rsidRPr="00CC2CC6" w:rsidRDefault="00CA59A2" w:rsidP="00E0022C">
      <w:pPr>
        <w:pStyle w:val="Textonotapie"/>
        <w:tabs>
          <w:tab w:val="left" w:pos="567"/>
        </w:tabs>
        <w:spacing w:after="200"/>
        <w:ind w:left="567" w:hanging="567"/>
        <w:jc w:val="both"/>
        <w:rPr>
          <w:rFonts w:ascii="Arial Narrow" w:hAnsi="Arial Narrow" w:cs="Arial"/>
          <w:sz w:val="17"/>
          <w:szCs w:val="17"/>
        </w:rPr>
      </w:pPr>
      <w:r w:rsidRPr="00CC2CC6">
        <w:rPr>
          <w:rStyle w:val="Refdenotaalpie"/>
          <w:rFonts w:ascii="Arial Narrow" w:hAnsi="Arial Narrow" w:cs="Arial"/>
          <w:sz w:val="16"/>
          <w:szCs w:val="17"/>
          <w:vertAlign w:val="superscript"/>
        </w:rPr>
        <w:footnoteRef/>
      </w:r>
      <w:r w:rsidRPr="00CC2CC6">
        <w:rPr>
          <w:rFonts w:ascii="Arial Narrow" w:hAnsi="Arial Narrow" w:cs="Arial"/>
          <w:sz w:val="17"/>
          <w:szCs w:val="17"/>
        </w:rPr>
        <w:t xml:space="preserve"> </w:t>
      </w:r>
      <w:r w:rsidRPr="00CC2CC6">
        <w:rPr>
          <w:rFonts w:ascii="Arial Narrow" w:hAnsi="Arial Narrow" w:cs="Arial"/>
          <w:sz w:val="17"/>
          <w:szCs w:val="17"/>
        </w:rPr>
        <w:tab/>
        <w:t xml:space="preserve">El número de trabajadores se atenderá siempre que la empresa haya sido constituida antes de la vigencia de la </w:t>
      </w:r>
      <w:r w:rsidR="000E6FE2" w:rsidRPr="00CC2CC6">
        <w:rPr>
          <w:rFonts w:ascii="Arial Narrow" w:hAnsi="Arial Narrow" w:cs="Arial"/>
          <w:sz w:val="17"/>
          <w:szCs w:val="17"/>
        </w:rPr>
        <w:t xml:space="preserve">Ley </w:t>
      </w:r>
      <w:r w:rsidRPr="00CC2CC6">
        <w:rPr>
          <w:rFonts w:ascii="Arial Narrow" w:hAnsi="Arial Narrow" w:cs="Arial"/>
          <w:sz w:val="17"/>
          <w:szCs w:val="17"/>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4703F862" w14:textId="77777777"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6"/>
          <w:szCs w:val="17"/>
          <w:vertAlign w:val="superscript"/>
        </w:rPr>
        <w:footnoteRef/>
      </w:r>
      <w:r w:rsidRPr="00CC2CC6">
        <w:rPr>
          <w:rFonts w:ascii="Arial Narrow" w:hAnsi="Arial Narrow"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7E5C96F2" w14:textId="541041B8"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110.- sanciones Administrativas</w:t>
      </w:r>
    </w:p>
    <w:p w14:paraId="4117CFD4"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498CD30E"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A1F9F13" w14:textId="6661E161" w:rsidR="00CA59A2" w:rsidRPr="00CC2CC6" w:rsidRDefault="0028322F" w:rsidP="00E0022C">
      <w:pPr>
        <w:pStyle w:val="Textonotapie"/>
        <w:spacing w:after="200"/>
        <w:ind w:left="567"/>
        <w:jc w:val="both"/>
        <w:rPr>
          <w:rFonts w:ascii="Arial Narrow" w:hAnsi="Arial Narrow" w:cs="Arial"/>
          <w:bCs/>
          <w:sz w:val="17"/>
          <w:szCs w:val="17"/>
        </w:rPr>
      </w:pPr>
      <w:r w:rsidRPr="00CC2CC6">
        <w:rPr>
          <w:rFonts w:ascii="Arial Narrow" w:hAnsi="Arial Narrow" w:cs="Arial"/>
          <w:sz w:val="17"/>
          <w:szCs w:val="17"/>
        </w:rPr>
        <w:t>(…).</w:t>
      </w:r>
    </w:p>
  </w:footnote>
  <w:footnote w:id="9">
    <w:p w14:paraId="3A26701F" w14:textId="6B43A68B"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6"/>
          <w:szCs w:val="17"/>
          <w:vertAlign w:val="superscript"/>
        </w:rPr>
        <w:footnoteRef/>
      </w:r>
      <w:r w:rsidR="00E0022C" w:rsidRPr="00CC2CC6">
        <w:rPr>
          <w:rFonts w:ascii="Arial Narrow" w:hAnsi="Arial Narrow"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6FA83564" w14:textId="0EB616E0"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110.- sanciones administrativas</w:t>
      </w:r>
    </w:p>
    <w:p w14:paraId="23153F4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128794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Infracciones leves, con una amonestación o con una multa de hasta cincuenta (50) UIT.</w:t>
      </w:r>
    </w:p>
    <w:p w14:paraId="08C087E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Infracciones graves, con una multa de hasta ciento cincuenta (150) UIT.</w:t>
      </w:r>
    </w:p>
    <w:p w14:paraId="5D29B7B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Infracciones muy graves, con una multa de hasta cuatrocientos cincuenta (450) UIT.</w:t>
      </w:r>
    </w:p>
    <w:p w14:paraId="24794820" w14:textId="77777777" w:rsidR="00CA59A2" w:rsidRPr="00CC2CC6" w:rsidRDefault="0028322F" w:rsidP="00E0022C">
      <w:pPr>
        <w:pStyle w:val="Textonotapie"/>
        <w:spacing w:after="200"/>
        <w:ind w:left="567"/>
        <w:jc w:val="both"/>
        <w:rPr>
          <w:rFonts w:ascii="Arial Narrow" w:eastAsia="Arial Narrow" w:hAnsi="Arial Narrow" w:cs="Arial"/>
          <w:sz w:val="17"/>
          <w:szCs w:val="17"/>
        </w:rPr>
      </w:pPr>
      <w:r w:rsidRPr="00CC2CC6">
        <w:rPr>
          <w:rFonts w:ascii="Arial Narrow" w:hAnsi="Arial Narrow" w:cs="Arial"/>
          <w:sz w:val="17"/>
          <w:szCs w:val="17"/>
        </w:rPr>
        <w:t>(…).</w:t>
      </w:r>
    </w:p>
  </w:footnote>
  <w:footnote w:id="10">
    <w:p w14:paraId="5BD0B99B" w14:textId="7C7BA277"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6"/>
          <w:szCs w:val="17"/>
          <w:vertAlign w:val="superscript"/>
        </w:rPr>
        <w:footnoteRef/>
      </w:r>
      <w:r w:rsidR="00E0022C" w:rsidRPr="00CC2CC6">
        <w:rPr>
          <w:rFonts w:ascii="Arial Narrow" w:hAnsi="Arial Narrow"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716D622C" w14:textId="77777777"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114.- medidas correctivas</w:t>
      </w:r>
    </w:p>
    <w:p w14:paraId="0C5C1D4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4DC3131" w14:textId="3CE22709"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4E57FD11" w14:textId="4B0047C8"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Las medidas correctivas complementarias pueden dictarse de oficio o a pedido de parte.</w:t>
      </w:r>
    </w:p>
    <w:p w14:paraId="747FDFEF" w14:textId="77777777" w:rsidR="0028322F" w:rsidRPr="00CC2CC6" w:rsidRDefault="0028322F" w:rsidP="00E0022C">
      <w:pPr>
        <w:spacing w:after="0" w:line="240" w:lineRule="auto"/>
        <w:ind w:left="567"/>
        <w:jc w:val="both"/>
        <w:rPr>
          <w:rFonts w:ascii="Arial Narrow" w:hAnsi="Arial Narrow" w:cs="Arial"/>
          <w:b/>
          <w:sz w:val="17"/>
          <w:szCs w:val="17"/>
        </w:rPr>
      </w:pPr>
      <w:r w:rsidRPr="00CC2CC6">
        <w:rPr>
          <w:rFonts w:ascii="Arial Narrow" w:hAnsi="Arial Narrow" w:cs="Arial"/>
          <w:b/>
          <w:sz w:val="17"/>
          <w:szCs w:val="17"/>
        </w:rPr>
        <w:tab/>
        <w:t>Artículo 115.- medidas correctivas reparadoras</w:t>
      </w:r>
    </w:p>
    <w:p w14:paraId="68BEC08B" w14:textId="64CE9062"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8ED83E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Reparar productos.</w:t>
      </w:r>
    </w:p>
    <w:p w14:paraId="4AEA85AB"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Cambiar productos por otros de idénticas o similares características, cuando la reparación no sea posible o no resulte razonable según las circunstancias.</w:t>
      </w:r>
    </w:p>
    <w:p w14:paraId="2216CD0F"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5FC58D6B"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Cumplir con ejecutar la prestación u obligación asumida; y si esto no resulte posible o no sea razonable, otra de efectos equivalentes, incluyendo prestaciones dinerarias.</w:t>
      </w:r>
    </w:p>
    <w:p w14:paraId="38CF1AF6"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Cumplir con ejecutar otras prestaciones u obligaciones legales o convencionales a su cargo.</w:t>
      </w:r>
    </w:p>
    <w:p w14:paraId="7C4A2814"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3F089DE"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En los supuestos de pagos indebidos o en exceso, devolver estos montos, más los intereses correspondientes.</w:t>
      </w:r>
    </w:p>
    <w:p w14:paraId="7DE5D43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Pagar los gastos incurridos por el consumidor para mitigar las consecuencias de la infracción administrativa.</w:t>
      </w:r>
    </w:p>
    <w:p w14:paraId="750A9E76"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Otras medidas reparadoras análogas de efectos equivalentes a las anteriores.</w:t>
      </w:r>
    </w:p>
    <w:p w14:paraId="336E117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0A12B7F"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20E6720"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5D97151C"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811AEE3"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96EFA88"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D9CC9BA" w14:textId="77777777" w:rsidR="0028322F" w:rsidRPr="00CC2CC6" w:rsidRDefault="0028322F" w:rsidP="00E0022C">
      <w:pPr>
        <w:spacing w:after="0" w:line="240" w:lineRule="auto"/>
        <w:ind w:left="567"/>
        <w:jc w:val="both"/>
        <w:rPr>
          <w:rFonts w:ascii="Arial Narrow" w:hAnsi="Arial Narrow" w:cs="Arial"/>
          <w:b/>
          <w:sz w:val="17"/>
          <w:szCs w:val="17"/>
        </w:rPr>
      </w:pPr>
      <w:r w:rsidRPr="00CC2CC6">
        <w:rPr>
          <w:rFonts w:ascii="Arial Narrow" w:hAnsi="Arial Narrow" w:cs="Arial"/>
          <w:b/>
          <w:sz w:val="17"/>
          <w:szCs w:val="17"/>
        </w:rPr>
        <w:t>Artículo 116.- medidas correctivas complementarias</w:t>
      </w:r>
    </w:p>
    <w:p w14:paraId="62F3CB5F"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3DCDDD7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1DB52167"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b. Declarar inexigibles las cláusulas que han sido identificadas como abusivas en el procedimiento. </w:t>
      </w:r>
    </w:p>
    <w:p w14:paraId="48CF2EBB"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c. El decomiso y destrucción de la mercadería, envases, envolturas o etiquetas. </w:t>
      </w:r>
    </w:p>
    <w:p w14:paraId="4F408C42"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d. En caso de infracciones muy graves y de reincidencia o reiterancia: </w:t>
      </w:r>
    </w:p>
    <w:p w14:paraId="7A518F06"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(i) Solicitar a la autoridad correspondiente la clausura temporal del establecimiento industrial, comercial o de servicios por un plazo máximo de seis (6) meses. </w:t>
      </w:r>
    </w:p>
    <w:p w14:paraId="25E8CB39"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(ii) Solicitar a la autoridad competente la inhabilitación, temporal o permanente, del proveedor en función de los alcances de la infracción sancionada. </w:t>
      </w:r>
    </w:p>
    <w:p w14:paraId="6EC90EDD"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e. Publicación de avisos rectificatorios o informativos en la forma que determine el Indecopi, tomando en consideración los medios que resulten idóneos para revertir los efectos que el acto objeto de sanción ha ocasionado. </w:t>
      </w:r>
    </w:p>
    <w:p w14:paraId="324C273A" w14:textId="77777777"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 xml:space="preserve">f. Cualquier otra medida correctiva que tenga el objeto de revertir los efectos de la conducta infractora o evitar que esta se produzca nuevamente en el futuro. </w:t>
      </w:r>
    </w:p>
    <w:p w14:paraId="7203951C" w14:textId="7A98397B" w:rsidR="00CA59A2" w:rsidRPr="00CC2CC6" w:rsidRDefault="0028322F" w:rsidP="00E0022C">
      <w:pPr>
        <w:pStyle w:val="Textonotapie"/>
        <w:ind w:left="567"/>
        <w:jc w:val="both"/>
        <w:rPr>
          <w:rFonts w:ascii="Arial Narrow" w:eastAsia="Arial Narrow" w:hAnsi="Arial Narrow" w:cs="Arial"/>
          <w:sz w:val="17"/>
          <w:szCs w:val="17"/>
        </w:rPr>
      </w:pPr>
      <w:r w:rsidRPr="00CC2CC6">
        <w:rPr>
          <w:rFonts w:ascii="Arial Narrow" w:hAnsi="Arial Narrow" w:cs="Arial"/>
          <w:sz w:val="17"/>
          <w:szCs w:val="17"/>
        </w:rPr>
        <w:t>El Indecopi está facultado para solicitar a la autoridad municipal y policial el apoyo respectivo para la ejecución de las medidas correctivas complementarias correspondientes.</w:t>
      </w:r>
    </w:p>
  </w:footnote>
  <w:footnote w:id="11">
    <w:p w14:paraId="0E7C49F0" w14:textId="5BF411B1"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sz w:val="16"/>
          <w:szCs w:val="17"/>
          <w:vertAlign w:val="superscript"/>
        </w:rPr>
        <w:footnoteRef/>
      </w:r>
      <w:r w:rsidR="00E0022C" w:rsidRPr="00CC2CC6">
        <w:rPr>
          <w:rFonts w:ascii="Arial Narrow" w:hAnsi="Arial Narrow" w:cs="Arial"/>
          <w:b/>
          <w:sz w:val="17"/>
          <w:szCs w:val="17"/>
        </w:rPr>
        <w:t xml:space="preserve"> </w:t>
      </w:r>
      <w:r w:rsidR="0028322F" w:rsidRPr="00CC2CC6">
        <w:rPr>
          <w:rFonts w:ascii="Arial Narrow" w:hAnsi="Arial Narrow" w:cs="Arial"/>
          <w:b/>
          <w:sz w:val="17"/>
          <w:szCs w:val="17"/>
        </w:rPr>
        <w:tab/>
        <w:t>LEY 29571, CÓDIGO DE PROTECCIÓN Y DEFENSA DEL CONSUMIDOR, publicado el 2 de setiembre de 2010 y modificado por DECRETO LEGISLATIVO 1308</w:t>
      </w:r>
    </w:p>
    <w:p w14:paraId="512D2BEB" w14:textId="20F395BA" w:rsidR="0028322F" w:rsidRPr="00CC2CC6" w:rsidRDefault="0028322F" w:rsidP="00E0022C">
      <w:pPr>
        <w:pStyle w:val="Textonotapie"/>
        <w:ind w:left="567"/>
        <w:jc w:val="both"/>
        <w:rPr>
          <w:rFonts w:ascii="Arial Narrow" w:hAnsi="Arial Narrow" w:cs="Arial"/>
          <w:b/>
          <w:sz w:val="17"/>
          <w:szCs w:val="17"/>
        </w:rPr>
      </w:pPr>
      <w:r w:rsidRPr="00CC2CC6">
        <w:rPr>
          <w:rFonts w:ascii="Arial Narrow" w:hAnsi="Arial Narrow" w:cs="Arial"/>
          <w:b/>
          <w:sz w:val="17"/>
          <w:szCs w:val="17"/>
        </w:rPr>
        <w:t>Artículo 112.- criterios de graduación de las sanciones administrativas</w:t>
      </w:r>
    </w:p>
    <w:p w14:paraId="4CFAA4E5" w14:textId="3BC3B399"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4694CCD1" w14:textId="5DCDC2CE"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Se consideran circunstancias atenuantes especiales, las siguientes:</w:t>
      </w:r>
    </w:p>
    <w:p w14:paraId="55824FC8" w14:textId="39B74AF4" w:rsidR="0028322F" w:rsidRPr="00CC2CC6" w:rsidRDefault="0028322F" w:rsidP="00E0022C">
      <w:pPr>
        <w:pStyle w:val="Textonotapie"/>
        <w:ind w:left="567"/>
        <w:jc w:val="both"/>
        <w:rPr>
          <w:rFonts w:ascii="Arial Narrow" w:hAnsi="Arial Narrow" w:cs="Arial"/>
          <w:sz w:val="17"/>
          <w:szCs w:val="17"/>
        </w:rPr>
      </w:pPr>
      <w:r w:rsidRPr="00CC2CC6">
        <w:rPr>
          <w:rFonts w:ascii="Arial Narrow" w:hAnsi="Arial Narrow" w:cs="Arial"/>
          <w:sz w:val="17"/>
          <w:szCs w:val="17"/>
        </w:rPr>
        <w:t>(…)</w:t>
      </w:r>
    </w:p>
    <w:p w14:paraId="1EC4DC11" w14:textId="6385D970" w:rsidR="00CA59A2" w:rsidRPr="00CC2CC6" w:rsidRDefault="0028322F" w:rsidP="00E0022C">
      <w:pPr>
        <w:pStyle w:val="Textonotapie"/>
        <w:spacing w:after="200"/>
        <w:ind w:left="567"/>
        <w:jc w:val="both"/>
        <w:rPr>
          <w:rFonts w:ascii="Arial Narrow" w:hAnsi="Arial Narrow" w:cs="Arial"/>
          <w:sz w:val="17"/>
          <w:szCs w:val="17"/>
        </w:rPr>
      </w:pPr>
      <w:r w:rsidRPr="00CC2CC6">
        <w:rPr>
          <w:rFonts w:ascii="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013B4821" w14:textId="77777777" w:rsidR="0028322F" w:rsidRPr="00CC2CC6" w:rsidRDefault="00CA59A2" w:rsidP="00E0022C">
      <w:pPr>
        <w:pStyle w:val="Textonotapie"/>
        <w:tabs>
          <w:tab w:val="left" w:pos="567"/>
        </w:tabs>
        <w:ind w:left="567" w:hanging="567"/>
        <w:jc w:val="both"/>
        <w:rPr>
          <w:rFonts w:ascii="Arial Narrow" w:hAnsi="Arial Narrow" w:cs="Arial"/>
          <w:b/>
          <w:sz w:val="17"/>
          <w:szCs w:val="17"/>
        </w:rPr>
      </w:pPr>
      <w:r w:rsidRPr="00CC2CC6">
        <w:rPr>
          <w:rStyle w:val="Refdenotaalpie"/>
          <w:rFonts w:ascii="Arial Narrow" w:hAnsi="Arial Narrow" w:cs="Arial"/>
          <w:bCs/>
          <w:sz w:val="16"/>
          <w:szCs w:val="17"/>
          <w:vertAlign w:val="superscript"/>
        </w:rPr>
        <w:footnoteRef/>
      </w:r>
      <w:r w:rsidRPr="00CC2CC6">
        <w:rPr>
          <w:rFonts w:ascii="Arial Narrow" w:hAnsi="Arial Narrow" w:cs="Arial"/>
          <w:b/>
          <w:sz w:val="17"/>
          <w:szCs w:val="17"/>
        </w:rPr>
        <w:t xml:space="preserve"> </w:t>
      </w:r>
      <w:r w:rsidR="0028322F" w:rsidRPr="00CC2CC6">
        <w:rPr>
          <w:rFonts w:ascii="Arial Narrow" w:hAnsi="Arial Narrow" w:cs="Arial"/>
          <w:b/>
          <w:sz w:val="17"/>
          <w:szCs w:val="17"/>
        </w:rPr>
        <w:tab/>
        <w:t>DECRETO LEGISLATIVO 807, LEY SOBRE FACULTADES, NORMAS Y ORGANIZACIÓN DEL INDECOPI FACULTADES DE LAS COMISIONES Y OFICINAS DEL INDECOPI</w:t>
      </w:r>
    </w:p>
    <w:p w14:paraId="0514C4C0" w14:textId="47C33E9E" w:rsidR="00CA59A2" w:rsidRPr="00CC2CC6" w:rsidRDefault="0028322F" w:rsidP="00E0022C">
      <w:pPr>
        <w:pStyle w:val="Textonotapie"/>
        <w:spacing w:after="200"/>
        <w:ind w:left="567"/>
        <w:jc w:val="both"/>
        <w:rPr>
          <w:rFonts w:ascii="Arial Narrow" w:hAnsi="Arial Narrow" w:cs="Arial"/>
          <w:sz w:val="17"/>
          <w:szCs w:val="17"/>
        </w:rPr>
      </w:pPr>
      <w:r w:rsidRPr="00CC2CC6">
        <w:rPr>
          <w:rFonts w:ascii="Arial Narrow" w:hAnsi="Arial Narrow" w:cs="Arial"/>
          <w:b/>
          <w:sz w:val="17"/>
          <w:szCs w:val="17"/>
        </w:rPr>
        <w:t>Artículo 29.-</w:t>
      </w:r>
      <w:r w:rsidRPr="00CC2CC6">
        <w:rPr>
          <w:rFonts w:ascii="Arial Narrow" w:hAnsi="Arial Narrow" w:cs="Arial"/>
          <w:sz w:val="17"/>
          <w:szCs w:val="17"/>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7C12B46D" w14:textId="77777777" w:rsidR="00E0022C" w:rsidRPr="00CC2CC6" w:rsidRDefault="00E0022C" w:rsidP="00E0022C">
      <w:pPr>
        <w:pStyle w:val="Textonotapie"/>
        <w:tabs>
          <w:tab w:val="left" w:pos="567"/>
        </w:tabs>
        <w:ind w:left="567" w:hanging="567"/>
        <w:jc w:val="both"/>
        <w:rPr>
          <w:rFonts w:ascii="Arial Narrow" w:hAnsi="Arial Narrow" w:cs="Arial"/>
          <w:b/>
          <w:sz w:val="17"/>
          <w:szCs w:val="17"/>
          <w:lang w:val="es-419"/>
        </w:rPr>
      </w:pPr>
      <w:r w:rsidRPr="00CC2CC6">
        <w:rPr>
          <w:rStyle w:val="Refdenotaalpie"/>
          <w:rFonts w:ascii="Arial Narrow" w:hAnsi="Arial Narrow" w:cs="Arial"/>
          <w:sz w:val="16"/>
          <w:szCs w:val="17"/>
          <w:vertAlign w:val="superscript"/>
        </w:rPr>
        <w:footnoteRef/>
      </w:r>
      <w:r w:rsidRPr="00CC2CC6">
        <w:rPr>
          <w:rFonts w:ascii="Arial Narrow" w:hAnsi="Arial Narrow" w:cs="Arial"/>
          <w:b/>
          <w:sz w:val="17"/>
          <w:szCs w:val="17"/>
        </w:rPr>
        <w:t xml:space="preserve"> </w:t>
      </w:r>
      <w:r w:rsidRPr="00CC2CC6">
        <w:rPr>
          <w:rFonts w:ascii="Arial Narrow" w:hAnsi="Arial Narrow" w:cs="Arial"/>
          <w:b/>
          <w:sz w:val="17"/>
          <w:szCs w:val="17"/>
          <w:lang w:val="es-419"/>
        </w:rPr>
        <w:tab/>
        <w:t>TEXTO ÚNICO ORDENADO DE LA LEY DEL PROCEDIMIENTO ADMINISTRATIVO GENERAL, aprobado mediante DECRETO SUPREMO 006-2026-JUS y publicado el 30 de abril de 2026</w:t>
      </w:r>
    </w:p>
    <w:p w14:paraId="5515FE71" w14:textId="77777777" w:rsidR="00E0022C" w:rsidRPr="00CC2CC6" w:rsidRDefault="00E0022C" w:rsidP="00E0022C">
      <w:pPr>
        <w:pStyle w:val="Textonotapie"/>
        <w:ind w:left="567"/>
        <w:jc w:val="both"/>
        <w:rPr>
          <w:rFonts w:ascii="Arial Narrow" w:hAnsi="Arial Narrow" w:cs="Arial"/>
          <w:b/>
          <w:sz w:val="17"/>
          <w:szCs w:val="17"/>
          <w:lang w:val="es-419"/>
        </w:rPr>
      </w:pPr>
      <w:r w:rsidRPr="00CC2CC6">
        <w:rPr>
          <w:rFonts w:ascii="Arial Narrow" w:hAnsi="Arial Narrow" w:cs="Arial"/>
          <w:b/>
          <w:sz w:val="17"/>
          <w:szCs w:val="17"/>
          <w:lang w:val="es-419"/>
        </w:rPr>
        <w:t>Artículo 20.- modalidades de notificación</w:t>
      </w:r>
    </w:p>
    <w:p w14:paraId="71433CDF" w14:textId="77777777" w:rsidR="00E0022C" w:rsidRPr="00CC2CC6" w:rsidRDefault="00E0022C" w:rsidP="00E0022C">
      <w:pPr>
        <w:pStyle w:val="Textonotapie"/>
        <w:ind w:left="567"/>
        <w:jc w:val="both"/>
        <w:rPr>
          <w:rFonts w:ascii="Arial Narrow" w:hAnsi="Arial Narrow" w:cs="Arial"/>
          <w:sz w:val="17"/>
          <w:szCs w:val="17"/>
          <w:lang w:val="es-419"/>
        </w:rPr>
      </w:pPr>
      <w:r w:rsidRPr="00CC2CC6">
        <w:rPr>
          <w:rFonts w:ascii="Arial Narrow" w:hAnsi="Arial Narrow" w:cs="Arial"/>
          <w:sz w:val="17"/>
          <w:szCs w:val="17"/>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40B4CF" w14:textId="77777777" w:rsidR="00E0022C" w:rsidRPr="00CC2CC6" w:rsidRDefault="00E0022C" w:rsidP="00E0022C">
      <w:pPr>
        <w:pStyle w:val="Textonotapie"/>
        <w:ind w:left="567"/>
        <w:jc w:val="both"/>
        <w:rPr>
          <w:rFonts w:ascii="Arial Narrow" w:hAnsi="Arial Narrow" w:cs="Arial"/>
          <w:sz w:val="17"/>
          <w:szCs w:val="17"/>
          <w:lang w:val="es-419"/>
        </w:rPr>
      </w:pPr>
      <w:r w:rsidRPr="00CC2CC6">
        <w:rPr>
          <w:rFonts w:ascii="Arial Narrow" w:hAnsi="Arial Narrow" w:cs="Arial"/>
          <w:sz w:val="17"/>
          <w:szCs w:val="17"/>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DB36095" w14:textId="5DC97CCB" w:rsidR="00E0022C" w:rsidRPr="00CC2CC6" w:rsidRDefault="00E0022C" w:rsidP="00E0022C">
      <w:pPr>
        <w:pStyle w:val="Textonotapie"/>
        <w:spacing w:after="200"/>
        <w:ind w:left="567"/>
        <w:jc w:val="both"/>
        <w:rPr>
          <w:rFonts w:ascii="Arial Narrow" w:hAnsi="Arial Narrow" w:cs="Arial"/>
          <w:sz w:val="17"/>
          <w:szCs w:val="17"/>
          <w:lang w:val="es-419"/>
        </w:rPr>
      </w:pPr>
      <w:r w:rsidRPr="00CC2CC6">
        <w:rPr>
          <w:rFonts w:ascii="Arial Narrow" w:hAnsi="Arial Narrow" w:cs="Arial"/>
          <w:sz w:val="17"/>
          <w:szCs w:val="17"/>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D1F1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72504ED" w14:textId="77777777" w:rsidTr="003D7BF0">
      <w:trPr>
        <w:trHeight w:val="1310"/>
      </w:trPr>
      <w:tc>
        <w:tcPr>
          <w:tcW w:w="4518" w:type="dxa"/>
        </w:tcPr>
        <w:p w14:paraId="1EBB5C6C" w14:textId="77777777" w:rsidR="00B91E42" w:rsidRPr="00C211F8" w:rsidRDefault="00B91E42" w:rsidP="003D7BF0">
          <w:pPr>
            <w:spacing w:after="0"/>
          </w:pPr>
          <w:bookmarkStart w:id="10" w:name="_Hlk212019410"/>
          <w:r>
            <w:rPr>
              <w:noProof/>
            </w:rPr>
            <w:drawing>
              <wp:inline distT="0" distB="0" distL="0" distR="0" wp14:anchorId="79F868F0" wp14:editId="49DEB3DA">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4D55408"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705849B"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9BD160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602338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D80867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6B409D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3EAE2F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512C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BA4908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349894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23AA32F"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4568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1593504">
    <w:abstractNumId w:val="9"/>
  </w:num>
  <w:num w:numId="2" w16cid:durableId="2117826619">
    <w:abstractNumId w:val="1"/>
  </w:num>
  <w:num w:numId="3" w16cid:durableId="661281369">
    <w:abstractNumId w:val="7"/>
  </w:num>
  <w:num w:numId="4" w16cid:durableId="1456026440">
    <w:abstractNumId w:val="4"/>
  </w:num>
  <w:num w:numId="5" w16cid:durableId="1247615712">
    <w:abstractNumId w:val="8"/>
  </w:num>
  <w:num w:numId="6" w16cid:durableId="1512648376">
    <w:abstractNumId w:val="0"/>
  </w:num>
  <w:num w:numId="7" w16cid:durableId="239560415">
    <w:abstractNumId w:val="5"/>
  </w:num>
  <w:num w:numId="8" w16cid:durableId="1528520551">
    <w:abstractNumId w:val="2"/>
  </w:num>
  <w:num w:numId="9" w16cid:durableId="1265071974">
    <w:abstractNumId w:val="6"/>
  </w:num>
  <w:num w:numId="10" w16cid:durableId="5830317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29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615E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1452"/>
    <w:rsid w:val="0030215E"/>
    <w:rsid w:val="003246B7"/>
    <w:rsid w:val="00327F5B"/>
    <w:rsid w:val="003303E9"/>
    <w:rsid w:val="003304BA"/>
    <w:rsid w:val="003416D0"/>
    <w:rsid w:val="00345437"/>
    <w:rsid w:val="0035023E"/>
    <w:rsid w:val="00353D90"/>
    <w:rsid w:val="003569CD"/>
    <w:rsid w:val="0036005D"/>
    <w:rsid w:val="003609C5"/>
    <w:rsid w:val="00366C46"/>
    <w:rsid w:val="003719B7"/>
    <w:rsid w:val="003748FB"/>
    <w:rsid w:val="003A00D7"/>
    <w:rsid w:val="003A3BA5"/>
    <w:rsid w:val="003A3BA6"/>
    <w:rsid w:val="003A555E"/>
    <w:rsid w:val="003A71B1"/>
    <w:rsid w:val="003C22C4"/>
    <w:rsid w:val="003C6685"/>
    <w:rsid w:val="00400B50"/>
    <w:rsid w:val="004251B6"/>
    <w:rsid w:val="00453840"/>
    <w:rsid w:val="004551D0"/>
    <w:rsid w:val="00456E8F"/>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4C65"/>
    <w:rsid w:val="00537A7E"/>
    <w:rsid w:val="00537BD7"/>
    <w:rsid w:val="00544EBE"/>
    <w:rsid w:val="00547BF9"/>
    <w:rsid w:val="005505B7"/>
    <w:rsid w:val="0055380D"/>
    <w:rsid w:val="00554412"/>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3D75"/>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0D29"/>
    <w:rsid w:val="008B4811"/>
    <w:rsid w:val="008C6BCC"/>
    <w:rsid w:val="008C7DBE"/>
    <w:rsid w:val="008E2E5A"/>
    <w:rsid w:val="008E6BA0"/>
    <w:rsid w:val="008E746F"/>
    <w:rsid w:val="00924F24"/>
    <w:rsid w:val="0092619C"/>
    <w:rsid w:val="009300C6"/>
    <w:rsid w:val="00947FE2"/>
    <w:rsid w:val="00952758"/>
    <w:rsid w:val="009606E6"/>
    <w:rsid w:val="00967D93"/>
    <w:rsid w:val="00973207"/>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2CC6"/>
    <w:rsid w:val="00CC5228"/>
    <w:rsid w:val="00CC57BB"/>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DBB"/>
    <w:rsid w:val="00DD0EE7"/>
    <w:rsid w:val="00DE4803"/>
    <w:rsid w:val="00DE7477"/>
    <w:rsid w:val="00DE7EA8"/>
    <w:rsid w:val="00E0022C"/>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76E29C"/>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7</Pages>
  <Words>1707</Words>
  <Characters>9391</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cp:revision>
  <cp:lastPrinted>2026-07-31T18:23:00Z</cp:lastPrinted>
  <dcterms:created xsi:type="dcterms:W3CDTF">2026-07-31T15:18:00Z</dcterms:created>
  <dcterms:modified xsi:type="dcterms:W3CDTF">2026-07-31T18:23:00Z</dcterms:modified>
</cp:coreProperties>
</file>