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4D0AC" w14:textId="77777777" w:rsidR="0033320A" w:rsidRPr="00BC2411" w:rsidRDefault="0033320A" w:rsidP="0033320A">
      <w:pPr>
        <w:spacing w:after="0" w:line="240" w:lineRule="auto"/>
        <w:jc w:val="both"/>
        <w:outlineLvl w:val="0"/>
        <w:rPr>
          <w:rFonts w:ascii="Arial" w:eastAsia="Arial" w:hAnsi="Arial" w:cs="Arial"/>
          <w:i/>
          <w:sz w:val="16"/>
          <w:lang w:val="pt-PT"/>
        </w:rPr>
      </w:pPr>
      <w:r w:rsidRPr="00BC2411">
        <w:rPr>
          <w:rFonts w:ascii="Arial" w:eastAsia="Arial" w:hAnsi="Arial" w:cs="Arial"/>
          <w:i/>
          <w:sz w:val="16"/>
          <w:lang w:val="pt-PT"/>
        </w:rPr>
        <w:t xml:space="preserve">Elaborado por: </w:t>
      </w:r>
      <w:r w:rsidRPr="00BC2411">
        <w:rPr>
          <w:rFonts w:ascii="Arial" w:eastAsia="Arial" w:hAnsi="Arial" w:cs="Arial"/>
          <w:i/>
          <w:sz w:val="16"/>
          <w:highlight w:val="green"/>
          <w:lang w:val="pt-PT"/>
        </w:rPr>
        <w:t>David Chávez</w:t>
      </w:r>
    </w:p>
    <w:p w14:paraId="55C63D36" w14:textId="77777777" w:rsidR="0033320A" w:rsidRPr="00BC2411" w:rsidRDefault="0033320A" w:rsidP="0033320A">
      <w:pPr>
        <w:spacing w:after="0" w:line="240" w:lineRule="auto"/>
        <w:jc w:val="both"/>
        <w:rPr>
          <w:rFonts w:ascii="Arial" w:hAnsi="Arial" w:cs="Arial"/>
          <w:sz w:val="16"/>
          <w:lang w:val="pt-PT"/>
        </w:rPr>
      </w:pPr>
      <w:r w:rsidRPr="00BC2411">
        <w:rPr>
          <w:rFonts w:ascii="Arial" w:eastAsia="Arial" w:hAnsi="Arial" w:cs="Arial"/>
          <w:i/>
          <w:sz w:val="16"/>
          <w:lang w:val="pt-PT"/>
        </w:rPr>
        <w:t xml:space="preserve">Supervisado por: </w:t>
      </w:r>
      <w:r w:rsidRPr="00BC2411">
        <w:rPr>
          <w:rFonts w:ascii="Arial" w:eastAsia="Arial" w:hAnsi="Arial" w:cs="Arial"/>
          <w:i/>
          <w:sz w:val="16"/>
          <w:highlight w:val="green"/>
          <w:lang w:val="pt-PT"/>
        </w:rPr>
        <w:t>Analí Silva</w:t>
      </w:r>
    </w:p>
    <w:p w14:paraId="31271B95" w14:textId="77777777" w:rsidR="0033320A" w:rsidRPr="006B087A" w:rsidRDefault="0033320A" w:rsidP="0033320A">
      <w:pPr>
        <w:spacing w:after="0" w:line="240" w:lineRule="auto"/>
        <w:jc w:val="both"/>
        <w:rPr>
          <w:rFonts w:ascii="Arial" w:hAnsi="Arial" w:cs="Arial"/>
          <w:sz w:val="16"/>
        </w:rPr>
      </w:pPr>
      <w:r w:rsidRPr="00797BAA">
        <w:rPr>
          <w:rFonts w:ascii="Arial" w:eastAsia="Arial" w:hAnsi="Arial" w:cs="Arial"/>
          <w:i/>
          <w:sz w:val="16"/>
        </w:rPr>
        <w:t xml:space="preserve">Equipo: </w:t>
      </w:r>
      <w:r w:rsidRPr="0068131B">
        <w:rPr>
          <w:rFonts w:ascii="Arial" w:eastAsia="Arial" w:hAnsi="Arial" w:cs="Arial"/>
          <w:i/>
          <w:sz w:val="16"/>
          <w:highlight w:val="green"/>
        </w:rPr>
        <w:t>Seguros</w:t>
      </w:r>
    </w:p>
    <w:p w14:paraId="4459EA3C" w14:textId="77777777" w:rsidR="0033320A" w:rsidRPr="006B087A" w:rsidRDefault="0033320A" w:rsidP="0033320A">
      <w:pPr>
        <w:spacing w:after="0" w:line="240" w:lineRule="auto"/>
        <w:jc w:val="both"/>
        <w:rPr>
          <w:rFonts w:ascii="Arial" w:eastAsia="Arial" w:hAnsi="Arial" w:cs="Arial"/>
          <w:i/>
          <w:sz w:val="16"/>
        </w:rPr>
      </w:pPr>
      <w:r w:rsidRPr="006B087A">
        <w:rPr>
          <w:rFonts w:ascii="Arial" w:eastAsia="Arial" w:hAnsi="Arial" w:cs="Arial"/>
          <w:i/>
          <w:sz w:val="16"/>
        </w:rPr>
        <w:t xml:space="preserve">Vencimiento: </w:t>
      </w:r>
      <w:r w:rsidRPr="0068131B">
        <w:rPr>
          <w:rFonts w:ascii="Arial" w:eastAsia="Arial" w:hAnsi="Arial" w:cs="Arial"/>
          <w:i/>
          <w:sz w:val="16"/>
          <w:highlight w:val="green"/>
        </w:rPr>
        <w:t>30 de enero de 2026</w:t>
      </w:r>
    </w:p>
    <w:p w14:paraId="5887A8BE" w14:textId="77777777" w:rsidR="008A56C2" w:rsidRDefault="008A56C2" w:rsidP="0033320A">
      <w:pPr>
        <w:keepNext/>
        <w:tabs>
          <w:tab w:val="left" w:pos="2268"/>
        </w:tabs>
        <w:spacing w:after="0" w:line="240" w:lineRule="auto"/>
        <w:rPr>
          <w:rFonts w:ascii="Arial" w:eastAsia="Arial" w:hAnsi="Arial" w:cs="Arial"/>
          <w:b/>
          <w:sz w:val="32"/>
          <w:szCs w:val="32"/>
        </w:rPr>
      </w:pPr>
    </w:p>
    <w:p w14:paraId="676165CD" w14:textId="7DA9C18A" w:rsidR="008A56C2" w:rsidRDefault="003D4B16">
      <w:pPr>
        <w:keepNext/>
        <w:tabs>
          <w:tab w:val="left" w:pos="2268"/>
        </w:tabs>
        <w:spacing w:after="0" w:line="240" w:lineRule="auto"/>
        <w:jc w:val="center"/>
        <w:rPr>
          <w:rFonts w:ascii="Arial" w:eastAsia="Arial" w:hAnsi="Arial" w:cs="Arial"/>
          <w:sz w:val="32"/>
          <w:szCs w:val="32"/>
        </w:rPr>
      </w:pPr>
      <w:r>
        <w:rPr>
          <w:rFonts w:ascii="Arial" w:eastAsia="Arial" w:hAnsi="Arial" w:cs="Arial"/>
          <w:b/>
          <w:sz w:val="32"/>
          <w:szCs w:val="32"/>
        </w:rPr>
        <w:t>RESOLUCIÓN FINAL N° […]-202</w:t>
      </w:r>
      <w:r w:rsidR="0033320A">
        <w:rPr>
          <w:rFonts w:ascii="Arial" w:eastAsia="Arial" w:hAnsi="Arial" w:cs="Arial"/>
          <w:b/>
          <w:sz w:val="32"/>
          <w:szCs w:val="32"/>
        </w:rPr>
        <w:t>6</w:t>
      </w:r>
      <w:r>
        <w:rPr>
          <w:rFonts w:ascii="Arial" w:eastAsia="Arial" w:hAnsi="Arial" w:cs="Arial"/>
          <w:b/>
          <w:sz w:val="32"/>
          <w:szCs w:val="32"/>
        </w:rPr>
        <w:t>/CC1</w:t>
      </w:r>
    </w:p>
    <w:p w14:paraId="1E8B4F14" w14:textId="77777777" w:rsidR="008A56C2" w:rsidRDefault="008A56C2">
      <w:pPr>
        <w:tabs>
          <w:tab w:val="left" w:pos="2160"/>
          <w:tab w:val="left" w:pos="2700"/>
        </w:tabs>
        <w:spacing w:after="0" w:line="240" w:lineRule="auto"/>
        <w:jc w:val="both"/>
        <w:rPr>
          <w:rFonts w:ascii="Arial" w:eastAsia="Arial" w:hAnsi="Arial" w:cs="Arial"/>
          <w:highlight w:val="cyan"/>
        </w:rPr>
      </w:pPr>
    </w:p>
    <w:p w14:paraId="6165716E" w14:textId="77777777" w:rsidR="008A56C2" w:rsidRDefault="003D4B16">
      <w:pPr>
        <w:tabs>
          <w:tab w:val="left" w:pos="1080"/>
          <w:tab w:val="left" w:pos="1260"/>
          <w:tab w:val="left" w:pos="1620"/>
          <w:tab w:val="left" w:pos="1800"/>
          <w:tab w:val="left" w:pos="2268"/>
          <w:tab w:val="left" w:pos="2694"/>
        </w:tabs>
        <w:spacing w:after="0" w:line="240" w:lineRule="auto"/>
        <w:ind w:left="2694" w:hanging="2694"/>
        <w:jc w:val="both"/>
        <w:rPr>
          <w:rFonts w:ascii="Arial" w:eastAsia="Arial" w:hAnsi="Arial" w:cs="Arial"/>
          <w:b/>
        </w:rPr>
      </w:pPr>
      <w:r>
        <w:rPr>
          <w:rFonts w:ascii="Arial" w:eastAsia="Arial" w:hAnsi="Arial" w:cs="Arial"/>
          <w:b/>
        </w:rPr>
        <w:t>DENUNCIANTE</w:t>
      </w:r>
      <w:r>
        <w:rPr>
          <w:rFonts w:ascii="Arial" w:eastAsia="Arial" w:hAnsi="Arial" w:cs="Arial"/>
          <w:b/>
        </w:rPr>
        <w:tab/>
      </w:r>
      <w:r>
        <w:rPr>
          <w:rFonts w:ascii="Arial" w:eastAsia="Arial" w:hAnsi="Arial" w:cs="Arial"/>
          <w:b/>
        </w:rPr>
        <w:tab/>
      </w:r>
      <w:r>
        <w:rPr>
          <w:rFonts w:ascii="Arial" w:eastAsia="Arial" w:hAnsi="Arial" w:cs="Arial"/>
          <w:b/>
        </w:rPr>
        <w:tab/>
        <w:t>:</w:t>
      </w:r>
      <w:r>
        <w:rPr>
          <w:rFonts w:ascii="Arial" w:eastAsia="Arial" w:hAnsi="Arial" w:cs="Arial"/>
          <w:b/>
        </w:rPr>
        <w:tab/>
      </w:r>
      <w:r w:rsidRPr="0033320A">
        <w:rPr>
          <w:rFonts w:ascii="Arial" w:eastAsia="Arial" w:hAnsi="Arial" w:cs="Arial"/>
          <w:b/>
          <w:highlight w:val="cyan"/>
        </w:rPr>
        <w:t>ADIMIR SAMIR ARANGO JARA (SEÑOR ARANGO</w:t>
      </w:r>
      <w:r>
        <w:rPr>
          <w:rFonts w:ascii="Arial" w:eastAsia="Arial" w:hAnsi="Arial" w:cs="Arial"/>
          <w:b/>
        </w:rPr>
        <w:t>)</w:t>
      </w:r>
    </w:p>
    <w:p w14:paraId="0BBD6786" w14:textId="231F7B3B" w:rsidR="008A56C2" w:rsidRDefault="003D4B16">
      <w:pPr>
        <w:tabs>
          <w:tab w:val="left" w:pos="1080"/>
          <w:tab w:val="left" w:pos="1260"/>
          <w:tab w:val="left" w:pos="1620"/>
          <w:tab w:val="left" w:pos="1800"/>
          <w:tab w:val="left" w:pos="2265"/>
          <w:tab w:val="left" w:pos="2694"/>
        </w:tabs>
        <w:spacing w:after="0" w:line="240" w:lineRule="auto"/>
        <w:ind w:left="2694" w:hanging="2694"/>
        <w:jc w:val="both"/>
        <w:rPr>
          <w:rFonts w:ascii="Arial" w:eastAsia="Arial" w:hAnsi="Arial" w:cs="Arial"/>
          <w:b/>
        </w:rPr>
      </w:pPr>
      <w:r>
        <w:rPr>
          <w:rFonts w:ascii="Arial" w:eastAsia="Arial" w:hAnsi="Arial" w:cs="Arial"/>
          <w:b/>
        </w:rPr>
        <w:t>DENUNCIADOS</w:t>
      </w:r>
      <w:r>
        <w:rPr>
          <w:rFonts w:ascii="Arial" w:eastAsia="Arial" w:hAnsi="Arial" w:cs="Arial"/>
          <w:b/>
        </w:rPr>
        <w:tab/>
      </w:r>
      <w:r>
        <w:rPr>
          <w:rFonts w:ascii="Arial" w:eastAsia="Arial" w:hAnsi="Arial" w:cs="Arial"/>
          <w:b/>
        </w:rPr>
        <w:tab/>
        <w:t xml:space="preserve">: </w:t>
      </w:r>
      <w:r>
        <w:rPr>
          <w:rFonts w:ascii="Arial" w:eastAsia="Arial" w:hAnsi="Arial" w:cs="Arial"/>
          <w:b/>
        </w:rPr>
        <w:tab/>
      </w:r>
      <w:r w:rsidRPr="0033320A">
        <w:rPr>
          <w:rFonts w:ascii="Arial" w:eastAsia="Arial" w:hAnsi="Arial" w:cs="Arial"/>
          <w:b/>
          <w:highlight w:val="magenta"/>
        </w:rPr>
        <w:t>BANCO INTERNACIONAL DEL PERÚ S.A.A. – INTERBANK (BANCO</w:t>
      </w:r>
      <w:r>
        <w:rPr>
          <w:rFonts w:ascii="Arial" w:eastAsia="Arial" w:hAnsi="Arial" w:cs="Arial"/>
          <w:b/>
        </w:rPr>
        <w:t>)</w:t>
      </w:r>
    </w:p>
    <w:p w14:paraId="7C393BFE" w14:textId="77777777" w:rsidR="008A56C2" w:rsidRPr="002B6DA2" w:rsidRDefault="003D4B16">
      <w:pPr>
        <w:tabs>
          <w:tab w:val="left" w:pos="1080"/>
          <w:tab w:val="left" w:pos="1260"/>
          <w:tab w:val="left" w:pos="1620"/>
          <w:tab w:val="left" w:pos="1800"/>
          <w:tab w:val="left" w:pos="2265"/>
          <w:tab w:val="left" w:pos="2694"/>
        </w:tabs>
        <w:spacing w:after="0" w:line="240" w:lineRule="auto"/>
        <w:ind w:left="2694" w:hanging="2694"/>
        <w:jc w:val="both"/>
        <w:rPr>
          <w:rFonts w:ascii="Arial" w:eastAsia="Arial" w:hAnsi="Arial" w:cs="Arial"/>
          <w:b/>
          <w:lang w:val="en-US"/>
        </w:rPr>
      </w:pP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sidRPr="002B6DA2">
        <w:rPr>
          <w:rFonts w:ascii="Arial" w:eastAsia="Arial" w:hAnsi="Arial" w:cs="Arial"/>
          <w:b/>
          <w:highlight w:val="green"/>
          <w:lang w:val="en-US"/>
        </w:rPr>
        <w:t>PREX S.A.C. (PREX</w:t>
      </w:r>
      <w:r w:rsidRPr="002B6DA2">
        <w:rPr>
          <w:rFonts w:ascii="Arial" w:eastAsia="Arial" w:hAnsi="Arial" w:cs="Arial"/>
          <w:b/>
          <w:lang w:val="en-US"/>
        </w:rPr>
        <w:t>)</w:t>
      </w:r>
    </w:p>
    <w:p w14:paraId="3ABF87F1" w14:textId="77777777" w:rsidR="008A56C2" w:rsidRDefault="003D4B16">
      <w:pPr>
        <w:tabs>
          <w:tab w:val="left" w:pos="1080"/>
          <w:tab w:val="left" w:pos="1260"/>
          <w:tab w:val="left" w:pos="1620"/>
          <w:tab w:val="left" w:pos="1800"/>
          <w:tab w:val="left" w:pos="2268"/>
          <w:tab w:val="left" w:pos="2694"/>
        </w:tabs>
        <w:spacing w:after="0" w:line="240" w:lineRule="auto"/>
        <w:jc w:val="both"/>
        <w:rPr>
          <w:rFonts w:ascii="Arial" w:eastAsia="Arial" w:hAnsi="Arial" w:cs="Arial"/>
          <w:b/>
        </w:rPr>
      </w:pPr>
      <w:r>
        <w:rPr>
          <w:rFonts w:ascii="Arial" w:eastAsia="Arial" w:hAnsi="Arial" w:cs="Arial"/>
          <w:b/>
        </w:rPr>
        <w:t>MATERIAS</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 xml:space="preserve">: </w:t>
      </w:r>
      <w:r>
        <w:rPr>
          <w:rFonts w:ascii="Arial" w:eastAsia="Arial" w:hAnsi="Arial" w:cs="Arial"/>
          <w:b/>
        </w:rPr>
        <w:tab/>
        <w:t>PROTECCIÓN AL CONSUMIDOR</w:t>
      </w:r>
    </w:p>
    <w:p w14:paraId="60CF0E60" w14:textId="77777777" w:rsidR="008A56C2" w:rsidRDefault="003D4B16">
      <w:pPr>
        <w:tabs>
          <w:tab w:val="left" w:pos="1080"/>
          <w:tab w:val="left" w:pos="1260"/>
          <w:tab w:val="left" w:pos="1620"/>
          <w:tab w:val="left" w:pos="1800"/>
          <w:tab w:val="left" w:pos="2268"/>
          <w:tab w:val="left" w:pos="2694"/>
        </w:tabs>
        <w:spacing w:after="0" w:line="240" w:lineRule="auto"/>
        <w:jc w:val="both"/>
        <w:rPr>
          <w:rFonts w:ascii="Arial" w:eastAsia="Arial" w:hAnsi="Arial" w:cs="Arial"/>
          <w:b/>
        </w:rPr>
      </w:pP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DECLINACIÓN DE COMPETENCIA</w:t>
      </w:r>
    </w:p>
    <w:p w14:paraId="02677350" w14:textId="77777777" w:rsidR="008A56C2" w:rsidRDefault="003D4B16">
      <w:pPr>
        <w:tabs>
          <w:tab w:val="left" w:pos="1080"/>
          <w:tab w:val="left" w:pos="1260"/>
          <w:tab w:val="left" w:pos="1620"/>
          <w:tab w:val="left" w:pos="1800"/>
          <w:tab w:val="left" w:pos="2268"/>
          <w:tab w:val="left" w:pos="2694"/>
        </w:tabs>
        <w:spacing w:after="0" w:line="240" w:lineRule="auto"/>
        <w:jc w:val="both"/>
        <w:rPr>
          <w:rFonts w:ascii="Arial" w:eastAsia="Arial" w:hAnsi="Arial" w:cs="Arial"/>
          <w:b/>
        </w:rPr>
      </w:pP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CONTIENDA DE COMPETENCIA</w:t>
      </w:r>
    </w:p>
    <w:p w14:paraId="55BF6FE5" w14:textId="7B68CA7F" w:rsidR="008A56C2" w:rsidRDefault="003D4B16">
      <w:pPr>
        <w:tabs>
          <w:tab w:val="left" w:pos="1080"/>
          <w:tab w:val="left" w:pos="1260"/>
          <w:tab w:val="left" w:pos="1620"/>
          <w:tab w:val="left" w:pos="1800"/>
          <w:tab w:val="left" w:pos="2268"/>
          <w:tab w:val="left" w:pos="2694"/>
        </w:tabs>
        <w:spacing w:after="0" w:line="240" w:lineRule="auto"/>
        <w:jc w:val="both"/>
        <w:rPr>
          <w:rFonts w:ascii="Arial" w:eastAsia="Arial" w:hAnsi="Arial" w:cs="Arial"/>
          <w:b/>
        </w:rPr>
      </w:pPr>
      <w:r>
        <w:rPr>
          <w:rFonts w:ascii="Arial" w:eastAsia="Arial" w:hAnsi="Arial" w:cs="Arial"/>
          <w:b/>
        </w:rPr>
        <w:t>ACTIVIDAD</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 xml:space="preserve">: </w:t>
      </w:r>
      <w:r>
        <w:rPr>
          <w:rFonts w:ascii="Arial" w:eastAsia="Arial" w:hAnsi="Arial" w:cs="Arial"/>
          <w:b/>
        </w:rPr>
        <w:tab/>
      </w:r>
      <w:r w:rsidR="0033320A">
        <w:rPr>
          <w:rFonts w:ascii="Arial" w:eastAsia="Arial" w:hAnsi="Arial" w:cs="Arial"/>
          <w:b/>
        </w:rPr>
        <w:t>SEGUROS</w:t>
      </w:r>
    </w:p>
    <w:p w14:paraId="2C348800" w14:textId="77777777" w:rsidR="008A56C2" w:rsidRDefault="008A56C2">
      <w:pPr>
        <w:tabs>
          <w:tab w:val="left" w:pos="2127"/>
          <w:tab w:val="left" w:pos="2268"/>
        </w:tabs>
        <w:spacing w:after="0" w:line="240" w:lineRule="auto"/>
        <w:jc w:val="both"/>
        <w:rPr>
          <w:rFonts w:ascii="Arial" w:eastAsia="Arial" w:hAnsi="Arial" w:cs="Arial"/>
          <w:b/>
          <w:highlight w:val="cyan"/>
        </w:rPr>
      </w:pPr>
    </w:p>
    <w:p w14:paraId="76523061" w14:textId="552808F0" w:rsidR="008A56C2" w:rsidRDefault="003D4B16">
      <w:pPr>
        <w:tabs>
          <w:tab w:val="left" w:pos="2127"/>
          <w:tab w:val="left" w:pos="2268"/>
        </w:tabs>
        <w:spacing w:after="0" w:line="240" w:lineRule="auto"/>
        <w:ind w:left="2836" w:hanging="2836"/>
        <w:jc w:val="both"/>
        <w:rPr>
          <w:rFonts w:ascii="Arial" w:eastAsia="Arial" w:hAnsi="Arial" w:cs="Arial"/>
        </w:rPr>
      </w:pPr>
      <w:r>
        <w:rPr>
          <w:rFonts w:ascii="Arial" w:eastAsia="Arial" w:hAnsi="Arial" w:cs="Arial"/>
        </w:rPr>
        <w:t xml:space="preserve">Lima, […] de </w:t>
      </w:r>
      <w:r w:rsidR="0033320A" w:rsidRPr="0033320A">
        <w:rPr>
          <w:rFonts w:ascii="Arial" w:eastAsia="Arial" w:hAnsi="Arial" w:cs="Arial"/>
          <w:highlight w:val="green"/>
        </w:rPr>
        <w:t>enero</w:t>
      </w:r>
      <w:r w:rsidRPr="0033320A">
        <w:rPr>
          <w:rFonts w:ascii="Arial" w:eastAsia="Arial" w:hAnsi="Arial" w:cs="Arial"/>
          <w:highlight w:val="green"/>
        </w:rPr>
        <w:t xml:space="preserve"> de </w:t>
      </w:r>
      <w:r w:rsidR="0033320A" w:rsidRPr="0033320A">
        <w:rPr>
          <w:rFonts w:ascii="Arial" w:eastAsia="Arial" w:hAnsi="Arial" w:cs="Arial"/>
          <w:highlight w:val="green"/>
        </w:rPr>
        <w:t>2026</w:t>
      </w:r>
    </w:p>
    <w:p w14:paraId="4A16E4E9" w14:textId="77777777" w:rsidR="008A56C2" w:rsidRDefault="008A56C2">
      <w:pPr>
        <w:tabs>
          <w:tab w:val="left" w:pos="2127"/>
          <w:tab w:val="left" w:pos="2268"/>
        </w:tabs>
        <w:spacing w:after="0" w:line="240" w:lineRule="auto"/>
        <w:jc w:val="both"/>
        <w:rPr>
          <w:rFonts w:ascii="Arial" w:eastAsia="Arial" w:hAnsi="Arial" w:cs="Arial"/>
          <w:highlight w:val="cyan"/>
        </w:rPr>
      </w:pPr>
    </w:p>
    <w:p w14:paraId="6B58993B" w14:textId="77777777" w:rsidR="008A56C2" w:rsidRDefault="003D4B16">
      <w:pPr>
        <w:tabs>
          <w:tab w:val="left" w:pos="2127"/>
          <w:tab w:val="left" w:pos="2268"/>
        </w:tabs>
        <w:spacing w:after="0" w:line="240" w:lineRule="auto"/>
        <w:ind w:left="2836" w:hanging="2836"/>
        <w:jc w:val="both"/>
        <w:rPr>
          <w:rFonts w:ascii="Arial" w:eastAsia="Arial" w:hAnsi="Arial" w:cs="Arial"/>
          <w:b/>
        </w:rPr>
      </w:pPr>
      <w:r>
        <w:rPr>
          <w:rFonts w:ascii="Arial" w:eastAsia="Arial" w:hAnsi="Arial" w:cs="Arial"/>
          <w:b/>
        </w:rPr>
        <w:t xml:space="preserve">ANTECEDENTES </w:t>
      </w:r>
    </w:p>
    <w:p w14:paraId="40FB5D6D" w14:textId="77777777" w:rsidR="008A56C2" w:rsidRDefault="008A56C2">
      <w:pPr>
        <w:tabs>
          <w:tab w:val="left" w:pos="2127"/>
          <w:tab w:val="left" w:pos="2268"/>
        </w:tabs>
        <w:spacing w:after="0" w:line="240" w:lineRule="auto"/>
        <w:ind w:left="2836" w:hanging="2836"/>
        <w:jc w:val="both"/>
        <w:rPr>
          <w:rFonts w:ascii="Arial" w:eastAsia="Arial" w:hAnsi="Arial" w:cs="Arial"/>
          <w:b/>
          <w:highlight w:val="cyan"/>
        </w:rPr>
      </w:pPr>
    </w:p>
    <w:p w14:paraId="063BF525" w14:textId="77777777" w:rsidR="008A56C2" w:rsidRDefault="003D4B16" w:rsidP="00BA3650">
      <w:pPr>
        <w:numPr>
          <w:ilvl w:val="1"/>
          <w:numId w:val="9"/>
        </w:numPr>
        <w:pBdr>
          <w:top w:val="nil"/>
          <w:left w:val="nil"/>
          <w:bottom w:val="nil"/>
          <w:right w:val="nil"/>
          <w:between w:val="nil"/>
        </w:pBdr>
        <w:spacing w:after="0" w:line="240" w:lineRule="auto"/>
        <w:ind w:left="567" w:hanging="567"/>
        <w:jc w:val="both"/>
        <w:rPr>
          <w:rFonts w:ascii="Arial" w:eastAsia="Arial" w:hAnsi="Arial" w:cs="Arial"/>
        </w:rPr>
      </w:pPr>
      <w:bookmarkStart w:id="0" w:name="_heading=h.gjdgxs" w:colFirst="0" w:colLast="0"/>
      <w:bookmarkEnd w:id="0"/>
      <w:r>
        <w:rPr>
          <w:rFonts w:ascii="Arial" w:eastAsia="Arial" w:hAnsi="Arial" w:cs="Arial"/>
        </w:rPr>
        <w:t xml:space="preserve">Mediante escrito del </w:t>
      </w:r>
      <w:r w:rsidRPr="0033320A">
        <w:rPr>
          <w:rFonts w:ascii="Arial" w:eastAsia="Arial" w:hAnsi="Arial" w:cs="Arial"/>
          <w:highlight w:val="green"/>
        </w:rPr>
        <w:t>31 de marzo de 2024</w:t>
      </w:r>
      <w:r>
        <w:rPr>
          <w:rFonts w:ascii="Arial" w:eastAsia="Arial" w:hAnsi="Arial" w:cs="Arial"/>
          <w:vertAlign w:val="superscript"/>
        </w:rPr>
        <w:footnoteReference w:id="1"/>
      </w:r>
      <w:r>
        <w:rPr>
          <w:rFonts w:ascii="Arial" w:eastAsia="Arial" w:hAnsi="Arial" w:cs="Arial"/>
        </w:rPr>
        <w:t xml:space="preserve">, </w:t>
      </w:r>
      <w:r w:rsidRPr="0033320A">
        <w:rPr>
          <w:rFonts w:ascii="Arial" w:eastAsia="Arial" w:hAnsi="Arial" w:cs="Arial"/>
          <w:highlight w:val="cyan"/>
        </w:rPr>
        <w:t>el señor Arango</w:t>
      </w:r>
      <w:r>
        <w:rPr>
          <w:rFonts w:ascii="Arial" w:eastAsia="Arial" w:hAnsi="Arial" w:cs="Arial"/>
        </w:rPr>
        <w:t xml:space="preserve"> una denuncia contra </w:t>
      </w:r>
      <w:r w:rsidRPr="0033320A">
        <w:rPr>
          <w:rFonts w:ascii="Arial" w:eastAsia="Arial" w:hAnsi="Arial" w:cs="Arial"/>
          <w:highlight w:val="magenta"/>
        </w:rPr>
        <w:t>el Banco y Prex</w:t>
      </w:r>
      <w:r>
        <w:rPr>
          <w:rFonts w:ascii="Arial" w:eastAsia="Arial" w:hAnsi="Arial" w:cs="Arial"/>
        </w:rPr>
        <w:t xml:space="preserve">, ante el </w:t>
      </w:r>
      <w:r w:rsidRPr="0033320A">
        <w:rPr>
          <w:rFonts w:ascii="Arial" w:eastAsia="Arial" w:hAnsi="Arial" w:cs="Arial"/>
          <w:highlight w:val="cyan"/>
        </w:rPr>
        <w:t>Órgano Resolutivo de Procedimientos Sumarísimos de Protección al Consumidor N° 2 (</w:t>
      </w:r>
      <w:r w:rsidRPr="0033320A">
        <w:rPr>
          <w:rFonts w:ascii="Arial" w:eastAsia="Arial" w:hAnsi="Arial" w:cs="Arial"/>
          <w:highlight w:val="red"/>
        </w:rPr>
        <w:t>en adelante, OPS</w:t>
      </w:r>
      <w:r w:rsidRPr="0033320A">
        <w:rPr>
          <w:rFonts w:ascii="Arial" w:eastAsia="Arial" w:hAnsi="Arial" w:cs="Arial"/>
          <w:highlight w:val="cyan"/>
        </w:rPr>
        <w:t>)</w:t>
      </w:r>
      <w:r>
        <w:rPr>
          <w:rFonts w:ascii="Arial" w:eastAsia="Arial" w:hAnsi="Arial" w:cs="Arial"/>
        </w:rPr>
        <w:t>, por las presuntas infracciones a la Ley N° 29571, Código de Protección y Defensa del Consumidor (en adelante, Código)</w:t>
      </w:r>
      <w:r>
        <w:rPr>
          <w:rFonts w:ascii="Arial" w:eastAsia="Arial" w:hAnsi="Arial" w:cs="Arial"/>
          <w:vertAlign w:val="superscript"/>
        </w:rPr>
        <w:footnoteReference w:id="2"/>
      </w:r>
      <w:r>
        <w:rPr>
          <w:rFonts w:ascii="Arial" w:eastAsia="Arial" w:hAnsi="Arial" w:cs="Arial"/>
        </w:rPr>
        <w:t>, señalando lo siguiente:</w:t>
      </w:r>
    </w:p>
    <w:p w14:paraId="4538380D" w14:textId="77777777" w:rsidR="008A56C2" w:rsidRDefault="008A56C2">
      <w:pPr>
        <w:spacing w:after="0" w:line="240" w:lineRule="auto"/>
        <w:ind w:left="567"/>
        <w:jc w:val="both"/>
        <w:rPr>
          <w:rFonts w:ascii="Arial" w:eastAsia="Arial" w:hAnsi="Arial" w:cs="Arial"/>
        </w:rPr>
      </w:pPr>
    </w:p>
    <w:p w14:paraId="18CB19A0" w14:textId="77777777" w:rsidR="008A56C2" w:rsidRPr="0033320A" w:rsidRDefault="003D4B16">
      <w:pPr>
        <w:numPr>
          <w:ilvl w:val="0"/>
          <w:numId w:val="7"/>
        </w:numPr>
        <w:pBdr>
          <w:top w:val="nil"/>
          <w:left w:val="nil"/>
          <w:bottom w:val="nil"/>
          <w:right w:val="nil"/>
          <w:between w:val="nil"/>
        </w:pBdr>
        <w:spacing w:after="0" w:line="240" w:lineRule="auto"/>
        <w:ind w:hanging="513"/>
        <w:jc w:val="both"/>
        <w:rPr>
          <w:rFonts w:ascii="Arial" w:eastAsia="Arial" w:hAnsi="Arial" w:cs="Arial"/>
          <w:highlight w:val="cyan"/>
        </w:rPr>
      </w:pPr>
      <w:r w:rsidRPr="0033320A">
        <w:rPr>
          <w:rFonts w:ascii="Arial" w:eastAsia="Arial" w:hAnsi="Arial" w:cs="Arial"/>
          <w:highlight w:val="cyan"/>
        </w:rPr>
        <w:t xml:space="preserve">Solicitó al Banco el otorgamiento de una Tarjeta de Crédito Amex Centurion Gold N° 3777-***-***-*8780 con una línea de crédito de S/ 1 700,00. </w:t>
      </w:r>
    </w:p>
    <w:p w14:paraId="42A2CCDE" w14:textId="77777777" w:rsidR="008A56C2" w:rsidRPr="0033320A" w:rsidRDefault="008A56C2">
      <w:pPr>
        <w:pBdr>
          <w:top w:val="nil"/>
          <w:left w:val="nil"/>
          <w:bottom w:val="nil"/>
          <w:right w:val="nil"/>
          <w:between w:val="nil"/>
        </w:pBdr>
        <w:spacing w:after="0" w:line="240" w:lineRule="auto"/>
        <w:ind w:left="1080"/>
        <w:jc w:val="both"/>
        <w:rPr>
          <w:rFonts w:ascii="Arial" w:eastAsia="Arial" w:hAnsi="Arial" w:cs="Arial"/>
          <w:highlight w:val="cyan"/>
        </w:rPr>
      </w:pPr>
    </w:p>
    <w:p w14:paraId="34BC3C10" w14:textId="4692CA00" w:rsidR="0033320A" w:rsidRPr="0033320A" w:rsidRDefault="003D4B16" w:rsidP="0033320A">
      <w:pPr>
        <w:numPr>
          <w:ilvl w:val="0"/>
          <w:numId w:val="7"/>
        </w:numPr>
        <w:pBdr>
          <w:top w:val="nil"/>
          <w:left w:val="nil"/>
          <w:bottom w:val="nil"/>
          <w:right w:val="nil"/>
          <w:between w:val="nil"/>
        </w:pBdr>
        <w:spacing w:after="0" w:line="240" w:lineRule="auto"/>
        <w:ind w:hanging="513"/>
        <w:jc w:val="both"/>
        <w:rPr>
          <w:rFonts w:ascii="Arial" w:eastAsia="Arial" w:hAnsi="Arial" w:cs="Arial"/>
        </w:rPr>
      </w:pPr>
      <w:r w:rsidRPr="0033320A">
        <w:rPr>
          <w:rFonts w:ascii="Arial" w:eastAsia="Arial" w:hAnsi="Arial" w:cs="Arial"/>
          <w:highlight w:val="cyan"/>
        </w:rPr>
        <w:t xml:space="preserve">Se acordó como fecha de entrega de la tarjeta el 12 de febrero de 2023; sin embargo, el Banco no cumplió con </w:t>
      </w:r>
    </w:p>
    <w:p w14:paraId="002F28DA" w14:textId="405B8B6E" w:rsidR="008A56C2" w:rsidRPr="0033320A" w:rsidRDefault="003D4B16">
      <w:pPr>
        <w:numPr>
          <w:ilvl w:val="0"/>
          <w:numId w:val="7"/>
        </w:numPr>
        <w:pBdr>
          <w:top w:val="nil"/>
          <w:left w:val="nil"/>
          <w:bottom w:val="nil"/>
          <w:right w:val="nil"/>
          <w:between w:val="nil"/>
        </w:pBdr>
        <w:spacing w:after="0" w:line="240" w:lineRule="auto"/>
        <w:ind w:hanging="513"/>
        <w:jc w:val="both"/>
        <w:rPr>
          <w:rFonts w:ascii="Arial" w:eastAsia="Arial" w:hAnsi="Arial" w:cs="Arial"/>
          <w:highlight w:val="cyan"/>
        </w:rPr>
      </w:pPr>
      <w:r w:rsidRPr="0033320A">
        <w:rPr>
          <w:rFonts w:ascii="Arial" w:eastAsia="Arial" w:hAnsi="Arial" w:cs="Arial"/>
          <w:highlight w:val="cyan"/>
        </w:rPr>
        <w:t>, asociada a su Tarjeta de Débito Visa en soles N° **********6825. El detalle de la operación fue el siguiente:</w:t>
      </w:r>
    </w:p>
    <w:p w14:paraId="2C3EE579" w14:textId="77777777" w:rsidR="008A56C2" w:rsidRPr="0033320A" w:rsidRDefault="008A56C2">
      <w:pPr>
        <w:pBdr>
          <w:top w:val="nil"/>
          <w:left w:val="nil"/>
          <w:bottom w:val="nil"/>
          <w:right w:val="nil"/>
          <w:between w:val="nil"/>
        </w:pBdr>
        <w:spacing w:after="0" w:line="240" w:lineRule="auto"/>
        <w:ind w:left="1080"/>
        <w:rPr>
          <w:rFonts w:ascii="Arial" w:eastAsia="Arial" w:hAnsi="Arial" w:cs="Arial"/>
          <w:highlight w:val="cyan"/>
        </w:rPr>
      </w:pPr>
    </w:p>
    <w:tbl>
      <w:tblPr>
        <w:tblStyle w:val="a"/>
        <w:tblW w:w="6946" w:type="dxa"/>
        <w:tblInd w:w="1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9"/>
        <w:gridCol w:w="3686"/>
        <w:gridCol w:w="1701"/>
      </w:tblGrid>
      <w:tr w:rsidR="008A56C2" w:rsidRPr="0033320A" w14:paraId="24BFCA3A" w14:textId="77777777">
        <w:trPr>
          <w:trHeight w:val="258"/>
        </w:trPr>
        <w:tc>
          <w:tcPr>
            <w:tcW w:w="1559" w:type="dxa"/>
            <w:shd w:val="clear" w:color="auto" w:fill="BFBFBF"/>
          </w:tcPr>
          <w:p w14:paraId="03F6283B" w14:textId="77777777" w:rsidR="008A56C2" w:rsidRPr="0033320A" w:rsidRDefault="003D4B16">
            <w:pPr>
              <w:jc w:val="center"/>
              <w:rPr>
                <w:rFonts w:ascii="Arial" w:eastAsia="Arial" w:hAnsi="Arial" w:cs="Arial"/>
                <w:b/>
                <w:sz w:val="20"/>
                <w:szCs w:val="20"/>
                <w:highlight w:val="cyan"/>
              </w:rPr>
            </w:pPr>
            <w:r w:rsidRPr="0033320A">
              <w:rPr>
                <w:rFonts w:ascii="Arial" w:eastAsia="Arial" w:hAnsi="Arial" w:cs="Arial"/>
                <w:b/>
                <w:sz w:val="20"/>
                <w:szCs w:val="20"/>
                <w:highlight w:val="cyan"/>
              </w:rPr>
              <w:t>FECHA</w:t>
            </w:r>
          </w:p>
        </w:tc>
        <w:tc>
          <w:tcPr>
            <w:tcW w:w="3686" w:type="dxa"/>
            <w:shd w:val="clear" w:color="auto" w:fill="BFBFBF"/>
          </w:tcPr>
          <w:p w14:paraId="1572160F" w14:textId="77777777" w:rsidR="008A56C2" w:rsidRPr="0033320A" w:rsidRDefault="003D4B16">
            <w:pPr>
              <w:jc w:val="center"/>
              <w:rPr>
                <w:rFonts w:ascii="Arial" w:eastAsia="Arial" w:hAnsi="Arial" w:cs="Arial"/>
                <w:b/>
                <w:sz w:val="20"/>
                <w:szCs w:val="20"/>
                <w:highlight w:val="cyan"/>
              </w:rPr>
            </w:pPr>
            <w:r w:rsidRPr="0033320A">
              <w:rPr>
                <w:rFonts w:ascii="Arial" w:eastAsia="Arial" w:hAnsi="Arial" w:cs="Arial"/>
                <w:b/>
                <w:sz w:val="20"/>
                <w:szCs w:val="20"/>
                <w:highlight w:val="cyan"/>
              </w:rPr>
              <w:t>DETALLE</w:t>
            </w:r>
          </w:p>
        </w:tc>
        <w:tc>
          <w:tcPr>
            <w:tcW w:w="1701" w:type="dxa"/>
            <w:shd w:val="clear" w:color="auto" w:fill="BFBFBF"/>
          </w:tcPr>
          <w:p w14:paraId="54C500E2" w14:textId="77777777" w:rsidR="008A56C2" w:rsidRPr="0033320A" w:rsidRDefault="003D4B16">
            <w:pPr>
              <w:jc w:val="center"/>
              <w:rPr>
                <w:rFonts w:ascii="Arial" w:eastAsia="Arial" w:hAnsi="Arial" w:cs="Arial"/>
                <w:b/>
                <w:sz w:val="20"/>
                <w:szCs w:val="20"/>
                <w:highlight w:val="cyan"/>
              </w:rPr>
            </w:pPr>
            <w:r w:rsidRPr="0033320A">
              <w:rPr>
                <w:rFonts w:ascii="Arial" w:eastAsia="Arial" w:hAnsi="Arial" w:cs="Arial"/>
                <w:b/>
                <w:sz w:val="20"/>
                <w:szCs w:val="20"/>
                <w:highlight w:val="cyan"/>
              </w:rPr>
              <w:t>MONTO</w:t>
            </w:r>
          </w:p>
        </w:tc>
      </w:tr>
      <w:tr w:rsidR="008A56C2" w:rsidRPr="0033320A" w14:paraId="23CB975C" w14:textId="77777777">
        <w:tc>
          <w:tcPr>
            <w:tcW w:w="1559" w:type="dxa"/>
          </w:tcPr>
          <w:p w14:paraId="6CBDCAAA" w14:textId="77777777" w:rsidR="008A56C2" w:rsidRPr="0033320A" w:rsidRDefault="003D4B16">
            <w:pPr>
              <w:jc w:val="center"/>
              <w:rPr>
                <w:rFonts w:ascii="Arial" w:eastAsia="Arial" w:hAnsi="Arial" w:cs="Arial"/>
                <w:sz w:val="20"/>
                <w:szCs w:val="20"/>
                <w:highlight w:val="cyan"/>
              </w:rPr>
            </w:pPr>
            <w:r w:rsidRPr="0033320A">
              <w:rPr>
                <w:rFonts w:ascii="Arial" w:eastAsia="Arial" w:hAnsi="Arial" w:cs="Arial"/>
                <w:sz w:val="20"/>
                <w:szCs w:val="20"/>
                <w:highlight w:val="cyan"/>
              </w:rPr>
              <w:t>27/03/2023</w:t>
            </w:r>
          </w:p>
        </w:tc>
        <w:tc>
          <w:tcPr>
            <w:tcW w:w="3686" w:type="dxa"/>
          </w:tcPr>
          <w:p w14:paraId="4814D36B" w14:textId="77777777" w:rsidR="008A56C2" w:rsidRPr="0033320A" w:rsidRDefault="003D4B16">
            <w:pPr>
              <w:jc w:val="center"/>
              <w:rPr>
                <w:rFonts w:ascii="Arial" w:eastAsia="Arial" w:hAnsi="Arial" w:cs="Arial"/>
                <w:sz w:val="20"/>
                <w:szCs w:val="20"/>
                <w:highlight w:val="cyan"/>
              </w:rPr>
            </w:pPr>
            <w:r w:rsidRPr="0033320A">
              <w:rPr>
                <w:rFonts w:ascii="Arial" w:eastAsia="Arial" w:hAnsi="Arial" w:cs="Arial"/>
                <w:sz w:val="20"/>
                <w:szCs w:val="20"/>
                <w:highlight w:val="cyan"/>
              </w:rPr>
              <w:t>RETIRO</w:t>
            </w:r>
          </w:p>
        </w:tc>
        <w:tc>
          <w:tcPr>
            <w:tcW w:w="1701" w:type="dxa"/>
          </w:tcPr>
          <w:p w14:paraId="61FF8CDB" w14:textId="77777777" w:rsidR="008A56C2" w:rsidRPr="0033320A" w:rsidRDefault="003D4B16">
            <w:pPr>
              <w:jc w:val="center"/>
              <w:rPr>
                <w:rFonts w:ascii="Arial" w:eastAsia="Arial" w:hAnsi="Arial" w:cs="Arial"/>
                <w:sz w:val="20"/>
                <w:szCs w:val="20"/>
                <w:highlight w:val="cyan"/>
              </w:rPr>
            </w:pPr>
            <w:r w:rsidRPr="0033320A">
              <w:rPr>
                <w:rFonts w:ascii="Arial" w:eastAsia="Arial" w:hAnsi="Arial" w:cs="Arial"/>
                <w:sz w:val="20"/>
                <w:szCs w:val="20"/>
                <w:highlight w:val="cyan"/>
              </w:rPr>
              <w:t>S/ 1 708,00</w:t>
            </w:r>
          </w:p>
        </w:tc>
      </w:tr>
    </w:tbl>
    <w:p w14:paraId="547A6A2E" w14:textId="77777777" w:rsidR="008A56C2" w:rsidRPr="0033320A" w:rsidRDefault="008A56C2">
      <w:pPr>
        <w:pBdr>
          <w:top w:val="nil"/>
          <w:left w:val="nil"/>
          <w:bottom w:val="nil"/>
          <w:right w:val="nil"/>
          <w:between w:val="nil"/>
        </w:pBdr>
        <w:spacing w:after="0"/>
        <w:ind w:left="720"/>
        <w:rPr>
          <w:rFonts w:ascii="Arial" w:eastAsia="Arial" w:hAnsi="Arial" w:cs="Arial"/>
          <w:highlight w:val="cyan"/>
        </w:rPr>
      </w:pPr>
    </w:p>
    <w:p w14:paraId="774844AB" w14:textId="77777777" w:rsidR="008A56C2" w:rsidRPr="0033320A" w:rsidRDefault="003D4B16">
      <w:pPr>
        <w:numPr>
          <w:ilvl w:val="0"/>
          <w:numId w:val="7"/>
        </w:numPr>
        <w:pBdr>
          <w:top w:val="nil"/>
          <w:left w:val="nil"/>
          <w:bottom w:val="nil"/>
          <w:right w:val="nil"/>
          <w:between w:val="nil"/>
        </w:pBdr>
        <w:spacing w:after="0" w:line="240" w:lineRule="auto"/>
        <w:ind w:hanging="513"/>
        <w:jc w:val="both"/>
        <w:rPr>
          <w:rFonts w:ascii="Arial" w:eastAsia="Arial" w:hAnsi="Arial" w:cs="Arial"/>
          <w:highlight w:val="cyan"/>
        </w:rPr>
      </w:pPr>
      <w:bookmarkStart w:id="1" w:name="_heading=h.30j0zll" w:colFirst="0" w:colLast="0"/>
      <w:bookmarkEnd w:id="1"/>
      <w:r w:rsidRPr="0033320A">
        <w:rPr>
          <w:rFonts w:ascii="Arial" w:eastAsia="Arial" w:hAnsi="Arial" w:cs="Arial"/>
          <w:highlight w:val="cyan"/>
        </w:rPr>
        <w:t xml:space="preserve">Dejó constancia que el saldo disponible en su Cuenta de Ahorro en soles N° 898328***9964 antes de la realización de la operación no reconocida era de S/ 1 </w:t>
      </w:r>
      <w:r w:rsidRPr="0033320A">
        <w:rPr>
          <w:rFonts w:ascii="Arial" w:eastAsia="Arial" w:hAnsi="Arial" w:cs="Arial"/>
          <w:highlight w:val="cyan"/>
        </w:rPr>
        <w:lastRenderedPageBreak/>
        <w:t>760.78 y que en su cuenta no figuraba el registro de ninguna operación que le permita identificar la razón de la disminución en su saldo.</w:t>
      </w:r>
    </w:p>
    <w:p w14:paraId="2A7F4BC9" w14:textId="77777777" w:rsidR="008A56C2" w:rsidRPr="0033320A" w:rsidRDefault="008A56C2">
      <w:pPr>
        <w:pBdr>
          <w:top w:val="nil"/>
          <w:left w:val="nil"/>
          <w:bottom w:val="nil"/>
          <w:right w:val="nil"/>
          <w:between w:val="nil"/>
        </w:pBdr>
        <w:spacing w:after="0" w:line="240" w:lineRule="auto"/>
        <w:ind w:left="1080"/>
        <w:jc w:val="both"/>
        <w:rPr>
          <w:rFonts w:ascii="Arial" w:eastAsia="Arial" w:hAnsi="Arial" w:cs="Arial"/>
          <w:highlight w:val="cyan"/>
        </w:rPr>
      </w:pPr>
    </w:p>
    <w:p w14:paraId="708B14A4" w14:textId="77777777" w:rsidR="008A56C2" w:rsidRPr="0033320A" w:rsidRDefault="003D4B16">
      <w:pPr>
        <w:numPr>
          <w:ilvl w:val="0"/>
          <w:numId w:val="7"/>
        </w:numPr>
        <w:pBdr>
          <w:top w:val="nil"/>
          <w:left w:val="nil"/>
          <w:bottom w:val="nil"/>
          <w:right w:val="nil"/>
          <w:between w:val="nil"/>
        </w:pBdr>
        <w:spacing w:after="0" w:line="240" w:lineRule="auto"/>
        <w:ind w:hanging="513"/>
        <w:jc w:val="both"/>
        <w:rPr>
          <w:rFonts w:ascii="Arial" w:eastAsia="Arial" w:hAnsi="Arial" w:cs="Arial"/>
          <w:highlight w:val="cyan"/>
        </w:rPr>
      </w:pPr>
      <w:r w:rsidRPr="0033320A">
        <w:rPr>
          <w:rFonts w:ascii="Arial" w:eastAsia="Arial" w:hAnsi="Arial" w:cs="Arial"/>
          <w:highlight w:val="cyan"/>
        </w:rPr>
        <w:t>Durante el 28 y 29 de marzo de 2023, se comunicó vía llamada telefónica con la finalidad de solicitar información respecto a su problema; no obstante, no recibió atención, pues ninguna de las áreas del Banco se encontraban trabajando.</w:t>
      </w:r>
    </w:p>
    <w:p w14:paraId="22A3C161" w14:textId="77777777" w:rsidR="008A56C2" w:rsidRPr="0033320A" w:rsidRDefault="008A56C2">
      <w:pPr>
        <w:pBdr>
          <w:top w:val="nil"/>
          <w:left w:val="nil"/>
          <w:bottom w:val="nil"/>
          <w:right w:val="nil"/>
          <w:between w:val="nil"/>
        </w:pBdr>
        <w:spacing w:after="0" w:line="240" w:lineRule="auto"/>
        <w:ind w:left="1080"/>
        <w:jc w:val="both"/>
        <w:rPr>
          <w:rFonts w:ascii="Arial" w:eastAsia="Arial" w:hAnsi="Arial" w:cs="Arial"/>
          <w:highlight w:val="cyan"/>
        </w:rPr>
      </w:pPr>
    </w:p>
    <w:p w14:paraId="7F3E6BFE" w14:textId="77777777" w:rsidR="008A56C2" w:rsidRPr="0033320A" w:rsidRDefault="003D4B16">
      <w:pPr>
        <w:numPr>
          <w:ilvl w:val="0"/>
          <w:numId w:val="7"/>
        </w:numPr>
        <w:pBdr>
          <w:top w:val="nil"/>
          <w:left w:val="nil"/>
          <w:bottom w:val="nil"/>
          <w:right w:val="nil"/>
          <w:between w:val="nil"/>
        </w:pBdr>
        <w:spacing w:after="0" w:line="240" w:lineRule="auto"/>
        <w:ind w:hanging="513"/>
        <w:jc w:val="both"/>
        <w:rPr>
          <w:rFonts w:ascii="Arial" w:eastAsia="Arial" w:hAnsi="Arial" w:cs="Arial"/>
          <w:highlight w:val="cyan"/>
        </w:rPr>
      </w:pPr>
      <w:r w:rsidRPr="0033320A">
        <w:rPr>
          <w:rFonts w:ascii="Arial" w:eastAsia="Arial" w:hAnsi="Arial" w:cs="Arial"/>
          <w:highlight w:val="cyan"/>
        </w:rPr>
        <w:t>Además, precisó que siempre tuvo ambas tarjetas, la Tarjeta de Crédito Amex Centurion Gold N° 3777-***-***-*8780 y la Tarjeta de Débito Visa en soles N° **********6825, en su poder.</w:t>
      </w:r>
    </w:p>
    <w:p w14:paraId="18C1F399" w14:textId="77777777" w:rsidR="008A56C2" w:rsidRPr="0033320A" w:rsidRDefault="008A56C2">
      <w:pPr>
        <w:pBdr>
          <w:top w:val="nil"/>
          <w:left w:val="nil"/>
          <w:bottom w:val="nil"/>
          <w:right w:val="nil"/>
          <w:between w:val="nil"/>
        </w:pBdr>
        <w:spacing w:after="0"/>
        <w:ind w:left="720"/>
        <w:rPr>
          <w:rFonts w:ascii="Arial" w:eastAsia="Arial" w:hAnsi="Arial" w:cs="Arial"/>
          <w:highlight w:val="cyan"/>
        </w:rPr>
      </w:pPr>
    </w:p>
    <w:p w14:paraId="63AB0607" w14:textId="77777777" w:rsidR="008A56C2" w:rsidRDefault="003D4B16">
      <w:pPr>
        <w:numPr>
          <w:ilvl w:val="0"/>
          <w:numId w:val="7"/>
        </w:numPr>
        <w:pBdr>
          <w:top w:val="nil"/>
          <w:left w:val="nil"/>
          <w:bottom w:val="nil"/>
          <w:right w:val="nil"/>
          <w:between w:val="nil"/>
        </w:pBdr>
        <w:spacing w:after="0" w:line="240" w:lineRule="auto"/>
        <w:ind w:hanging="513"/>
        <w:jc w:val="both"/>
        <w:rPr>
          <w:rFonts w:ascii="Arial" w:eastAsia="Arial" w:hAnsi="Arial" w:cs="Arial"/>
        </w:rPr>
      </w:pPr>
      <w:r w:rsidRPr="0033320A">
        <w:rPr>
          <w:rFonts w:ascii="Arial" w:eastAsia="Arial" w:hAnsi="Arial" w:cs="Arial"/>
          <w:highlight w:val="cyan"/>
        </w:rPr>
        <w:t>Finalmente, el 21 de marzo de 2023, advirtió que Prex había bloqueado su Tarjeta Prepago N° **********2704, de forma física y virtual sin justificación alguna y que no recibió información por parte de la entidad respecto a los motivos que fundamentaron dicho bloqueo</w:t>
      </w:r>
      <w:r>
        <w:rPr>
          <w:rFonts w:ascii="Arial" w:eastAsia="Arial" w:hAnsi="Arial" w:cs="Arial"/>
        </w:rPr>
        <w:t>.</w:t>
      </w:r>
    </w:p>
    <w:p w14:paraId="33132564" w14:textId="77777777" w:rsidR="008A56C2" w:rsidRDefault="008A56C2">
      <w:pPr>
        <w:pBdr>
          <w:top w:val="nil"/>
          <w:left w:val="nil"/>
          <w:bottom w:val="nil"/>
          <w:right w:val="nil"/>
          <w:between w:val="nil"/>
        </w:pBdr>
        <w:spacing w:after="0" w:line="240" w:lineRule="auto"/>
        <w:ind w:left="1080"/>
        <w:jc w:val="both"/>
        <w:rPr>
          <w:rFonts w:ascii="Arial" w:eastAsia="Arial" w:hAnsi="Arial" w:cs="Arial"/>
        </w:rPr>
      </w:pPr>
    </w:p>
    <w:p w14:paraId="008E47EC" w14:textId="108D9B22" w:rsidR="008A56C2" w:rsidRDefault="003D4B16" w:rsidP="00BA3650">
      <w:pPr>
        <w:numPr>
          <w:ilvl w:val="1"/>
          <w:numId w:val="9"/>
        </w:numPr>
        <w:pBdr>
          <w:top w:val="nil"/>
          <w:left w:val="nil"/>
          <w:bottom w:val="nil"/>
          <w:right w:val="nil"/>
          <w:between w:val="nil"/>
        </w:pBdr>
        <w:spacing w:after="0" w:line="240" w:lineRule="auto"/>
        <w:ind w:left="567" w:hanging="567"/>
        <w:jc w:val="both"/>
        <w:rPr>
          <w:rFonts w:ascii="Arial" w:eastAsia="Arial" w:hAnsi="Arial" w:cs="Arial"/>
        </w:rPr>
      </w:pPr>
      <w:r w:rsidRPr="0033320A">
        <w:rPr>
          <w:rFonts w:ascii="Arial" w:eastAsia="Arial" w:hAnsi="Arial" w:cs="Arial"/>
          <w:highlight w:val="magenta"/>
        </w:rPr>
        <w:t>El señor Arango</w:t>
      </w:r>
      <w:r>
        <w:rPr>
          <w:rFonts w:ascii="Arial" w:eastAsia="Arial" w:hAnsi="Arial" w:cs="Arial"/>
        </w:rPr>
        <w:t xml:space="preserve"> </w:t>
      </w:r>
      <w:r w:rsidR="0033320A" w:rsidRPr="00B47184">
        <w:rPr>
          <w:rFonts w:ascii="Arial" w:eastAsia="Times New Roman" w:hAnsi="Arial" w:cs="Arial"/>
          <w:lang w:eastAsia="es-ES"/>
        </w:rPr>
        <w:t xml:space="preserve">solicitó, en calidad de medida correctiva, que </w:t>
      </w:r>
      <w:r w:rsidR="0033320A" w:rsidRPr="000D3F08">
        <w:rPr>
          <w:rFonts w:ascii="Arial" w:eastAsia="Times New Roman" w:hAnsi="Arial" w:cs="Arial"/>
          <w:highlight w:val="green"/>
          <w:lang w:eastAsia="es-ES"/>
        </w:rPr>
        <w:t>la Clínica</w:t>
      </w:r>
      <w:r w:rsidR="0033320A" w:rsidRPr="00B47184">
        <w:rPr>
          <w:rFonts w:ascii="Arial" w:eastAsia="Times New Roman" w:hAnsi="Arial" w:cs="Arial"/>
          <w:lang w:eastAsia="es-ES"/>
        </w:rPr>
        <w:t xml:space="preserve"> cumpla con</w:t>
      </w:r>
      <w:r w:rsidR="0033320A" w:rsidRPr="000D3F08">
        <w:rPr>
          <w:rFonts w:ascii="Arial" w:eastAsia="Times New Roman" w:hAnsi="Arial" w:cs="Arial"/>
          <w:highlight w:val="magenta"/>
          <w:lang w:eastAsia="es-ES"/>
        </w:rPr>
        <w:t>: (i) restituir el servicio médico bajo una cobertura de un seguro adecuado para la rehabilitación de las secuelas ocasionadas a consecuencia de los actos irregulares que lesionaron la lex artis médica, a los fines de que sea reparado el daño causado y rehabilitación necesaria; (ii) otorgar una compensación económica, por el daño físico y emocional causado; (iii) realizar el cese inmediato de la operatividad de Maison de Santé bajo cualquier denominación</w:t>
      </w:r>
      <w:r w:rsidR="0033320A" w:rsidRPr="003C6FCC">
        <w:rPr>
          <w:rFonts w:ascii="Arial" w:eastAsia="Times New Roman" w:hAnsi="Arial" w:cs="Arial"/>
          <w:lang w:eastAsia="es-ES"/>
        </w:rPr>
        <w:t xml:space="preserve">. </w:t>
      </w:r>
    </w:p>
    <w:p w14:paraId="6D69CCFF" w14:textId="77777777" w:rsidR="008A56C2" w:rsidRDefault="008A56C2">
      <w:pPr>
        <w:pBdr>
          <w:top w:val="nil"/>
          <w:left w:val="nil"/>
          <w:bottom w:val="nil"/>
          <w:right w:val="nil"/>
          <w:between w:val="nil"/>
        </w:pBdr>
        <w:spacing w:after="0" w:line="240" w:lineRule="auto"/>
        <w:ind w:left="567"/>
        <w:jc w:val="both"/>
        <w:rPr>
          <w:rFonts w:ascii="Arial" w:eastAsia="Arial" w:hAnsi="Arial" w:cs="Arial"/>
        </w:rPr>
      </w:pPr>
    </w:p>
    <w:p w14:paraId="0EEA4F8C" w14:textId="58843EF4" w:rsidR="008A56C2" w:rsidRDefault="003D4B16" w:rsidP="00BA3650">
      <w:pPr>
        <w:numPr>
          <w:ilvl w:val="1"/>
          <w:numId w:val="9"/>
        </w:numPr>
        <w:pBdr>
          <w:top w:val="nil"/>
          <w:left w:val="nil"/>
          <w:bottom w:val="nil"/>
          <w:right w:val="nil"/>
          <w:between w:val="nil"/>
        </w:pBdr>
        <w:spacing w:after="0" w:line="240" w:lineRule="auto"/>
        <w:ind w:left="567" w:hanging="567"/>
        <w:jc w:val="both"/>
        <w:rPr>
          <w:rFonts w:ascii="Arial" w:eastAsia="Arial" w:hAnsi="Arial" w:cs="Arial"/>
        </w:rPr>
      </w:pPr>
      <w:r>
        <w:rPr>
          <w:rFonts w:ascii="Arial" w:eastAsia="Arial" w:hAnsi="Arial" w:cs="Arial"/>
        </w:rPr>
        <w:t xml:space="preserve">Asimismo, </w:t>
      </w:r>
      <w:r w:rsidR="0033320A" w:rsidRPr="00E51700">
        <w:rPr>
          <w:rFonts w:ascii="Arial" w:eastAsia="Times New Roman" w:hAnsi="Arial" w:cs="Arial"/>
          <w:highlight w:val="green"/>
          <w:lang w:eastAsia="es-ES"/>
        </w:rPr>
        <w:t>requirió el reembolso de costos y costas del presente procedimiento</w:t>
      </w:r>
      <w:r>
        <w:rPr>
          <w:rFonts w:ascii="Arial" w:eastAsia="Arial" w:hAnsi="Arial" w:cs="Arial"/>
        </w:rPr>
        <w:t>.</w:t>
      </w:r>
    </w:p>
    <w:p w14:paraId="4DFA6515" w14:textId="77777777" w:rsidR="008A56C2" w:rsidRDefault="008A56C2">
      <w:pPr>
        <w:pBdr>
          <w:top w:val="nil"/>
          <w:left w:val="nil"/>
          <w:bottom w:val="nil"/>
          <w:right w:val="nil"/>
          <w:between w:val="nil"/>
        </w:pBdr>
        <w:spacing w:after="0" w:line="240" w:lineRule="auto"/>
        <w:ind w:left="567"/>
        <w:jc w:val="both"/>
        <w:rPr>
          <w:rFonts w:ascii="Arial" w:eastAsia="Arial" w:hAnsi="Arial" w:cs="Arial"/>
          <w:b/>
        </w:rPr>
      </w:pPr>
    </w:p>
    <w:p w14:paraId="1A04AB73" w14:textId="77777777" w:rsidR="008A56C2" w:rsidRDefault="003D4B16" w:rsidP="00BA3650">
      <w:pPr>
        <w:numPr>
          <w:ilvl w:val="1"/>
          <w:numId w:val="9"/>
        </w:numPr>
        <w:pBdr>
          <w:top w:val="nil"/>
          <w:left w:val="nil"/>
          <w:bottom w:val="nil"/>
          <w:right w:val="nil"/>
          <w:between w:val="nil"/>
        </w:pBdr>
        <w:spacing w:after="0" w:line="240" w:lineRule="auto"/>
        <w:ind w:left="567" w:hanging="567"/>
        <w:jc w:val="both"/>
        <w:rPr>
          <w:rFonts w:ascii="Arial" w:eastAsia="Arial" w:hAnsi="Arial" w:cs="Arial"/>
        </w:rPr>
      </w:pPr>
      <w:r>
        <w:rPr>
          <w:rFonts w:ascii="Arial" w:eastAsia="Arial" w:hAnsi="Arial" w:cs="Arial"/>
        </w:rPr>
        <w:t xml:space="preserve">Mediante Memorándum N° </w:t>
      </w:r>
      <w:r w:rsidRPr="0033320A">
        <w:rPr>
          <w:rFonts w:ascii="Arial" w:eastAsia="Arial" w:hAnsi="Arial" w:cs="Arial"/>
          <w:highlight w:val="cyan"/>
        </w:rPr>
        <w:t>000700-2024-PS2/INDECOPI</w:t>
      </w:r>
      <w:r>
        <w:rPr>
          <w:rFonts w:ascii="Arial" w:eastAsia="Arial" w:hAnsi="Arial" w:cs="Arial"/>
        </w:rPr>
        <w:t xml:space="preserve"> del </w:t>
      </w:r>
      <w:r w:rsidRPr="0033320A">
        <w:rPr>
          <w:rFonts w:ascii="Arial" w:eastAsia="Arial" w:hAnsi="Arial" w:cs="Arial"/>
          <w:highlight w:val="magenta"/>
        </w:rPr>
        <w:t>10 de abril de 2024</w:t>
      </w:r>
      <w:r>
        <w:rPr>
          <w:rFonts w:ascii="Arial" w:eastAsia="Arial" w:hAnsi="Arial" w:cs="Arial"/>
        </w:rPr>
        <w:t xml:space="preserve">, </w:t>
      </w:r>
      <w:r w:rsidRPr="0033320A">
        <w:rPr>
          <w:rFonts w:ascii="Arial" w:eastAsia="Arial" w:hAnsi="Arial" w:cs="Arial"/>
          <w:highlight w:val="red"/>
        </w:rPr>
        <w:t>el</w:t>
      </w:r>
      <w:r>
        <w:rPr>
          <w:rFonts w:ascii="Arial" w:eastAsia="Arial" w:hAnsi="Arial" w:cs="Arial"/>
        </w:rPr>
        <w:t xml:space="preserve"> </w:t>
      </w:r>
      <w:r w:rsidRPr="0033320A">
        <w:rPr>
          <w:rFonts w:ascii="Arial" w:eastAsia="Arial" w:hAnsi="Arial" w:cs="Arial"/>
          <w:highlight w:val="red"/>
        </w:rPr>
        <w:t>OPS</w:t>
      </w:r>
      <w:r>
        <w:rPr>
          <w:rFonts w:ascii="Arial" w:eastAsia="Arial" w:hAnsi="Arial" w:cs="Arial"/>
        </w:rPr>
        <w:t xml:space="preserve"> declinó la competencia para conocer la denuncia formulada por </w:t>
      </w:r>
      <w:r w:rsidRPr="0033320A">
        <w:rPr>
          <w:rFonts w:ascii="Arial" w:eastAsia="Arial" w:hAnsi="Arial" w:cs="Arial"/>
          <w:highlight w:val="green"/>
        </w:rPr>
        <w:t>el señor Arango</w:t>
      </w:r>
      <w:r>
        <w:rPr>
          <w:rFonts w:ascii="Arial" w:eastAsia="Arial" w:hAnsi="Arial" w:cs="Arial"/>
        </w:rPr>
        <w:t xml:space="preserve"> contra el </w:t>
      </w:r>
      <w:r w:rsidRPr="0033320A">
        <w:rPr>
          <w:rFonts w:ascii="Arial" w:eastAsia="Arial" w:hAnsi="Arial" w:cs="Arial"/>
          <w:highlight w:val="cyan"/>
        </w:rPr>
        <w:t>Banco</w:t>
      </w:r>
      <w:r>
        <w:rPr>
          <w:rFonts w:ascii="Arial" w:eastAsia="Arial" w:hAnsi="Arial" w:cs="Arial"/>
        </w:rPr>
        <w:t xml:space="preserve">, por </w:t>
      </w:r>
      <w:r w:rsidRPr="0033320A">
        <w:rPr>
          <w:rFonts w:ascii="Arial" w:eastAsia="Arial" w:hAnsi="Arial" w:cs="Arial"/>
          <w:highlight w:val="magenta"/>
        </w:rPr>
        <w:t>razón de cuantí</w:t>
      </w:r>
      <w:r>
        <w:rPr>
          <w:rFonts w:ascii="Arial" w:eastAsia="Arial" w:hAnsi="Arial" w:cs="Arial"/>
        </w:rPr>
        <w:t xml:space="preserve">a. Al respecto, consideró que la competencia le correspondía a la Comisión de Protección al Consumidor N° 1 (en adelante, Comisión), </w:t>
      </w:r>
      <w:r w:rsidRPr="0033320A">
        <w:rPr>
          <w:rFonts w:ascii="Arial" w:eastAsia="Arial" w:hAnsi="Arial" w:cs="Arial"/>
          <w:highlight w:val="green"/>
        </w:rPr>
        <w:t>pues la sumatoria de la cuantía de las presuntas conductas infractoras exceden el equivalente a las tres (3) UIT</w:t>
      </w:r>
      <w:r>
        <w:rPr>
          <w:rFonts w:ascii="Arial" w:eastAsia="Arial" w:hAnsi="Arial" w:cs="Arial"/>
        </w:rPr>
        <w:t xml:space="preserve">. </w:t>
      </w:r>
    </w:p>
    <w:p w14:paraId="403225EE" w14:textId="77777777" w:rsidR="008A56C2" w:rsidRDefault="008A56C2">
      <w:pPr>
        <w:pBdr>
          <w:top w:val="nil"/>
          <w:left w:val="nil"/>
          <w:bottom w:val="nil"/>
          <w:right w:val="nil"/>
          <w:between w:val="nil"/>
        </w:pBdr>
        <w:spacing w:after="0" w:line="240" w:lineRule="auto"/>
        <w:ind w:left="567"/>
        <w:jc w:val="both"/>
        <w:rPr>
          <w:rFonts w:ascii="Arial" w:eastAsia="Arial" w:hAnsi="Arial" w:cs="Arial"/>
        </w:rPr>
      </w:pPr>
    </w:p>
    <w:p w14:paraId="5EE5FC6B" w14:textId="77777777" w:rsidR="008A56C2" w:rsidRDefault="003D4B16">
      <w:pPr>
        <w:pBdr>
          <w:top w:val="nil"/>
          <w:left w:val="nil"/>
          <w:bottom w:val="nil"/>
          <w:right w:val="nil"/>
          <w:between w:val="nil"/>
        </w:pBdr>
        <w:spacing w:after="0" w:line="240" w:lineRule="auto"/>
        <w:jc w:val="both"/>
        <w:rPr>
          <w:rFonts w:ascii="Arial" w:eastAsia="Arial" w:hAnsi="Arial" w:cs="Arial"/>
          <w:b/>
        </w:rPr>
      </w:pPr>
      <w:r>
        <w:rPr>
          <w:rFonts w:ascii="Arial" w:eastAsia="Arial" w:hAnsi="Arial" w:cs="Arial"/>
          <w:b/>
        </w:rPr>
        <w:t>ANÁLISIS</w:t>
      </w:r>
    </w:p>
    <w:p w14:paraId="3811705C" w14:textId="77777777" w:rsidR="008A56C2" w:rsidRDefault="008A56C2">
      <w:pPr>
        <w:pBdr>
          <w:top w:val="nil"/>
          <w:left w:val="nil"/>
          <w:bottom w:val="nil"/>
          <w:right w:val="nil"/>
          <w:between w:val="nil"/>
        </w:pBdr>
        <w:spacing w:after="0" w:line="240" w:lineRule="auto"/>
        <w:jc w:val="both"/>
        <w:rPr>
          <w:rFonts w:ascii="Arial" w:eastAsia="Arial" w:hAnsi="Arial" w:cs="Arial"/>
          <w:b/>
        </w:rPr>
      </w:pPr>
    </w:p>
    <w:p w14:paraId="10104AF2" w14:textId="77777777" w:rsidR="008A56C2" w:rsidRDefault="003D4B16">
      <w:pPr>
        <w:pBdr>
          <w:top w:val="nil"/>
          <w:left w:val="nil"/>
          <w:bottom w:val="nil"/>
          <w:right w:val="nil"/>
          <w:between w:val="nil"/>
        </w:pBdr>
        <w:spacing w:after="0" w:line="240" w:lineRule="auto"/>
        <w:jc w:val="both"/>
        <w:rPr>
          <w:rFonts w:ascii="Arial" w:eastAsia="Arial" w:hAnsi="Arial" w:cs="Arial"/>
          <w:b/>
        </w:rPr>
      </w:pPr>
      <w:r>
        <w:rPr>
          <w:rFonts w:ascii="Arial" w:eastAsia="Arial" w:hAnsi="Arial" w:cs="Arial"/>
          <w:b/>
        </w:rPr>
        <w:t xml:space="preserve">Sobre la competencia de la Comisión para conocer la denuncia interpuesta por </w:t>
      </w:r>
      <w:r w:rsidRPr="0033320A">
        <w:rPr>
          <w:rFonts w:ascii="Arial" w:eastAsia="Arial" w:hAnsi="Arial" w:cs="Arial"/>
          <w:b/>
          <w:highlight w:val="cyan"/>
        </w:rPr>
        <w:t>el señor Arango</w:t>
      </w:r>
    </w:p>
    <w:p w14:paraId="5C17F15E" w14:textId="77777777" w:rsidR="008A56C2" w:rsidRDefault="008A56C2">
      <w:pPr>
        <w:pBdr>
          <w:top w:val="nil"/>
          <w:left w:val="nil"/>
          <w:bottom w:val="nil"/>
          <w:right w:val="nil"/>
          <w:between w:val="nil"/>
        </w:pBdr>
        <w:spacing w:after="0" w:line="240" w:lineRule="auto"/>
        <w:jc w:val="both"/>
        <w:rPr>
          <w:rFonts w:ascii="Arial" w:eastAsia="Arial" w:hAnsi="Arial" w:cs="Arial"/>
          <w:b/>
        </w:rPr>
      </w:pPr>
    </w:p>
    <w:p w14:paraId="1D93799E" w14:textId="77777777" w:rsidR="008A56C2" w:rsidRDefault="003D4B16">
      <w:pPr>
        <w:numPr>
          <w:ilvl w:val="1"/>
          <w:numId w:val="9"/>
        </w:numPr>
        <w:pBdr>
          <w:top w:val="nil"/>
          <w:left w:val="nil"/>
          <w:bottom w:val="nil"/>
          <w:right w:val="nil"/>
          <w:between w:val="nil"/>
        </w:pBdr>
        <w:spacing w:after="0" w:line="240" w:lineRule="auto"/>
        <w:ind w:left="567" w:hanging="567"/>
        <w:jc w:val="both"/>
        <w:rPr>
          <w:rFonts w:ascii="Arial" w:eastAsia="Arial" w:hAnsi="Arial" w:cs="Arial"/>
        </w:rPr>
      </w:pPr>
      <w:r>
        <w:rPr>
          <w:rFonts w:ascii="Arial" w:eastAsia="Arial" w:hAnsi="Arial" w:cs="Arial"/>
        </w:rPr>
        <w:t xml:space="preserve">El principio de legalidad contenido en el artículo IV del Texto Único Ordenado de la Ley N° 27444, Ley del Procedimiento Administrativo General (en adelante, TUO de la LPAG), establece que las autoridades administrativas deben actuar con respeto a la Constitución Política del Perú, la Ley y el derecho dentro de las facultades que le estén atribuidas y de </w:t>
      </w:r>
      <w:r>
        <w:rPr>
          <w:rFonts w:ascii="Arial" w:eastAsia="Arial" w:hAnsi="Arial" w:cs="Arial"/>
        </w:rPr>
        <w:lastRenderedPageBreak/>
        <w:t>acuerdo con los fines que les fueron conferidas</w:t>
      </w:r>
      <w:r>
        <w:rPr>
          <w:rFonts w:ascii="Arial" w:eastAsia="Arial" w:hAnsi="Arial" w:cs="Arial"/>
          <w:vertAlign w:val="superscript"/>
        </w:rPr>
        <w:footnoteReference w:id="3"/>
      </w:r>
      <w:r>
        <w:rPr>
          <w:rFonts w:ascii="Arial" w:eastAsia="Arial" w:hAnsi="Arial" w:cs="Arial"/>
        </w:rPr>
        <w:t>. En atención a ello, la autoridad administrativa tiene competencia para conocer aquellas materias que le hayan sido expresamente delegadas.</w:t>
      </w:r>
    </w:p>
    <w:p w14:paraId="3DAD6D67" w14:textId="77777777" w:rsidR="008A56C2" w:rsidRDefault="008A56C2">
      <w:pPr>
        <w:pBdr>
          <w:top w:val="nil"/>
          <w:left w:val="nil"/>
          <w:bottom w:val="nil"/>
          <w:right w:val="nil"/>
          <w:between w:val="nil"/>
        </w:pBdr>
        <w:tabs>
          <w:tab w:val="left" w:pos="567"/>
        </w:tabs>
        <w:spacing w:after="0" w:line="240" w:lineRule="auto"/>
        <w:ind w:left="567"/>
        <w:jc w:val="both"/>
        <w:rPr>
          <w:rFonts w:ascii="Arial" w:eastAsia="Arial" w:hAnsi="Arial" w:cs="Arial"/>
          <w:highlight w:val="cyan"/>
        </w:rPr>
      </w:pPr>
    </w:p>
    <w:p w14:paraId="414ADB70" w14:textId="77777777" w:rsidR="008A56C2" w:rsidRDefault="003D4B16">
      <w:pPr>
        <w:numPr>
          <w:ilvl w:val="1"/>
          <w:numId w:val="9"/>
        </w:numPr>
        <w:pBdr>
          <w:top w:val="nil"/>
          <w:left w:val="nil"/>
          <w:bottom w:val="nil"/>
          <w:right w:val="nil"/>
          <w:between w:val="nil"/>
        </w:pBdr>
        <w:tabs>
          <w:tab w:val="left" w:pos="567"/>
        </w:tabs>
        <w:spacing w:after="0" w:line="240" w:lineRule="auto"/>
        <w:ind w:left="567" w:hanging="567"/>
        <w:jc w:val="both"/>
        <w:rPr>
          <w:rFonts w:ascii="Arial" w:eastAsia="Arial" w:hAnsi="Arial" w:cs="Arial"/>
        </w:rPr>
      </w:pPr>
      <w:r>
        <w:rPr>
          <w:rFonts w:ascii="Arial" w:eastAsia="Arial" w:hAnsi="Arial" w:cs="Arial"/>
        </w:rPr>
        <w:t>El artículo 72° del TUO de la LPAG</w:t>
      </w:r>
      <w:r>
        <w:rPr>
          <w:rFonts w:ascii="Arial" w:eastAsia="Arial" w:hAnsi="Arial" w:cs="Arial"/>
          <w:vertAlign w:val="superscript"/>
        </w:rPr>
        <w:footnoteReference w:id="4"/>
      </w:r>
      <w:r>
        <w:rPr>
          <w:rFonts w:ascii="Arial" w:eastAsia="Arial" w:hAnsi="Arial" w:cs="Arial"/>
        </w:rPr>
        <w:t>, refiere acerca de la competencia de las entidades administrativas, que aquella tiene su fuente en la Constitución y la Ley, y es reglamentada por las normas administrativas que emanan de ellas.</w:t>
      </w:r>
    </w:p>
    <w:p w14:paraId="6FD13B6A" w14:textId="77777777" w:rsidR="008A56C2" w:rsidRDefault="008A56C2">
      <w:pPr>
        <w:tabs>
          <w:tab w:val="left" w:pos="567"/>
        </w:tabs>
        <w:spacing w:after="0" w:line="240" w:lineRule="auto"/>
        <w:jc w:val="both"/>
        <w:rPr>
          <w:rFonts w:ascii="Arial" w:eastAsia="Arial" w:hAnsi="Arial" w:cs="Arial"/>
        </w:rPr>
      </w:pPr>
    </w:p>
    <w:p w14:paraId="48E148A5" w14:textId="77777777" w:rsidR="008A56C2" w:rsidRDefault="003D4B16">
      <w:pPr>
        <w:numPr>
          <w:ilvl w:val="1"/>
          <w:numId w:val="9"/>
        </w:numPr>
        <w:pBdr>
          <w:top w:val="nil"/>
          <w:left w:val="nil"/>
          <w:bottom w:val="nil"/>
          <w:right w:val="nil"/>
          <w:between w:val="nil"/>
        </w:pBdr>
        <w:tabs>
          <w:tab w:val="left" w:pos="567"/>
        </w:tabs>
        <w:spacing w:after="0" w:line="240" w:lineRule="auto"/>
        <w:ind w:left="567" w:hanging="567"/>
        <w:jc w:val="both"/>
        <w:rPr>
          <w:rFonts w:ascii="Arial" w:eastAsia="Arial" w:hAnsi="Arial" w:cs="Arial"/>
        </w:rPr>
      </w:pPr>
      <w:r>
        <w:rPr>
          <w:rFonts w:ascii="Arial" w:eastAsia="Arial" w:hAnsi="Arial" w:cs="Arial"/>
        </w:rPr>
        <w:t>El numeral 1 del artículo 3° del TUO de la LPAG</w:t>
      </w:r>
      <w:r>
        <w:rPr>
          <w:rFonts w:ascii="Arial" w:eastAsia="Arial" w:hAnsi="Arial" w:cs="Arial"/>
          <w:vertAlign w:val="superscript"/>
        </w:rPr>
        <w:footnoteReference w:id="5"/>
      </w:r>
      <w:r>
        <w:rPr>
          <w:rFonts w:ascii="Arial" w:eastAsia="Arial" w:hAnsi="Arial" w:cs="Arial"/>
        </w:rPr>
        <w:t>, establece como uno de los requisitos de la validez del acto administrativo, la competencia que debe tener el órgano administrativo que emite dicho acto, sea aquella en razón de la materia, cuantía, grado o territorio, la cual se determinará en función de la pretensión formulada por los administrados.</w:t>
      </w:r>
    </w:p>
    <w:p w14:paraId="05ACB497" w14:textId="77777777" w:rsidR="008A56C2" w:rsidRDefault="008A56C2">
      <w:pPr>
        <w:pBdr>
          <w:top w:val="nil"/>
          <w:left w:val="nil"/>
          <w:bottom w:val="nil"/>
          <w:right w:val="nil"/>
          <w:between w:val="nil"/>
        </w:pBdr>
        <w:tabs>
          <w:tab w:val="left" w:pos="567"/>
        </w:tabs>
        <w:spacing w:after="0" w:line="240" w:lineRule="auto"/>
        <w:ind w:left="567"/>
        <w:jc w:val="both"/>
        <w:rPr>
          <w:rFonts w:ascii="Arial" w:eastAsia="Arial" w:hAnsi="Arial" w:cs="Arial"/>
          <w:highlight w:val="cyan"/>
        </w:rPr>
      </w:pPr>
    </w:p>
    <w:p w14:paraId="4D98C5BE" w14:textId="77777777" w:rsidR="008A56C2" w:rsidRDefault="003D4B16">
      <w:pPr>
        <w:numPr>
          <w:ilvl w:val="1"/>
          <w:numId w:val="9"/>
        </w:numPr>
        <w:pBdr>
          <w:top w:val="nil"/>
          <w:left w:val="nil"/>
          <w:bottom w:val="nil"/>
          <w:right w:val="nil"/>
          <w:between w:val="nil"/>
        </w:pBdr>
        <w:tabs>
          <w:tab w:val="left" w:pos="567"/>
        </w:tabs>
        <w:spacing w:after="0" w:line="240" w:lineRule="auto"/>
        <w:ind w:left="567" w:hanging="567"/>
        <w:jc w:val="both"/>
        <w:rPr>
          <w:rFonts w:ascii="Arial" w:eastAsia="Arial" w:hAnsi="Arial" w:cs="Arial"/>
        </w:rPr>
      </w:pPr>
      <w:r>
        <w:rPr>
          <w:rFonts w:ascii="Arial" w:eastAsia="Arial" w:hAnsi="Arial" w:cs="Arial"/>
        </w:rPr>
        <w:t>Asimismo, conforme lo dispone el artículo 91° del TUO de la LPAG</w:t>
      </w:r>
      <w:r>
        <w:rPr>
          <w:rFonts w:ascii="Arial" w:eastAsia="Arial" w:hAnsi="Arial" w:cs="Arial"/>
          <w:vertAlign w:val="superscript"/>
        </w:rPr>
        <w:footnoteReference w:id="6"/>
      </w:r>
      <w:r>
        <w:rPr>
          <w:rFonts w:ascii="Arial" w:eastAsia="Arial" w:hAnsi="Arial" w:cs="Arial"/>
        </w:rPr>
        <w:t>, para iniciar un procedimiento, la autoridad administrativa debe asegurarse de oficio su competencia para proseguir con el normal desarrollo del procedimiento, sea por cuestión de materia, cuantía, entre otros.</w:t>
      </w:r>
    </w:p>
    <w:p w14:paraId="78E6EF66" w14:textId="77777777" w:rsidR="008A56C2" w:rsidRDefault="008A56C2">
      <w:pPr>
        <w:pBdr>
          <w:top w:val="nil"/>
          <w:left w:val="nil"/>
          <w:bottom w:val="nil"/>
          <w:right w:val="nil"/>
          <w:between w:val="nil"/>
        </w:pBdr>
        <w:tabs>
          <w:tab w:val="left" w:pos="567"/>
        </w:tabs>
        <w:spacing w:after="0" w:line="240" w:lineRule="auto"/>
        <w:ind w:left="567"/>
        <w:jc w:val="both"/>
        <w:rPr>
          <w:rFonts w:ascii="Arial" w:eastAsia="Arial" w:hAnsi="Arial" w:cs="Arial"/>
          <w:highlight w:val="cyan"/>
        </w:rPr>
      </w:pPr>
    </w:p>
    <w:p w14:paraId="4E7B130A" w14:textId="77777777" w:rsidR="008A56C2" w:rsidRDefault="003D4B16">
      <w:pPr>
        <w:numPr>
          <w:ilvl w:val="1"/>
          <w:numId w:val="9"/>
        </w:numPr>
        <w:pBdr>
          <w:top w:val="nil"/>
          <w:left w:val="nil"/>
          <w:bottom w:val="nil"/>
          <w:right w:val="nil"/>
          <w:between w:val="nil"/>
        </w:pBdr>
        <w:tabs>
          <w:tab w:val="left" w:pos="567"/>
        </w:tabs>
        <w:spacing w:after="0" w:line="240" w:lineRule="auto"/>
        <w:ind w:left="567" w:hanging="567"/>
        <w:jc w:val="both"/>
        <w:rPr>
          <w:rFonts w:ascii="Arial" w:eastAsia="Arial" w:hAnsi="Arial" w:cs="Arial"/>
        </w:rPr>
      </w:pPr>
      <w:r>
        <w:rPr>
          <w:rFonts w:ascii="Arial" w:eastAsia="Arial" w:hAnsi="Arial" w:cs="Arial"/>
        </w:rPr>
        <w:lastRenderedPageBreak/>
        <w:t>Según lo establecido por el artículo 93° del TUO de la LPAG</w:t>
      </w:r>
      <w:r>
        <w:rPr>
          <w:rFonts w:ascii="Arial" w:eastAsia="Arial" w:hAnsi="Arial" w:cs="Arial"/>
          <w:vertAlign w:val="superscript"/>
        </w:rPr>
        <w:footnoteReference w:id="7"/>
      </w:r>
      <w:r>
        <w:rPr>
          <w:rFonts w:ascii="Arial" w:eastAsia="Arial" w:hAnsi="Arial" w:cs="Arial"/>
        </w:rPr>
        <w:t>, en el supuesto en que el órgano administrativo advierta su incompetencia para la tramitación de un procedimiento, deberá remitir todo lo actuado al órgano competente para conocer los hechos materia del procedimiento.</w:t>
      </w:r>
    </w:p>
    <w:p w14:paraId="6296518E" w14:textId="77777777" w:rsidR="008A56C2" w:rsidRDefault="008A56C2">
      <w:pPr>
        <w:spacing w:after="0" w:line="240" w:lineRule="auto"/>
        <w:ind w:left="567"/>
        <w:jc w:val="both"/>
        <w:rPr>
          <w:rFonts w:ascii="Arial" w:eastAsia="Arial" w:hAnsi="Arial" w:cs="Arial"/>
          <w:highlight w:val="cyan"/>
        </w:rPr>
      </w:pPr>
    </w:p>
    <w:p w14:paraId="3BC39625" w14:textId="77777777" w:rsidR="008A56C2" w:rsidRDefault="003D4B16">
      <w:pPr>
        <w:numPr>
          <w:ilvl w:val="1"/>
          <w:numId w:val="9"/>
        </w:numPr>
        <w:pBdr>
          <w:top w:val="nil"/>
          <w:left w:val="nil"/>
          <w:bottom w:val="nil"/>
          <w:right w:val="nil"/>
          <w:between w:val="nil"/>
        </w:pBdr>
        <w:tabs>
          <w:tab w:val="left" w:pos="567"/>
        </w:tabs>
        <w:spacing w:after="0" w:line="240" w:lineRule="auto"/>
        <w:ind w:left="567" w:hanging="567"/>
        <w:jc w:val="both"/>
        <w:rPr>
          <w:rFonts w:ascii="Arial" w:eastAsia="Arial" w:hAnsi="Arial" w:cs="Arial"/>
        </w:rPr>
      </w:pPr>
      <w:r>
        <w:rPr>
          <w:rFonts w:ascii="Arial" w:eastAsia="Arial" w:hAnsi="Arial" w:cs="Arial"/>
        </w:rPr>
        <w:t>El artículo 105° del Código establece que el Indecopi es la autoridad con competencia primaria y de alcance nacional para conocer las presuntas infracciones a las disposiciones contenidas en el Código, así como para imponer las sanciones y medidas correctivas establecidas, conforme al Decreto Legislativo N° 1033, Ley de Organización y Funciones del Indecopi (en adelante, Decreto Legislativo N° 1033). Asimismo, en la referida norma se señala que dicha competencia solo puede ser negada cuando ella haya sido asignada o se asigne a favor de otro organismo por norma expresa con rango de ley</w:t>
      </w:r>
      <w:r>
        <w:rPr>
          <w:rFonts w:ascii="Arial" w:eastAsia="Arial" w:hAnsi="Arial" w:cs="Arial"/>
          <w:vertAlign w:val="superscript"/>
        </w:rPr>
        <w:footnoteReference w:id="8"/>
      </w:r>
      <w:r>
        <w:rPr>
          <w:rFonts w:ascii="Arial" w:eastAsia="Arial" w:hAnsi="Arial" w:cs="Arial"/>
        </w:rPr>
        <w:t>.</w:t>
      </w:r>
    </w:p>
    <w:p w14:paraId="5963CFF3" w14:textId="77777777" w:rsidR="008A56C2" w:rsidRDefault="008A56C2">
      <w:pPr>
        <w:pBdr>
          <w:top w:val="nil"/>
          <w:left w:val="nil"/>
          <w:bottom w:val="nil"/>
          <w:right w:val="nil"/>
          <w:between w:val="nil"/>
        </w:pBdr>
        <w:tabs>
          <w:tab w:val="left" w:pos="567"/>
        </w:tabs>
        <w:spacing w:after="0" w:line="240" w:lineRule="auto"/>
        <w:ind w:left="567"/>
        <w:jc w:val="both"/>
        <w:rPr>
          <w:rFonts w:ascii="Arial" w:eastAsia="Arial" w:hAnsi="Arial" w:cs="Arial"/>
        </w:rPr>
      </w:pPr>
    </w:p>
    <w:p w14:paraId="652D7431" w14:textId="77777777" w:rsidR="008A56C2" w:rsidRDefault="003D4B16">
      <w:pPr>
        <w:numPr>
          <w:ilvl w:val="1"/>
          <w:numId w:val="9"/>
        </w:numPr>
        <w:pBdr>
          <w:top w:val="nil"/>
          <w:left w:val="nil"/>
          <w:bottom w:val="nil"/>
          <w:right w:val="nil"/>
          <w:between w:val="nil"/>
        </w:pBdr>
        <w:tabs>
          <w:tab w:val="left" w:pos="567"/>
        </w:tabs>
        <w:spacing w:after="0" w:line="240" w:lineRule="auto"/>
        <w:ind w:left="567" w:hanging="567"/>
        <w:jc w:val="both"/>
        <w:rPr>
          <w:rFonts w:ascii="Arial" w:eastAsia="Arial" w:hAnsi="Arial" w:cs="Arial"/>
        </w:rPr>
      </w:pPr>
      <w:r>
        <w:rPr>
          <w:rFonts w:ascii="Arial" w:eastAsia="Arial" w:hAnsi="Arial" w:cs="Arial"/>
        </w:rPr>
        <w:t>Además, de acuerdo a lo establecido en el artículo 125° del Código</w:t>
      </w:r>
      <w:r>
        <w:rPr>
          <w:rFonts w:ascii="Arial" w:eastAsia="Arial" w:hAnsi="Arial" w:cs="Arial"/>
          <w:vertAlign w:val="superscript"/>
        </w:rPr>
        <w:footnoteReference w:id="9"/>
      </w:r>
      <w:r>
        <w:rPr>
          <w:rFonts w:ascii="Arial" w:eastAsia="Arial" w:hAnsi="Arial" w:cs="Arial"/>
        </w:rPr>
        <w:t xml:space="preserve"> sobre la determinación de la competencia asignada a los OPS, se pueden resumir las reglas de competencia de la siguiente manera:</w:t>
      </w:r>
    </w:p>
    <w:p w14:paraId="06CD5BA3" w14:textId="77777777" w:rsidR="00BA3650" w:rsidRDefault="00BA3650" w:rsidP="00BA3650">
      <w:pPr>
        <w:pStyle w:val="Prrafodelista"/>
        <w:rPr>
          <w:rFonts w:ascii="Arial" w:eastAsia="Arial" w:hAnsi="Arial" w:cs="Arial"/>
        </w:rPr>
      </w:pPr>
    </w:p>
    <w:p w14:paraId="6BA72899" w14:textId="77777777" w:rsidR="00BA3650" w:rsidRDefault="00BA3650" w:rsidP="00BA3650">
      <w:pPr>
        <w:pBdr>
          <w:top w:val="nil"/>
          <w:left w:val="nil"/>
          <w:bottom w:val="nil"/>
          <w:right w:val="nil"/>
          <w:between w:val="nil"/>
        </w:pBdr>
        <w:tabs>
          <w:tab w:val="left" w:pos="567"/>
        </w:tabs>
        <w:spacing w:after="0" w:line="240" w:lineRule="auto"/>
        <w:ind w:left="567"/>
        <w:jc w:val="both"/>
        <w:rPr>
          <w:rFonts w:ascii="Arial" w:eastAsia="Arial" w:hAnsi="Arial" w:cs="Arial"/>
        </w:rPr>
      </w:pPr>
    </w:p>
    <w:tbl>
      <w:tblPr>
        <w:tblStyle w:val="a0"/>
        <w:tblW w:w="7852" w:type="dxa"/>
        <w:tblInd w:w="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15"/>
        <w:gridCol w:w="3017"/>
        <w:gridCol w:w="3020"/>
      </w:tblGrid>
      <w:tr w:rsidR="008A56C2" w14:paraId="0AA0AB53" w14:textId="77777777">
        <w:trPr>
          <w:trHeight w:val="409"/>
        </w:trPr>
        <w:tc>
          <w:tcPr>
            <w:tcW w:w="1815" w:type="dxa"/>
            <w:tcBorders>
              <w:top w:val="nil"/>
              <w:left w:val="nil"/>
            </w:tcBorders>
          </w:tcPr>
          <w:p w14:paraId="1BCF709E" w14:textId="77777777" w:rsidR="008A56C2" w:rsidRDefault="008A56C2">
            <w:pPr>
              <w:rPr>
                <w:rFonts w:ascii="Arial" w:eastAsia="Arial" w:hAnsi="Arial" w:cs="Arial"/>
                <w:sz w:val="18"/>
                <w:szCs w:val="18"/>
              </w:rPr>
            </w:pPr>
          </w:p>
        </w:tc>
        <w:tc>
          <w:tcPr>
            <w:tcW w:w="3017" w:type="dxa"/>
            <w:shd w:val="clear" w:color="auto" w:fill="D9D9D9"/>
          </w:tcPr>
          <w:p w14:paraId="002017B2" w14:textId="77777777" w:rsidR="008A56C2" w:rsidRDefault="008A56C2">
            <w:pPr>
              <w:rPr>
                <w:rFonts w:ascii="Arial" w:eastAsia="Arial" w:hAnsi="Arial" w:cs="Arial"/>
                <w:sz w:val="15"/>
                <w:szCs w:val="15"/>
              </w:rPr>
            </w:pPr>
          </w:p>
          <w:p w14:paraId="6A39C747" w14:textId="77777777" w:rsidR="008A56C2" w:rsidRDefault="003D4B16">
            <w:pPr>
              <w:ind w:left="1101" w:right="543" w:hanging="533"/>
              <w:rPr>
                <w:rFonts w:ascii="Arial" w:eastAsia="Arial" w:hAnsi="Arial" w:cs="Arial"/>
                <w:b/>
                <w:sz w:val="16"/>
                <w:szCs w:val="16"/>
              </w:rPr>
            </w:pPr>
            <w:r>
              <w:rPr>
                <w:rFonts w:ascii="Arial" w:eastAsia="Arial" w:hAnsi="Arial" w:cs="Arial"/>
                <w:b/>
                <w:sz w:val="16"/>
                <w:szCs w:val="16"/>
              </w:rPr>
              <w:t>Procedimiento Ordinario COMISIÓN</w:t>
            </w:r>
          </w:p>
        </w:tc>
        <w:tc>
          <w:tcPr>
            <w:tcW w:w="3020" w:type="dxa"/>
            <w:shd w:val="clear" w:color="auto" w:fill="D9D9D9"/>
          </w:tcPr>
          <w:p w14:paraId="459ED0CD" w14:textId="77777777" w:rsidR="008A56C2" w:rsidRDefault="008A56C2">
            <w:pPr>
              <w:rPr>
                <w:rFonts w:ascii="Arial" w:eastAsia="Arial" w:hAnsi="Arial" w:cs="Arial"/>
                <w:sz w:val="15"/>
                <w:szCs w:val="15"/>
              </w:rPr>
            </w:pPr>
          </w:p>
          <w:p w14:paraId="78BD20CF" w14:textId="77777777" w:rsidR="008A56C2" w:rsidRDefault="003D4B16">
            <w:pPr>
              <w:ind w:left="1281" w:right="446" w:hanging="809"/>
              <w:rPr>
                <w:rFonts w:ascii="Arial" w:eastAsia="Arial" w:hAnsi="Arial" w:cs="Arial"/>
                <w:b/>
                <w:sz w:val="16"/>
                <w:szCs w:val="16"/>
              </w:rPr>
            </w:pPr>
            <w:r>
              <w:rPr>
                <w:rFonts w:ascii="Arial" w:eastAsia="Arial" w:hAnsi="Arial" w:cs="Arial"/>
                <w:b/>
                <w:sz w:val="16"/>
                <w:szCs w:val="16"/>
              </w:rPr>
              <w:t>Procedimiento Sumarísimo OPS</w:t>
            </w:r>
          </w:p>
        </w:tc>
      </w:tr>
      <w:tr w:rsidR="008A56C2" w14:paraId="19FF2520" w14:textId="77777777">
        <w:trPr>
          <w:trHeight w:val="921"/>
        </w:trPr>
        <w:tc>
          <w:tcPr>
            <w:tcW w:w="1815" w:type="dxa"/>
            <w:shd w:val="clear" w:color="auto" w:fill="D9D9D9"/>
          </w:tcPr>
          <w:p w14:paraId="50D94806" w14:textId="77777777" w:rsidR="008A56C2" w:rsidRDefault="008A56C2">
            <w:pPr>
              <w:jc w:val="both"/>
              <w:rPr>
                <w:rFonts w:ascii="Arial" w:eastAsia="Arial" w:hAnsi="Arial" w:cs="Arial"/>
                <w:sz w:val="16"/>
                <w:szCs w:val="16"/>
              </w:rPr>
            </w:pPr>
          </w:p>
          <w:p w14:paraId="3AACE2D9" w14:textId="77777777" w:rsidR="008A56C2" w:rsidRDefault="003D4B16">
            <w:pPr>
              <w:ind w:left="107"/>
              <w:jc w:val="both"/>
              <w:rPr>
                <w:rFonts w:ascii="Arial" w:eastAsia="Arial" w:hAnsi="Arial" w:cs="Arial"/>
                <w:b/>
                <w:sz w:val="16"/>
                <w:szCs w:val="16"/>
              </w:rPr>
            </w:pPr>
            <w:r>
              <w:rPr>
                <w:rFonts w:ascii="Arial" w:eastAsia="Arial" w:hAnsi="Arial" w:cs="Arial"/>
                <w:b/>
                <w:sz w:val="16"/>
                <w:szCs w:val="16"/>
              </w:rPr>
              <w:t>PRIMERA REGLA:</w:t>
            </w:r>
          </w:p>
          <w:p w14:paraId="1587826A" w14:textId="77777777" w:rsidR="008A56C2" w:rsidRDefault="003D4B16">
            <w:pPr>
              <w:ind w:left="107" w:right="166"/>
              <w:jc w:val="both"/>
              <w:rPr>
                <w:rFonts w:ascii="Arial" w:eastAsia="Arial" w:hAnsi="Arial" w:cs="Arial"/>
                <w:b/>
                <w:sz w:val="16"/>
                <w:szCs w:val="16"/>
              </w:rPr>
            </w:pPr>
            <w:r>
              <w:rPr>
                <w:rFonts w:ascii="Arial" w:eastAsia="Arial" w:hAnsi="Arial" w:cs="Arial"/>
                <w:b/>
                <w:sz w:val="16"/>
                <w:szCs w:val="16"/>
              </w:rPr>
              <w:t>Por la naturaleza de los intereses en juicio</w:t>
            </w:r>
          </w:p>
        </w:tc>
        <w:tc>
          <w:tcPr>
            <w:tcW w:w="3017" w:type="dxa"/>
          </w:tcPr>
          <w:p w14:paraId="0AA2DF59" w14:textId="77777777" w:rsidR="008A56C2" w:rsidRDefault="008A56C2">
            <w:pPr>
              <w:rPr>
                <w:rFonts w:ascii="Arial" w:eastAsia="Arial" w:hAnsi="Arial" w:cs="Arial"/>
                <w:sz w:val="16"/>
                <w:szCs w:val="16"/>
              </w:rPr>
            </w:pPr>
          </w:p>
          <w:p w14:paraId="255F0DB5" w14:textId="77777777" w:rsidR="008A56C2" w:rsidRDefault="003D4B16">
            <w:pPr>
              <w:numPr>
                <w:ilvl w:val="0"/>
                <w:numId w:val="3"/>
              </w:numPr>
              <w:tabs>
                <w:tab w:val="left" w:pos="281"/>
              </w:tabs>
              <w:ind w:right="96"/>
              <w:rPr>
                <w:rFonts w:ascii="Arial" w:eastAsia="Arial" w:hAnsi="Arial" w:cs="Arial"/>
                <w:sz w:val="16"/>
                <w:szCs w:val="16"/>
              </w:rPr>
            </w:pPr>
            <w:r>
              <w:rPr>
                <w:rFonts w:ascii="Arial" w:eastAsia="Arial" w:hAnsi="Arial" w:cs="Arial"/>
                <w:sz w:val="16"/>
                <w:szCs w:val="16"/>
              </w:rPr>
              <w:t>Conductas que afectan intereses particulares.</w:t>
            </w:r>
          </w:p>
          <w:p w14:paraId="4A9DB152" w14:textId="77777777" w:rsidR="008A56C2" w:rsidRDefault="003D4B16">
            <w:pPr>
              <w:numPr>
                <w:ilvl w:val="0"/>
                <w:numId w:val="3"/>
              </w:numPr>
              <w:tabs>
                <w:tab w:val="left" w:pos="281"/>
              </w:tabs>
              <w:ind w:right="96"/>
              <w:rPr>
                <w:rFonts w:ascii="Arial" w:eastAsia="Arial" w:hAnsi="Arial" w:cs="Arial"/>
                <w:sz w:val="16"/>
                <w:szCs w:val="16"/>
              </w:rPr>
            </w:pPr>
            <w:r>
              <w:rPr>
                <w:rFonts w:ascii="Arial" w:eastAsia="Arial" w:hAnsi="Arial" w:cs="Arial"/>
                <w:sz w:val="16"/>
                <w:szCs w:val="16"/>
              </w:rPr>
              <w:t>Conductas que afectan intereses difusos o colectivos.</w:t>
            </w:r>
          </w:p>
        </w:tc>
        <w:tc>
          <w:tcPr>
            <w:tcW w:w="3020" w:type="dxa"/>
          </w:tcPr>
          <w:p w14:paraId="1EA86517" w14:textId="77777777" w:rsidR="008A56C2" w:rsidRDefault="008A56C2">
            <w:pPr>
              <w:rPr>
                <w:rFonts w:ascii="Arial" w:eastAsia="Arial" w:hAnsi="Arial" w:cs="Arial"/>
                <w:sz w:val="16"/>
                <w:szCs w:val="16"/>
              </w:rPr>
            </w:pPr>
          </w:p>
          <w:p w14:paraId="3D3AF614" w14:textId="77777777" w:rsidR="008A56C2" w:rsidRDefault="003D4B16">
            <w:pPr>
              <w:ind w:left="107" w:right="446"/>
              <w:rPr>
                <w:rFonts w:ascii="Arial" w:eastAsia="Arial" w:hAnsi="Arial" w:cs="Arial"/>
                <w:sz w:val="16"/>
                <w:szCs w:val="16"/>
              </w:rPr>
            </w:pPr>
            <w:r>
              <w:rPr>
                <w:rFonts w:ascii="Arial" w:eastAsia="Arial" w:hAnsi="Arial" w:cs="Arial"/>
                <w:sz w:val="16"/>
                <w:szCs w:val="16"/>
              </w:rPr>
              <w:t>Conductas que afectan intereses particulares.</w:t>
            </w:r>
          </w:p>
        </w:tc>
      </w:tr>
      <w:tr w:rsidR="008A56C2" w14:paraId="45AAEEE8" w14:textId="77777777">
        <w:trPr>
          <w:trHeight w:val="70"/>
        </w:trPr>
        <w:tc>
          <w:tcPr>
            <w:tcW w:w="1815" w:type="dxa"/>
            <w:tcBorders>
              <w:bottom w:val="nil"/>
            </w:tcBorders>
            <w:shd w:val="clear" w:color="auto" w:fill="D9D9D9"/>
          </w:tcPr>
          <w:p w14:paraId="6C3FF784" w14:textId="77777777" w:rsidR="008A56C2" w:rsidRDefault="008A56C2">
            <w:pPr>
              <w:jc w:val="both"/>
              <w:rPr>
                <w:rFonts w:ascii="Arial" w:eastAsia="Arial" w:hAnsi="Arial" w:cs="Arial"/>
                <w:sz w:val="18"/>
                <w:szCs w:val="18"/>
              </w:rPr>
            </w:pPr>
          </w:p>
        </w:tc>
        <w:tc>
          <w:tcPr>
            <w:tcW w:w="3017" w:type="dxa"/>
            <w:tcBorders>
              <w:bottom w:val="nil"/>
            </w:tcBorders>
          </w:tcPr>
          <w:p w14:paraId="6D077A50" w14:textId="77777777" w:rsidR="008A56C2" w:rsidRDefault="008A56C2">
            <w:pPr>
              <w:rPr>
                <w:rFonts w:ascii="Arial" w:eastAsia="Arial" w:hAnsi="Arial" w:cs="Arial"/>
                <w:sz w:val="15"/>
                <w:szCs w:val="15"/>
              </w:rPr>
            </w:pPr>
          </w:p>
          <w:p w14:paraId="52EC368A" w14:textId="77777777" w:rsidR="008A56C2" w:rsidRDefault="003D4B16">
            <w:pPr>
              <w:ind w:left="105"/>
              <w:rPr>
                <w:rFonts w:ascii="Arial" w:eastAsia="Arial" w:hAnsi="Arial" w:cs="Arial"/>
                <w:sz w:val="16"/>
                <w:szCs w:val="16"/>
              </w:rPr>
            </w:pPr>
            <w:r>
              <w:rPr>
                <w:rFonts w:ascii="Arial" w:eastAsia="Arial" w:hAnsi="Arial" w:cs="Arial"/>
                <w:sz w:val="16"/>
                <w:szCs w:val="16"/>
              </w:rPr>
              <w:t>Denuncias que versan sobre:</w:t>
            </w:r>
          </w:p>
        </w:tc>
        <w:tc>
          <w:tcPr>
            <w:tcW w:w="3020" w:type="dxa"/>
            <w:tcBorders>
              <w:bottom w:val="nil"/>
            </w:tcBorders>
          </w:tcPr>
          <w:p w14:paraId="4AF52021" w14:textId="77777777" w:rsidR="008A56C2" w:rsidRDefault="008A56C2">
            <w:pPr>
              <w:rPr>
                <w:rFonts w:ascii="Arial" w:eastAsia="Arial" w:hAnsi="Arial" w:cs="Arial"/>
                <w:sz w:val="15"/>
                <w:szCs w:val="15"/>
              </w:rPr>
            </w:pPr>
          </w:p>
          <w:p w14:paraId="38DE5D38" w14:textId="77777777" w:rsidR="008A56C2" w:rsidRDefault="003D4B16">
            <w:pPr>
              <w:ind w:left="107"/>
              <w:rPr>
                <w:rFonts w:ascii="Arial" w:eastAsia="Arial" w:hAnsi="Arial" w:cs="Arial"/>
                <w:sz w:val="16"/>
                <w:szCs w:val="16"/>
              </w:rPr>
            </w:pPr>
            <w:r>
              <w:rPr>
                <w:rFonts w:ascii="Arial" w:eastAsia="Arial" w:hAnsi="Arial" w:cs="Arial"/>
                <w:sz w:val="16"/>
                <w:szCs w:val="16"/>
              </w:rPr>
              <w:t>Denuncias que versan sobre:</w:t>
            </w:r>
          </w:p>
        </w:tc>
      </w:tr>
      <w:tr w:rsidR="008A56C2" w14:paraId="779500B9" w14:textId="77777777">
        <w:trPr>
          <w:trHeight w:val="3309"/>
        </w:trPr>
        <w:tc>
          <w:tcPr>
            <w:tcW w:w="1815" w:type="dxa"/>
            <w:tcBorders>
              <w:top w:val="nil"/>
            </w:tcBorders>
            <w:shd w:val="clear" w:color="auto" w:fill="D9D9D9"/>
          </w:tcPr>
          <w:p w14:paraId="499C11A6" w14:textId="77777777" w:rsidR="008A56C2" w:rsidRDefault="003D4B16">
            <w:pPr>
              <w:ind w:left="107"/>
              <w:jc w:val="both"/>
              <w:rPr>
                <w:rFonts w:ascii="Arial" w:eastAsia="Arial" w:hAnsi="Arial" w:cs="Arial"/>
                <w:b/>
                <w:sz w:val="16"/>
                <w:szCs w:val="16"/>
              </w:rPr>
            </w:pPr>
            <w:r>
              <w:rPr>
                <w:rFonts w:ascii="Arial" w:eastAsia="Arial" w:hAnsi="Arial" w:cs="Arial"/>
                <w:b/>
                <w:sz w:val="16"/>
                <w:szCs w:val="16"/>
              </w:rPr>
              <w:t>SEGUNDA REGLA:</w:t>
            </w:r>
          </w:p>
          <w:p w14:paraId="035DDF35" w14:textId="77777777" w:rsidR="008A56C2" w:rsidRDefault="003D4B16">
            <w:pPr>
              <w:ind w:left="107" w:right="619"/>
              <w:jc w:val="both"/>
              <w:rPr>
                <w:rFonts w:ascii="Arial" w:eastAsia="Arial" w:hAnsi="Arial" w:cs="Arial"/>
                <w:b/>
                <w:sz w:val="16"/>
                <w:szCs w:val="16"/>
              </w:rPr>
            </w:pPr>
            <w:r>
              <w:rPr>
                <w:rFonts w:ascii="Arial" w:eastAsia="Arial" w:hAnsi="Arial" w:cs="Arial"/>
                <w:b/>
                <w:sz w:val="16"/>
                <w:szCs w:val="16"/>
              </w:rPr>
              <w:t>Por la materia involucrada.</w:t>
            </w:r>
          </w:p>
        </w:tc>
        <w:tc>
          <w:tcPr>
            <w:tcW w:w="3017" w:type="dxa"/>
            <w:tcBorders>
              <w:top w:val="nil"/>
            </w:tcBorders>
          </w:tcPr>
          <w:p w14:paraId="434895D2" w14:textId="77777777" w:rsidR="008A56C2" w:rsidRDefault="008A56C2">
            <w:pPr>
              <w:rPr>
                <w:rFonts w:ascii="Arial" w:eastAsia="Arial" w:hAnsi="Arial" w:cs="Arial"/>
                <w:sz w:val="15"/>
                <w:szCs w:val="15"/>
              </w:rPr>
            </w:pPr>
          </w:p>
          <w:p w14:paraId="52A88183" w14:textId="77777777" w:rsidR="008A56C2" w:rsidRDefault="003D4B16">
            <w:pPr>
              <w:numPr>
                <w:ilvl w:val="0"/>
                <w:numId w:val="2"/>
              </w:numPr>
              <w:tabs>
                <w:tab w:val="left" w:pos="281"/>
              </w:tabs>
              <w:rPr>
                <w:rFonts w:ascii="Arial" w:eastAsia="Arial" w:hAnsi="Arial" w:cs="Arial"/>
                <w:sz w:val="16"/>
                <w:szCs w:val="16"/>
              </w:rPr>
            </w:pPr>
            <w:r>
              <w:rPr>
                <w:rFonts w:ascii="Arial" w:eastAsia="Arial" w:hAnsi="Arial" w:cs="Arial"/>
                <w:sz w:val="16"/>
                <w:szCs w:val="16"/>
              </w:rPr>
              <w:t>Productos o sustancias peligrosas.</w:t>
            </w:r>
          </w:p>
          <w:p w14:paraId="257D71D5" w14:textId="77777777" w:rsidR="008A56C2" w:rsidRDefault="003D4B16">
            <w:pPr>
              <w:numPr>
                <w:ilvl w:val="0"/>
                <w:numId w:val="2"/>
              </w:numPr>
              <w:tabs>
                <w:tab w:val="left" w:pos="281"/>
              </w:tabs>
              <w:ind w:right="97"/>
              <w:rPr>
                <w:rFonts w:ascii="Arial" w:eastAsia="Arial" w:hAnsi="Arial" w:cs="Arial"/>
                <w:sz w:val="16"/>
                <w:szCs w:val="16"/>
              </w:rPr>
            </w:pPr>
            <w:r>
              <w:rPr>
                <w:rFonts w:ascii="Arial" w:eastAsia="Arial" w:hAnsi="Arial" w:cs="Arial"/>
                <w:sz w:val="16"/>
                <w:szCs w:val="16"/>
              </w:rPr>
              <w:t>Actos de discriminación o trato diferenciado.</w:t>
            </w:r>
          </w:p>
          <w:p w14:paraId="5884B9CA" w14:textId="77777777" w:rsidR="008A56C2" w:rsidRDefault="003D4B16">
            <w:pPr>
              <w:numPr>
                <w:ilvl w:val="0"/>
                <w:numId w:val="2"/>
              </w:numPr>
              <w:tabs>
                <w:tab w:val="left" w:pos="281"/>
              </w:tabs>
              <w:rPr>
                <w:rFonts w:ascii="Arial" w:eastAsia="Arial" w:hAnsi="Arial" w:cs="Arial"/>
                <w:sz w:val="16"/>
                <w:szCs w:val="16"/>
              </w:rPr>
            </w:pPr>
            <w:r>
              <w:rPr>
                <w:rFonts w:ascii="Arial" w:eastAsia="Arial" w:hAnsi="Arial" w:cs="Arial"/>
                <w:sz w:val="16"/>
                <w:szCs w:val="16"/>
              </w:rPr>
              <w:t>Servicios médicos</w:t>
            </w:r>
            <w:r>
              <w:rPr>
                <w:rFonts w:ascii="Arial" w:eastAsia="Arial" w:hAnsi="Arial" w:cs="Arial"/>
                <w:sz w:val="16"/>
                <w:szCs w:val="16"/>
                <w:vertAlign w:val="superscript"/>
              </w:rPr>
              <w:footnoteReference w:id="10"/>
            </w:r>
            <w:r>
              <w:rPr>
                <w:rFonts w:ascii="Arial" w:eastAsia="Arial" w:hAnsi="Arial" w:cs="Arial"/>
                <w:sz w:val="16"/>
                <w:szCs w:val="16"/>
              </w:rPr>
              <w:t>.</w:t>
            </w:r>
          </w:p>
        </w:tc>
        <w:tc>
          <w:tcPr>
            <w:tcW w:w="3020" w:type="dxa"/>
            <w:tcBorders>
              <w:top w:val="nil"/>
            </w:tcBorders>
          </w:tcPr>
          <w:p w14:paraId="76D86A2C" w14:textId="77777777" w:rsidR="008A56C2" w:rsidRDefault="008A56C2">
            <w:pPr>
              <w:rPr>
                <w:rFonts w:ascii="Arial" w:eastAsia="Arial" w:hAnsi="Arial" w:cs="Arial"/>
                <w:sz w:val="15"/>
                <w:szCs w:val="15"/>
              </w:rPr>
            </w:pPr>
          </w:p>
          <w:p w14:paraId="676E1A7C" w14:textId="77777777" w:rsidR="008A56C2" w:rsidRDefault="003D4B16">
            <w:pPr>
              <w:numPr>
                <w:ilvl w:val="0"/>
                <w:numId w:val="1"/>
              </w:numPr>
              <w:tabs>
                <w:tab w:val="left" w:pos="499"/>
                <w:tab w:val="left" w:pos="500"/>
                <w:tab w:val="left" w:pos="1825"/>
                <w:tab w:val="left" w:pos="2252"/>
              </w:tabs>
              <w:ind w:right="97"/>
              <w:rPr>
                <w:rFonts w:ascii="Arial" w:eastAsia="Arial" w:hAnsi="Arial" w:cs="Arial"/>
                <w:sz w:val="16"/>
                <w:szCs w:val="16"/>
              </w:rPr>
            </w:pPr>
            <w:r>
              <w:rPr>
                <w:rFonts w:ascii="Arial" w:eastAsia="Arial" w:hAnsi="Arial" w:cs="Arial"/>
                <w:sz w:val="16"/>
                <w:szCs w:val="16"/>
              </w:rPr>
              <w:t>Incumplimiento</w:t>
            </w:r>
            <w:r>
              <w:rPr>
                <w:rFonts w:ascii="Arial" w:eastAsia="Arial" w:hAnsi="Arial" w:cs="Arial"/>
                <w:sz w:val="16"/>
                <w:szCs w:val="16"/>
              </w:rPr>
              <w:tab/>
              <w:t>de</w:t>
            </w:r>
            <w:r>
              <w:rPr>
                <w:rFonts w:ascii="Arial" w:eastAsia="Arial" w:hAnsi="Arial" w:cs="Arial"/>
                <w:sz w:val="16"/>
                <w:szCs w:val="16"/>
              </w:rPr>
              <w:tab/>
              <w:t>acuerdos conciliatorios.</w:t>
            </w:r>
          </w:p>
          <w:p w14:paraId="05FAF4AC" w14:textId="77777777" w:rsidR="008A56C2" w:rsidRDefault="003D4B16">
            <w:pPr>
              <w:numPr>
                <w:ilvl w:val="0"/>
                <w:numId w:val="1"/>
              </w:numPr>
              <w:tabs>
                <w:tab w:val="left" w:pos="499"/>
                <w:tab w:val="left" w:pos="500"/>
              </w:tabs>
              <w:rPr>
                <w:rFonts w:ascii="Arial" w:eastAsia="Arial" w:hAnsi="Arial" w:cs="Arial"/>
                <w:sz w:val="16"/>
                <w:szCs w:val="16"/>
              </w:rPr>
            </w:pPr>
            <w:r>
              <w:rPr>
                <w:rFonts w:ascii="Arial" w:eastAsia="Arial" w:hAnsi="Arial" w:cs="Arial"/>
                <w:sz w:val="16"/>
                <w:szCs w:val="16"/>
              </w:rPr>
              <w:t>Falta de atención de reclamos.</w:t>
            </w:r>
          </w:p>
          <w:p w14:paraId="07891400" w14:textId="77777777" w:rsidR="008A56C2" w:rsidRDefault="003D4B16">
            <w:pPr>
              <w:numPr>
                <w:ilvl w:val="0"/>
                <w:numId w:val="1"/>
              </w:numPr>
              <w:tabs>
                <w:tab w:val="left" w:pos="499"/>
                <w:tab w:val="left" w:pos="500"/>
              </w:tabs>
              <w:rPr>
                <w:rFonts w:ascii="Arial" w:eastAsia="Arial" w:hAnsi="Arial" w:cs="Arial"/>
                <w:sz w:val="16"/>
                <w:szCs w:val="16"/>
              </w:rPr>
            </w:pPr>
            <w:r>
              <w:rPr>
                <w:rFonts w:ascii="Arial" w:eastAsia="Arial" w:hAnsi="Arial" w:cs="Arial"/>
                <w:sz w:val="16"/>
                <w:szCs w:val="16"/>
              </w:rPr>
              <w:t>Requerimientos de información</w:t>
            </w:r>
          </w:p>
          <w:p w14:paraId="30D0E93E" w14:textId="77777777" w:rsidR="008A56C2" w:rsidRDefault="003D4B16">
            <w:pPr>
              <w:numPr>
                <w:ilvl w:val="0"/>
                <w:numId w:val="1"/>
              </w:numPr>
              <w:tabs>
                <w:tab w:val="left" w:pos="499"/>
                <w:tab w:val="left" w:pos="500"/>
              </w:tabs>
              <w:rPr>
                <w:rFonts w:ascii="Arial" w:eastAsia="Arial" w:hAnsi="Arial" w:cs="Arial"/>
                <w:sz w:val="16"/>
                <w:szCs w:val="16"/>
              </w:rPr>
            </w:pPr>
            <w:r>
              <w:rPr>
                <w:rFonts w:ascii="Arial" w:eastAsia="Arial" w:hAnsi="Arial" w:cs="Arial"/>
                <w:sz w:val="16"/>
                <w:szCs w:val="16"/>
              </w:rPr>
              <w:t>Métodos abusivos de cobranza.</w:t>
            </w:r>
          </w:p>
          <w:p w14:paraId="5990AD90" w14:textId="77777777" w:rsidR="008A56C2" w:rsidRDefault="003D4B16">
            <w:pPr>
              <w:numPr>
                <w:ilvl w:val="0"/>
                <w:numId w:val="1"/>
              </w:numPr>
              <w:tabs>
                <w:tab w:val="left" w:pos="500"/>
              </w:tabs>
              <w:ind w:right="95"/>
              <w:jc w:val="both"/>
              <w:rPr>
                <w:rFonts w:ascii="Arial" w:eastAsia="Arial" w:hAnsi="Arial" w:cs="Arial"/>
                <w:sz w:val="16"/>
                <w:szCs w:val="16"/>
              </w:rPr>
            </w:pPr>
            <w:r>
              <w:rPr>
                <w:rFonts w:ascii="Arial" w:eastAsia="Arial" w:hAnsi="Arial" w:cs="Arial"/>
                <w:sz w:val="16"/>
                <w:szCs w:val="16"/>
              </w:rPr>
              <w:t>Demora y falta de entrega del producto, con independencia de su cuantía.</w:t>
            </w:r>
          </w:p>
          <w:p w14:paraId="1E5F5670" w14:textId="77777777" w:rsidR="008A56C2" w:rsidRDefault="003D4B16">
            <w:pPr>
              <w:numPr>
                <w:ilvl w:val="0"/>
                <w:numId w:val="1"/>
              </w:numPr>
              <w:tabs>
                <w:tab w:val="left" w:pos="500"/>
                <w:tab w:val="left" w:pos="2679"/>
              </w:tabs>
              <w:ind w:right="94"/>
              <w:jc w:val="both"/>
              <w:rPr>
                <w:rFonts w:ascii="Arial" w:eastAsia="Arial" w:hAnsi="Arial" w:cs="Arial"/>
                <w:sz w:val="16"/>
                <w:szCs w:val="16"/>
              </w:rPr>
            </w:pPr>
            <w:r>
              <w:rPr>
                <w:rFonts w:ascii="Arial" w:eastAsia="Arial" w:hAnsi="Arial" w:cs="Arial"/>
                <w:sz w:val="16"/>
                <w:szCs w:val="16"/>
              </w:rPr>
              <w:t>Procedimientos</w:t>
            </w:r>
            <w:r>
              <w:rPr>
                <w:rFonts w:ascii="Arial" w:eastAsia="Arial" w:hAnsi="Arial" w:cs="Arial"/>
                <w:sz w:val="16"/>
                <w:szCs w:val="16"/>
              </w:rPr>
              <w:tab/>
              <w:t>por incumplimiento de medida correctiva.</w:t>
            </w:r>
          </w:p>
          <w:p w14:paraId="4A83DA75" w14:textId="77777777" w:rsidR="008A56C2" w:rsidRDefault="003D4B16">
            <w:pPr>
              <w:numPr>
                <w:ilvl w:val="0"/>
                <w:numId w:val="1"/>
              </w:numPr>
              <w:tabs>
                <w:tab w:val="left" w:pos="500"/>
                <w:tab w:val="left" w:pos="2679"/>
              </w:tabs>
              <w:ind w:right="92"/>
              <w:jc w:val="both"/>
              <w:rPr>
                <w:rFonts w:ascii="Arial" w:eastAsia="Arial" w:hAnsi="Arial" w:cs="Arial"/>
                <w:sz w:val="16"/>
                <w:szCs w:val="16"/>
              </w:rPr>
            </w:pPr>
            <w:r>
              <w:rPr>
                <w:rFonts w:ascii="Arial" w:eastAsia="Arial" w:hAnsi="Arial" w:cs="Arial"/>
                <w:sz w:val="16"/>
                <w:szCs w:val="16"/>
              </w:rPr>
              <w:t>Procedimientos</w:t>
            </w:r>
            <w:r>
              <w:rPr>
                <w:rFonts w:ascii="Arial" w:eastAsia="Arial" w:hAnsi="Arial" w:cs="Arial"/>
                <w:sz w:val="16"/>
                <w:szCs w:val="16"/>
              </w:rPr>
              <w:tab/>
              <w:t>por incumplimiento de medida cautelar.</w:t>
            </w:r>
          </w:p>
          <w:p w14:paraId="3F609731" w14:textId="77777777" w:rsidR="008A56C2" w:rsidRDefault="003D4B16">
            <w:pPr>
              <w:numPr>
                <w:ilvl w:val="0"/>
                <w:numId w:val="1"/>
              </w:numPr>
              <w:tabs>
                <w:tab w:val="left" w:pos="500"/>
              </w:tabs>
              <w:ind w:right="95"/>
              <w:jc w:val="both"/>
              <w:rPr>
                <w:rFonts w:ascii="Arial" w:eastAsia="Arial" w:hAnsi="Arial" w:cs="Arial"/>
                <w:sz w:val="16"/>
                <w:szCs w:val="16"/>
              </w:rPr>
            </w:pPr>
            <w:r>
              <w:rPr>
                <w:rFonts w:ascii="Arial" w:eastAsia="Arial" w:hAnsi="Arial" w:cs="Arial"/>
                <w:sz w:val="16"/>
                <w:szCs w:val="16"/>
              </w:rPr>
              <w:t>Incumplimiento y liquidación de costas y costos.</w:t>
            </w:r>
          </w:p>
        </w:tc>
      </w:tr>
      <w:tr w:rsidR="008A56C2" w14:paraId="20FE8E17" w14:textId="77777777">
        <w:trPr>
          <w:trHeight w:val="606"/>
        </w:trPr>
        <w:tc>
          <w:tcPr>
            <w:tcW w:w="1815" w:type="dxa"/>
            <w:shd w:val="clear" w:color="auto" w:fill="D9D9D9"/>
          </w:tcPr>
          <w:p w14:paraId="2A49B5D0" w14:textId="77777777" w:rsidR="008A56C2" w:rsidRDefault="008A56C2">
            <w:pPr>
              <w:rPr>
                <w:rFonts w:ascii="Arial" w:eastAsia="Arial" w:hAnsi="Arial" w:cs="Arial"/>
                <w:sz w:val="16"/>
                <w:szCs w:val="16"/>
              </w:rPr>
            </w:pPr>
          </w:p>
          <w:p w14:paraId="68D0C919" w14:textId="77777777" w:rsidR="008A56C2" w:rsidRDefault="003D4B16">
            <w:pPr>
              <w:ind w:left="107"/>
              <w:rPr>
                <w:rFonts w:ascii="Arial" w:eastAsia="Arial" w:hAnsi="Arial" w:cs="Arial"/>
                <w:b/>
                <w:sz w:val="16"/>
                <w:szCs w:val="16"/>
              </w:rPr>
            </w:pPr>
            <w:r>
              <w:rPr>
                <w:rFonts w:ascii="Arial" w:eastAsia="Arial" w:hAnsi="Arial" w:cs="Arial"/>
                <w:b/>
                <w:sz w:val="16"/>
                <w:szCs w:val="16"/>
              </w:rPr>
              <w:t>TERCERA REGLA:</w:t>
            </w:r>
          </w:p>
          <w:p w14:paraId="2CBFAA70" w14:textId="77777777" w:rsidR="008A56C2" w:rsidRDefault="003D4B16">
            <w:pPr>
              <w:ind w:left="107"/>
              <w:rPr>
                <w:rFonts w:ascii="Arial" w:eastAsia="Arial" w:hAnsi="Arial" w:cs="Arial"/>
                <w:b/>
                <w:sz w:val="16"/>
                <w:szCs w:val="16"/>
              </w:rPr>
            </w:pPr>
            <w:r>
              <w:rPr>
                <w:rFonts w:ascii="Arial" w:eastAsia="Arial" w:hAnsi="Arial" w:cs="Arial"/>
                <w:b/>
                <w:sz w:val="16"/>
                <w:szCs w:val="16"/>
              </w:rPr>
              <w:t>Por razón de cuantía</w:t>
            </w:r>
          </w:p>
        </w:tc>
        <w:tc>
          <w:tcPr>
            <w:tcW w:w="3017" w:type="dxa"/>
          </w:tcPr>
          <w:p w14:paraId="4FFA42CF" w14:textId="77777777" w:rsidR="008A56C2" w:rsidRDefault="008A56C2">
            <w:pPr>
              <w:rPr>
                <w:rFonts w:ascii="Arial" w:eastAsia="Arial" w:hAnsi="Arial" w:cs="Arial"/>
                <w:sz w:val="16"/>
                <w:szCs w:val="16"/>
              </w:rPr>
            </w:pPr>
          </w:p>
          <w:p w14:paraId="4EE1DAE9" w14:textId="77777777" w:rsidR="008A56C2" w:rsidRDefault="003D4B16">
            <w:pPr>
              <w:numPr>
                <w:ilvl w:val="0"/>
                <w:numId w:val="10"/>
              </w:numPr>
              <w:tabs>
                <w:tab w:val="left" w:pos="281"/>
              </w:tabs>
              <w:ind w:hanging="143"/>
              <w:rPr>
                <w:rFonts w:ascii="Arial" w:eastAsia="Arial" w:hAnsi="Arial" w:cs="Arial"/>
                <w:sz w:val="16"/>
                <w:szCs w:val="16"/>
              </w:rPr>
            </w:pPr>
            <w:r>
              <w:rPr>
                <w:rFonts w:ascii="Arial" w:eastAsia="Arial" w:hAnsi="Arial" w:cs="Arial"/>
                <w:sz w:val="16"/>
                <w:szCs w:val="16"/>
              </w:rPr>
              <w:t>No apreciables en dinero.</w:t>
            </w:r>
          </w:p>
          <w:p w14:paraId="49980312" w14:textId="77777777" w:rsidR="008A56C2" w:rsidRDefault="003D4B16">
            <w:pPr>
              <w:numPr>
                <w:ilvl w:val="0"/>
                <w:numId w:val="10"/>
              </w:numPr>
              <w:tabs>
                <w:tab w:val="left" w:pos="281"/>
              </w:tabs>
              <w:ind w:hanging="143"/>
              <w:rPr>
                <w:rFonts w:ascii="Arial" w:eastAsia="Arial" w:hAnsi="Arial" w:cs="Arial"/>
                <w:sz w:val="16"/>
                <w:szCs w:val="16"/>
              </w:rPr>
            </w:pPr>
            <w:r>
              <w:rPr>
                <w:rFonts w:ascii="Arial" w:eastAsia="Arial" w:hAnsi="Arial" w:cs="Arial"/>
                <w:sz w:val="16"/>
                <w:szCs w:val="16"/>
              </w:rPr>
              <w:t>Valor mayor a 3 UIT</w:t>
            </w:r>
          </w:p>
        </w:tc>
        <w:tc>
          <w:tcPr>
            <w:tcW w:w="3020" w:type="dxa"/>
          </w:tcPr>
          <w:p w14:paraId="67BAAEFD" w14:textId="77777777" w:rsidR="008A56C2" w:rsidRDefault="008A56C2">
            <w:pPr>
              <w:rPr>
                <w:rFonts w:ascii="Arial" w:eastAsia="Arial" w:hAnsi="Arial" w:cs="Arial"/>
                <w:sz w:val="16"/>
                <w:szCs w:val="16"/>
              </w:rPr>
            </w:pPr>
          </w:p>
          <w:p w14:paraId="7FD81DDC" w14:textId="77777777" w:rsidR="008A56C2" w:rsidRDefault="003D4B16">
            <w:pPr>
              <w:ind w:left="107"/>
              <w:rPr>
                <w:rFonts w:ascii="Arial" w:eastAsia="Arial" w:hAnsi="Arial" w:cs="Arial"/>
                <w:sz w:val="16"/>
                <w:szCs w:val="16"/>
              </w:rPr>
            </w:pPr>
            <w:r>
              <w:rPr>
                <w:rFonts w:ascii="Arial" w:eastAsia="Arial" w:hAnsi="Arial" w:cs="Arial"/>
                <w:sz w:val="16"/>
                <w:szCs w:val="16"/>
              </w:rPr>
              <w:t>Menor a 3 UIT</w:t>
            </w:r>
          </w:p>
        </w:tc>
      </w:tr>
    </w:tbl>
    <w:p w14:paraId="609DC3EC" w14:textId="77777777" w:rsidR="008A56C2" w:rsidRDefault="008A56C2">
      <w:pPr>
        <w:widowControl w:val="0"/>
        <w:pBdr>
          <w:top w:val="nil"/>
          <w:left w:val="nil"/>
          <w:bottom w:val="nil"/>
          <w:right w:val="nil"/>
          <w:between w:val="nil"/>
        </w:pBdr>
        <w:tabs>
          <w:tab w:val="left" w:pos="567"/>
        </w:tabs>
        <w:spacing w:after="0" w:line="240" w:lineRule="auto"/>
        <w:ind w:left="567" w:right="103"/>
        <w:jc w:val="both"/>
        <w:rPr>
          <w:rFonts w:ascii="Arial" w:eastAsia="Arial" w:hAnsi="Arial" w:cs="Arial"/>
          <w:highlight w:val="cyan"/>
        </w:rPr>
      </w:pPr>
    </w:p>
    <w:p w14:paraId="1F721E16" w14:textId="77777777" w:rsidR="008A56C2" w:rsidRDefault="003D4B16">
      <w:pPr>
        <w:widowControl w:val="0"/>
        <w:numPr>
          <w:ilvl w:val="0"/>
          <w:numId w:val="4"/>
        </w:numPr>
        <w:pBdr>
          <w:top w:val="nil"/>
          <w:left w:val="nil"/>
          <w:bottom w:val="nil"/>
          <w:right w:val="nil"/>
          <w:between w:val="nil"/>
        </w:pBdr>
        <w:tabs>
          <w:tab w:val="left" w:pos="567"/>
        </w:tabs>
        <w:spacing w:after="0" w:line="240" w:lineRule="auto"/>
        <w:ind w:left="567" w:right="103" w:hanging="567"/>
        <w:jc w:val="both"/>
        <w:rPr>
          <w:rFonts w:ascii="Arial" w:eastAsia="Arial" w:hAnsi="Arial" w:cs="Arial"/>
        </w:rPr>
      </w:pPr>
      <w:r>
        <w:rPr>
          <w:rFonts w:ascii="Arial" w:eastAsia="Arial" w:hAnsi="Arial" w:cs="Arial"/>
        </w:rPr>
        <w:t xml:space="preserve">Conforme puede apreciarse, el artículo 125° del Código establece tres (3) reglas de competencia para determinar la vía procedimental por la cual deberá tramitarse la denuncia formulada por el consumidor (procedimiento sumarísimo a cargo del OPS o procedimiento ordinario a cargo de la Comisión). Estas reglas no se aplican conjuntamente, sino que operan como una suerte de filtro, de tal forma que, si la primera regla no define la competencia, se procede a la segunda regla, y ante una falta de </w:t>
      </w:r>
      <w:r>
        <w:rPr>
          <w:rFonts w:ascii="Arial" w:eastAsia="Arial" w:hAnsi="Arial" w:cs="Arial"/>
        </w:rPr>
        <w:lastRenderedPageBreak/>
        <w:t>definición por      esta regla, se procede a la regla por razón de cuantía.</w:t>
      </w:r>
    </w:p>
    <w:p w14:paraId="77F8F44D" w14:textId="77777777" w:rsidR="008A56C2" w:rsidRDefault="008A56C2">
      <w:pPr>
        <w:pBdr>
          <w:top w:val="nil"/>
          <w:left w:val="nil"/>
          <w:bottom w:val="nil"/>
          <w:right w:val="nil"/>
          <w:between w:val="nil"/>
        </w:pBdr>
        <w:tabs>
          <w:tab w:val="left" w:pos="567"/>
        </w:tabs>
        <w:spacing w:after="0" w:line="240" w:lineRule="auto"/>
        <w:ind w:left="567"/>
        <w:jc w:val="both"/>
        <w:rPr>
          <w:rFonts w:ascii="Arial" w:eastAsia="Arial" w:hAnsi="Arial" w:cs="Arial"/>
          <w:highlight w:val="cyan"/>
        </w:rPr>
      </w:pPr>
    </w:p>
    <w:p w14:paraId="24C124A9" w14:textId="77777777" w:rsidR="008A56C2" w:rsidRDefault="003D4B16">
      <w:pPr>
        <w:pBdr>
          <w:top w:val="nil"/>
          <w:left w:val="nil"/>
          <w:bottom w:val="nil"/>
          <w:right w:val="nil"/>
          <w:between w:val="nil"/>
        </w:pBdr>
        <w:tabs>
          <w:tab w:val="left" w:pos="567"/>
        </w:tabs>
        <w:spacing w:after="0" w:line="240" w:lineRule="auto"/>
        <w:ind w:left="567"/>
        <w:jc w:val="both"/>
        <w:rPr>
          <w:rFonts w:ascii="Arial" w:eastAsia="Arial" w:hAnsi="Arial" w:cs="Arial"/>
          <w:i/>
          <w:u w:val="single"/>
        </w:rPr>
      </w:pPr>
      <w:r>
        <w:rPr>
          <w:rFonts w:ascii="Arial" w:eastAsia="Arial" w:hAnsi="Arial" w:cs="Arial"/>
          <w:i/>
          <w:u w:val="single"/>
        </w:rPr>
        <w:t>Aplicación al caso concreto</w:t>
      </w:r>
    </w:p>
    <w:p w14:paraId="20A83672" w14:textId="77777777" w:rsidR="008A56C2" w:rsidRDefault="008A56C2">
      <w:pPr>
        <w:pBdr>
          <w:top w:val="nil"/>
          <w:left w:val="nil"/>
          <w:bottom w:val="nil"/>
          <w:right w:val="nil"/>
          <w:between w:val="nil"/>
        </w:pBdr>
        <w:tabs>
          <w:tab w:val="left" w:pos="567"/>
        </w:tabs>
        <w:spacing w:after="0" w:line="240" w:lineRule="auto"/>
        <w:ind w:left="567"/>
        <w:jc w:val="both"/>
        <w:rPr>
          <w:rFonts w:ascii="Arial" w:eastAsia="Arial" w:hAnsi="Arial" w:cs="Arial"/>
          <w:i/>
          <w:u w:val="single"/>
        </w:rPr>
      </w:pPr>
    </w:p>
    <w:p w14:paraId="703D7F17" w14:textId="77777777" w:rsidR="008A56C2" w:rsidRDefault="003D4B16">
      <w:pPr>
        <w:numPr>
          <w:ilvl w:val="0"/>
          <w:numId w:val="10"/>
        </w:numPr>
        <w:pBdr>
          <w:top w:val="nil"/>
          <w:left w:val="nil"/>
          <w:bottom w:val="nil"/>
          <w:right w:val="nil"/>
          <w:between w:val="nil"/>
        </w:pBdr>
        <w:tabs>
          <w:tab w:val="left" w:pos="567"/>
        </w:tabs>
        <w:spacing w:after="0" w:line="240" w:lineRule="auto"/>
        <w:ind w:left="567" w:hanging="429"/>
        <w:jc w:val="both"/>
        <w:rPr>
          <w:rFonts w:ascii="Arial" w:eastAsia="Arial" w:hAnsi="Arial" w:cs="Arial"/>
          <w:b/>
        </w:rPr>
      </w:pPr>
      <w:r>
        <w:rPr>
          <w:rFonts w:ascii="Arial" w:eastAsia="Arial" w:hAnsi="Arial" w:cs="Arial"/>
          <w:b/>
        </w:rPr>
        <w:t>Sobre la aplicación de la primera y segunda regla</w:t>
      </w:r>
    </w:p>
    <w:p w14:paraId="024180BB" w14:textId="77777777" w:rsidR="008A56C2" w:rsidRDefault="008A56C2">
      <w:pPr>
        <w:pBdr>
          <w:top w:val="nil"/>
          <w:left w:val="nil"/>
          <w:bottom w:val="nil"/>
          <w:right w:val="nil"/>
          <w:between w:val="nil"/>
        </w:pBdr>
        <w:tabs>
          <w:tab w:val="left" w:pos="567"/>
        </w:tabs>
        <w:spacing w:after="0" w:line="240" w:lineRule="auto"/>
        <w:ind w:left="567"/>
        <w:jc w:val="both"/>
        <w:rPr>
          <w:rFonts w:ascii="Arial" w:eastAsia="Arial" w:hAnsi="Arial" w:cs="Arial"/>
          <w:b/>
        </w:rPr>
      </w:pPr>
    </w:p>
    <w:p w14:paraId="25F444A7" w14:textId="14B162FE" w:rsidR="008A56C2" w:rsidRDefault="003D4B16">
      <w:pPr>
        <w:numPr>
          <w:ilvl w:val="1"/>
          <w:numId w:val="5"/>
        </w:numPr>
        <w:pBdr>
          <w:top w:val="nil"/>
          <w:left w:val="nil"/>
          <w:bottom w:val="nil"/>
          <w:right w:val="nil"/>
          <w:between w:val="nil"/>
        </w:pBdr>
        <w:tabs>
          <w:tab w:val="left" w:pos="567"/>
        </w:tabs>
        <w:spacing w:after="0" w:line="240" w:lineRule="auto"/>
        <w:ind w:left="567" w:hanging="567"/>
        <w:jc w:val="both"/>
        <w:rPr>
          <w:rFonts w:ascii="Arial" w:eastAsia="Arial" w:hAnsi="Arial" w:cs="Arial"/>
        </w:rPr>
      </w:pPr>
      <w:r>
        <w:rPr>
          <w:rFonts w:ascii="Arial" w:eastAsia="Arial" w:hAnsi="Arial" w:cs="Arial"/>
        </w:rPr>
        <w:t xml:space="preserve">En el presente caso, </w:t>
      </w:r>
      <w:r w:rsidRPr="0033320A">
        <w:rPr>
          <w:rFonts w:ascii="Arial" w:eastAsia="Arial" w:hAnsi="Arial" w:cs="Arial"/>
          <w:highlight w:val="magenta"/>
        </w:rPr>
        <w:t>el señor Arango</w:t>
      </w:r>
      <w:r>
        <w:rPr>
          <w:rFonts w:ascii="Arial" w:eastAsia="Arial" w:hAnsi="Arial" w:cs="Arial"/>
        </w:rPr>
        <w:t xml:space="preserve"> </w:t>
      </w:r>
      <w:r w:rsidRPr="0033320A">
        <w:rPr>
          <w:rFonts w:ascii="Arial" w:eastAsia="Arial" w:hAnsi="Arial" w:cs="Arial"/>
          <w:highlight w:val="cyan"/>
        </w:rPr>
        <w:t>denunció al Banco</w:t>
      </w:r>
      <w:r>
        <w:rPr>
          <w:rFonts w:ascii="Arial" w:eastAsia="Arial" w:hAnsi="Arial" w:cs="Arial"/>
        </w:rPr>
        <w:t xml:space="preserve"> señalando que: </w:t>
      </w:r>
      <w:r w:rsidRPr="0033320A">
        <w:rPr>
          <w:rFonts w:ascii="Arial" w:eastAsia="Arial" w:hAnsi="Arial" w:cs="Arial"/>
          <w:highlight w:val="magenta"/>
        </w:rPr>
        <w:t>(i) habría atribuido un seguro de protección de tarjetas, cuya contratación no reconoce; (ii) se habría demorado en la entrega de la Tarjeta de Crédito N° 3777-***-***-*8780 y su posterior bloqueo indebido;</w:t>
      </w:r>
      <w:r w:rsidR="007F7B14" w:rsidRPr="0033320A">
        <w:rPr>
          <w:rFonts w:ascii="Arial" w:eastAsia="Arial" w:hAnsi="Arial" w:cs="Arial"/>
          <w:highlight w:val="magenta"/>
        </w:rPr>
        <w:t xml:space="preserve"> </w:t>
      </w:r>
      <w:r w:rsidRPr="0033320A">
        <w:rPr>
          <w:rFonts w:ascii="Arial" w:eastAsia="Arial" w:hAnsi="Arial" w:cs="Arial"/>
          <w:highlight w:val="magenta"/>
        </w:rPr>
        <w:t>(iii) habría permitido la realización de una operación no reconocida por la suma de S/ 1 708,00.</w:t>
      </w:r>
      <w:r w:rsidR="00382ACA" w:rsidRPr="0033320A">
        <w:rPr>
          <w:rFonts w:ascii="Arial" w:eastAsia="Arial" w:hAnsi="Arial" w:cs="Arial"/>
          <w:highlight w:val="magenta"/>
        </w:rPr>
        <w:t xml:space="preserve"> Asimismo, </w:t>
      </w:r>
      <w:r w:rsidR="00382ACA" w:rsidRPr="0033320A">
        <w:rPr>
          <w:rFonts w:ascii="Arial" w:eastAsia="Arial" w:hAnsi="Arial" w:cs="Arial"/>
          <w:highlight w:val="cyan"/>
        </w:rPr>
        <w:t xml:space="preserve">se denunció que </w:t>
      </w:r>
      <w:r w:rsidR="00AC7AC3" w:rsidRPr="0033320A">
        <w:rPr>
          <w:rFonts w:ascii="Arial" w:eastAsia="Arial" w:hAnsi="Arial" w:cs="Arial"/>
          <w:highlight w:val="cyan"/>
        </w:rPr>
        <w:t xml:space="preserve">Prex </w:t>
      </w:r>
      <w:r w:rsidR="00AC7AC3" w:rsidRPr="0033320A">
        <w:rPr>
          <w:rFonts w:ascii="Arial" w:eastAsia="Arial" w:hAnsi="Arial" w:cs="Arial"/>
          <w:highlight w:val="magenta"/>
        </w:rPr>
        <w:t>habría bloqueado su Tarjeta Prepago N° **********2704, de forma física y virtual sin justificación alguna</w:t>
      </w:r>
      <w:r w:rsidR="00AC7AC3">
        <w:rPr>
          <w:rFonts w:ascii="Arial" w:eastAsia="Arial" w:hAnsi="Arial" w:cs="Arial"/>
        </w:rPr>
        <w:t>.</w:t>
      </w:r>
    </w:p>
    <w:p w14:paraId="26FA6F6C" w14:textId="77777777" w:rsidR="008A56C2" w:rsidRDefault="008A56C2">
      <w:pPr>
        <w:pBdr>
          <w:top w:val="nil"/>
          <w:left w:val="nil"/>
          <w:bottom w:val="nil"/>
          <w:right w:val="nil"/>
          <w:between w:val="nil"/>
        </w:pBdr>
        <w:tabs>
          <w:tab w:val="left" w:pos="567"/>
        </w:tabs>
        <w:spacing w:after="0" w:line="240" w:lineRule="auto"/>
        <w:ind w:left="567"/>
        <w:jc w:val="both"/>
        <w:rPr>
          <w:rFonts w:ascii="Arial" w:eastAsia="Arial" w:hAnsi="Arial" w:cs="Arial"/>
        </w:rPr>
      </w:pPr>
    </w:p>
    <w:p w14:paraId="709147EA" w14:textId="5D44B3CE" w:rsidR="008A56C2" w:rsidRDefault="003D4B16">
      <w:pPr>
        <w:numPr>
          <w:ilvl w:val="1"/>
          <w:numId w:val="5"/>
        </w:numPr>
        <w:pBdr>
          <w:top w:val="nil"/>
          <w:left w:val="nil"/>
          <w:bottom w:val="nil"/>
          <w:right w:val="nil"/>
          <w:between w:val="nil"/>
        </w:pBdr>
        <w:tabs>
          <w:tab w:val="left" w:pos="567"/>
        </w:tabs>
        <w:spacing w:after="0" w:line="240" w:lineRule="auto"/>
        <w:ind w:left="567" w:hanging="567"/>
        <w:jc w:val="both"/>
        <w:rPr>
          <w:rFonts w:ascii="Arial" w:eastAsia="Arial" w:hAnsi="Arial" w:cs="Arial"/>
        </w:rPr>
      </w:pPr>
      <w:r>
        <w:rPr>
          <w:rFonts w:ascii="Arial" w:eastAsia="Arial" w:hAnsi="Arial" w:cs="Arial"/>
        </w:rPr>
        <w:t xml:space="preserve">Al respecto, se advierte que estas conductas corresponden a una afectación de naturaleza </w:t>
      </w:r>
      <w:r w:rsidRPr="0033320A">
        <w:rPr>
          <w:rFonts w:ascii="Arial" w:eastAsia="Arial" w:hAnsi="Arial" w:cs="Arial"/>
          <w:highlight w:val="green"/>
        </w:rPr>
        <w:t>particular</w:t>
      </w:r>
      <w:r>
        <w:rPr>
          <w:rFonts w:ascii="Arial" w:eastAsia="Arial" w:hAnsi="Arial" w:cs="Arial"/>
        </w:rPr>
        <w:t xml:space="preserve"> </w:t>
      </w:r>
      <w:r w:rsidRPr="0033320A">
        <w:rPr>
          <w:rFonts w:ascii="Arial" w:eastAsia="Arial" w:hAnsi="Arial" w:cs="Arial"/>
          <w:highlight w:val="magenta"/>
        </w:rPr>
        <w:t>a</w:t>
      </w:r>
      <w:r w:rsidR="004325D7" w:rsidRPr="0033320A">
        <w:rPr>
          <w:rFonts w:ascii="Arial" w:eastAsia="Arial" w:hAnsi="Arial" w:cs="Arial"/>
          <w:highlight w:val="magenta"/>
        </w:rPr>
        <w:t xml:space="preserve">l </w:t>
      </w:r>
      <w:r w:rsidRPr="0033320A">
        <w:rPr>
          <w:rFonts w:ascii="Arial" w:eastAsia="Arial" w:hAnsi="Arial" w:cs="Arial"/>
          <w:highlight w:val="magenta"/>
        </w:rPr>
        <w:t>denunciante</w:t>
      </w:r>
      <w:r>
        <w:rPr>
          <w:rFonts w:ascii="Arial" w:eastAsia="Arial" w:hAnsi="Arial" w:cs="Arial"/>
        </w:rPr>
        <w:t xml:space="preserve">, por tal motivo, </w:t>
      </w:r>
      <w:r w:rsidRPr="0033320A">
        <w:rPr>
          <w:rFonts w:ascii="Arial" w:eastAsia="Arial" w:hAnsi="Arial" w:cs="Arial"/>
          <w:highlight w:val="green"/>
        </w:rPr>
        <w:t>estas pueden ser conocidas tanto por el OPS o la Comisión</w:t>
      </w:r>
      <w:r>
        <w:rPr>
          <w:rFonts w:ascii="Arial" w:eastAsia="Arial" w:hAnsi="Arial" w:cs="Arial"/>
        </w:rPr>
        <w:t>.</w:t>
      </w:r>
    </w:p>
    <w:p w14:paraId="1080D95E" w14:textId="77777777" w:rsidR="008A56C2" w:rsidRDefault="008A56C2">
      <w:pPr>
        <w:pBdr>
          <w:top w:val="nil"/>
          <w:left w:val="nil"/>
          <w:bottom w:val="nil"/>
          <w:right w:val="nil"/>
          <w:between w:val="nil"/>
        </w:pBdr>
        <w:tabs>
          <w:tab w:val="left" w:pos="567"/>
        </w:tabs>
        <w:spacing w:after="0" w:line="240" w:lineRule="auto"/>
        <w:ind w:left="567"/>
        <w:jc w:val="both"/>
        <w:rPr>
          <w:rFonts w:ascii="Arial" w:eastAsia="Arial" w:hAnsi="Arial" w:cs="Arial"/>
          <w:u w:val="single"/>
        </w:rPr>
      </w:pPr>
    </w:p>
    <w:p w14:paraId="3A1F9A47" w14:textId="74045E55" w:rsidR="008A56C2" w:rsidRDefault="003D4B16">
      <w:pPr>
        <w:numPr>
          <w:ilvl w:val="1"/>
          <w:numId w:val="5"/>
        </w:numPr>
        <w:pBdr>
          <w:top w:val="nil"/>
          <w:left w:val="nil"/>
          <w:bottom w:val="nil"/>
          <w:right w:val="nil"/>
          <w:between w:val="nil"/>
        </w:pBdr>
        <w:tabs>
          <w:tab w:val="left" w:pos="567"/>
        </w:tabs>
        <w:spacing w:after="0" w:line="240" w:lineRule="auto"/>
        <w:ind w:left="567" w:hanging="567"/>
        <w:jc w:val="both"/>
        <w:rPr>
          <w:rFonts w:ascii="Arial" w:eastAsia="Arial" w:hAnsi="Arial" w:cs="Arial"/>
        </w:rPr>
      </w:pPr>
      <w:r>
        <w:rPr>
          <w:rFonts w:ascii="Arial" w:eastAsia="Arial" w:hAnsi="Arial" w:cs="Arial"/>
        </w:rPr>
        <w:t xml:space="preserve">Por otra parte, respecto a la materia involucrada, </w:t>
      </w:r>
      <w:r w:rsidRPr="0033320A">
        <w:rPr>
          <w:rFonts w:ascii="Arial" w:eastAsia="Arial" w:hAnsi="Arial" w:cs="Arial"/>
          <w:highlight w:val="cyan"/>
        </w:rPr>
        <w:t>la primera conducta da razón a un presunto método comercial coercitivo por parte del Banco; en la medida que, habría atribuido un seguro de protección de tarjetas, cuya contratación no reconoce</w:t>
      </w:r>
      <w:r>
        <w:rPr>
          <w:rFonts w:ascii="Arial" w:eastAsia="Arial" w:hAnsi="Arial" w:cs="Arial"/>
        </w:rPr>
        <w:t xml:space="preserve">; </w:t>
      </w:r>
      <w:r w:rsidRPr="0033320A">
        <w:rPr>
          <w:rFonts w:ascii="Arial" w:eastAsia="Arial" w:hAnsi="Arial" w:cs="Arial"/>
          <w:highlight w:val="magenta"/>
        </w:rPr>
        <w:t>la segunda</w:t>
      </w:r>
      <w:r w:rsidR="004D2E3A" w:rsidRPr="0033320A">
        <w:rPr>
          <w:rFonts w:ascii="Arial" w:eastAsia="Arial" w:hAnsi="Arial" w:cs="Arial"/>
          <w:highlight w:val="magenta"/>
        </w:rPr>
        <w:t xml:space="preserve">, tercera y cuarta </w:t>
      </w:r>
      <w:r w:rsidRPr="0033320A">
        <w:rPr>
          <w:rFonts w:ascii="Arial" w:eastAsia="Arial" w:hAnsi="Arial" w:cs="Arial"/>
          <w:highlight w:val="magenta"/>
        </w:rPr>
        <w:t>conducta da razón a una presunta infracción al deber de idoneidad por parte del Banco, al haber demorado en la entrega de la Tarjeta de Crédito N° 3777-***-***-*8780 y su posterior bloqueo indebido, cuyo valor del producto se encuentra vinculado a la línea de crédito otorgada que asciende a S/ 1 700,00</w:t>
      </w:r>
      <w:r w:rsidR="004D2E3A" w:rsidRPr="0033320A">
        <w:rPr>
          <w:rFonts w:ascii="Arial" w:eastAsia="Arial" w:hAnsi="Arial" w:cs="Arial"/>
          <w:highlight w:val="magenta"/>
        </w:rPr>
        <w:t xml:space="preserve"> y no haber </w:t>
      </w:r>
      <w:r w:rsidRPr="0033320A">
        <w:rPr>
          <w:rFonts w:ascii="Arial" w:eastAsia="Arial" w:hAnsi="Arial" w:cs="Arial"/>
          <w:highlight w:val="magenta"/>
        </w:rPr>
        <w:t>adoptado las medidas de seguridad pertinentes permitiendo la realización de una operación no reconocida con una cuantía de S/ 1 708,00 con cargo a la Cuenta de Ahorro  en soles N° 898328***9964, asociada a su Tarjeta de Débito Visa en soles N° **********6825 del denunciante</w:t>
      </w:r>
      <w:r w:rsidR="004D2E3A">
        <w:rPr>
          <w:rFonts w:ascii="Arial" w:eastAsia="Arial" w:hAnsi="Arial" w:cs="Arial"/>
        </w:rPr>
        <w:t xml:space="preserve">; </w:t>
      </w:r>
      <w:r w:rsidR="004D2E3A" w:rsidRPr="0033320A">
        <w:rPr>
          <w:rFonts w:ascii="Arial" w:eastAsia="Arial" w:hAnsi="Arial" w:cs="Arial"/>
          <w:highlight w:val="green"/>
        </w:rPr>
        <w:t>y finalmente</w:t>
      </w:r>
      <w:r w:rsidR="00797981" w:rsidRPr="0033320A">
        <w:rPr>
          <w:rFonts w:ascii="Arial" w:eastAsia="Arial" w:hAnsi="Arial" w:cs="Arial"/>
          <w:highlight w:val="green"/>
        </w:rPr>
        <w:t xml:space="preserve">; así como por parte de Prex </w:t>
      </w:r>
      <w:r w:rsidR="004D2E3A" w:rsidRPr="0033320A">
        <w:rPr>
          <w:rFonts w:ascii="Arial" w:eastAsia="Arial" w:hAnsi="Arial" w:cs="Arial"/>
          <w:highlight w:val="green"/>
        </w:rPr>
        <w:t xml:space="preserve"> </w:t>
      </w:r>
      <w:r w:rsidR="009D3E6D" w:rsidRPr="0033320A">
        <w:rPr>
          <w:rFonts w:ascii="Arial" w:eastAsia="Arial" w:hAnsi="Arial" w:cs="Arial"/>
          <w:highlight w:val="green"/>
        </w:rPr>
        <w:t xml:space="preserve">al haber bloqueado </w:t>
      </w:r>
      <w:r w:rsidR="004515C8" w:rsidRPr="0033320A">
        <w:rPr>
          <w:rFonts w:ascii="Arial" w:eastAsia="Arial" w:hAnsi="Arial" w:cs="Arial"/>
          <w:highlight w:val="green"/>
        </w:rPr>
        <w:t>la</w:t>
      </w:r>
      <w:r w:rsidR="009D3E6D" w:rsidRPr="0033320A">
        <w:rPr>
          <w:rFonts w:ascii="Arial" w:eastAsia="Arial" w:hAnsi="Arial" w:cs="Arial"/>
          <w:highlight w:val="green"/>
        </w:rPr>
        <w:t xml:space="preserve"> Tarjeta Prepago N° **********2704, de forma física y virtual sin justificación alguna</w:t>
      </w:r>
      <w:r>
        <w:rPr>
          <w:rFonts w:ascii="Arial" w:eastAsia="Arial" w:hAnsi="Arial" w:cs="Arial"/>
        </w:rPr>
        <w:t>.</w:t>
      </w:r>
    </w:p>
    <w:p w14:paraId="696E794C" w14:textId="77777777" w:rsidR="008A56C2" w:rsidRDefault="008A56C2">
      <w:pPr>
        <w:pBdr>
          <w:top w:val="nil"/>
          <w:left w:val="nil"/>
          <w:bottom w:val="nil"/>
          <w:right w:val="nil"/>
          <w:between w:val="nil"/>
        </w:pBdr>
        <w:spacing w:after="0"/>
        <w:ind w:left="720"/>
        <w:rPr>
          <w:rFonts w:ascii="Arial" w:eastAsia="Arial" w:hAnsi="Arial" w:cs="Arial"/>
        </w:rPr>
      </w:pPr>
    </w:p>
    <w:p w14:paraId="4E303AD7" w14:textId="77777777" w:rsidR="008A56C2" w:rsidRDefault="003D4B16">
      <w:pPr>
        <w:numPr>
          <w:ilvl w:val="1"/>
          <w:numId w:val="5"/>
        </w:numPr>
        <w:pBdr>
          <w:top w:val="nil"/>
          <w:left w:val="nil"/>
          <w:bottom w:val="nil"/>
          <w:right w:val="nil"/>
          <w:between w:val="nil"/>
        </w:pBdr>
        <w:tabs>
          <w:tab w:val="left" w:pos="567"/>
        </w:tabs>
        <w:spacing w:after="0" w:line="240" w:lineRule="auto"/>
        <w:ind w:left="567" w:hanging="567"/>
        <w:jc w:val="both"/>
        <w:rPr>
          <w:rFonts w:ascii="Arial" w:eastAsia="Arial" w:hAnsi="Arial" w:cs="Arial"/>
        </w:rPr>
      </w:pPr>
      <w:r>
        <w:rPr>
          <w:rFonts w:ascii="Arial" w:eastAsia="Arial" w:hAnsi="Arial" w:cs="Arial"/>
        </w:rPr>
        <w:t xml:space="preserve">Por tal motivo, </w:t>
      </w:r>
      <w:r w:rsidRPr="0033320A">
        <w:rPr>
          <w:rFonts w:ascii="Arial" w:eastAsia="Arial" w:hAnsi="Arial" w:cs="Arial"/>
          <w:highlight w:val="green"/>
        </w:rPr>
        <w:t>los hechos materia de cuestionamiento, no se encuentran dentro de las materias exclusivas de OPS o Comisión</w:t>
      </w:r>
      <w:r>
        <w:rPr>
          <w:rFonts w:ascii="Arial" w:eastAsia="Arial" w:hAnsi="Arial" w:cs="Arial"/>
        </w:rPr>
        <w:t>, por lo que, pueden ser conocidas por ambos órganos resolutivos. En ese sentido, corresponde verificar la competencia a partir de la tercera regla referida a la cuantía.</w:t>
      </w:r>
    </w:p>
    <w:p w14:paraId="2B4E28F7" w14:textId="77777777" w:rsidR="008A56C2" w:rsidRDefault="008A56C2">
      <w:pPr>
        <w:pBdr>
          <w:top w:val="nil"/>
          <w:left w:val="nil"/>
          <w:bottom w:val="nil"/>
          <w:right w:val="nil"/>
          <w:between w:val="nil"/>
        </w:pBdr>
        <w:spacing w:after="0" w:line="240" w:lineRule="auto"/>
        <w:ind w:left="720"/>
        <w:rPr>
          <w:rFonts w:ascii="Arial" w:eastAsia="Arial" w:hAnsi="Arial" w:cs="Arial"/>
          <w:u w:val="single"/>
        </w:rPr>
      </w:pPr>
    </w:p>
    <w:p w14:paraId="708663EB" w14:textId="77777777" w:rsidR="008A56C2" w:rsidRDefault="003D4B16">
      <w:pPr>
        <w:numPr>
          <w:ilvl w:val="0"/>
          <w:numId w:val="10"/>
        </w:numPr>
        <w:pBdr>
          <w:top w:val="nil"/>
          <w:left w:val="nil"/>
          <w:bottom w:val="nil"/>
          <w:right w:val="nil"/>
          <w:between w:val="nil"/>
        </w:pBdr>
        <w:tabs>
          <w:tab w:val="left" w:pos="567"/>
        </w:tabs>
        <w:spacing w:after="0" w:line="240" w:lineRule="auto"/>
        <w:ind w:left="567" w:hanging="429"/>
        <w:jc w:val="both"/>
        <w:rPr>
          <w:rFonts w:ascii="Arial" w:eastAsia="Arial" w:hAnsi="Arial" w:cs="Arial"/>
          <w:b/>
        </w:rPr>
      </w:pPr>
      <w:r>
        <w:rPr>
          <w:rFonts w:ascii="Arial" w:eastAsia="Arial" w:hAnsi="Arial" w:cs="Arial"/>
          <w:b/>
        </w:rPr>
        <w:t>Sobre la aplicación de la tercera regla</w:t>
      </w:r>
    </w:p>
    <w:p w14:paraId="6EB4268E" w14:textId="77777777" w:rsidR="008A56C2" w:rsidRDefault="008A56C2">
      <w:pPr>
        <w:spacing w:after="0" w:line="240" w:lineRule="auto"/>
        <w:rPr>
          <w:rFonts w:ascii="Arial" w:eastAsia="Arial" w:hAnsi="Arial" w:cs="Arial"/>
          <w:highlight w:val="cyan"/>
        </w:rPr>
      </w:pPr>
    </w:p>
    <w:p w14:paraId="1037FCEA" w14:textId="77777777" w:rsidR="008A56C2" w:rsidRDefault="003D4B16">
      <w:pPr>
        <w:numPr>
          <w:ilvl w:val="1"/>
          <w:numId w:val="5"/>
        </w:numPr>
        <w:pBdr>
          <w:top w:val="nil"/>
          <w:left w:val="nil"/>
          <w:bottom w:val="nil"/>
          <w:right w:val="nil"/>
          <w:between w:val="nil"/>
        </w:pBdr>
        <w:spacing w:after="0" w:line="240" w:lineRule="auto"/>
        <w:ind w:left="567" w:hanging="567"/>
        <w:jc w:val="both"/>
        <w:rPr>
          <w:rFonts w:ascii="Arial" w:eastAsia="Arial" w:hAnsi="Arial" w:cs="Arial"/>
        </w:rPr>
      </w:pPr>
      <w:r>
        <w:rPr>
          <w:rFonts w:ascii="Arial" w:eastAsia="Arial" w:hAnsi="Arial" w:cs="Arial"/>
        </w:rPr>
        <w:t xml:space="preserve">Respecto a la tercera regla, es pertinente traer a colación lo señalado en el artículo 6° de la Directiva N° 001-2021/COD-INDECOPI denominada “Directiva única que regula los procedimientos de protección al consumidor previstos en el Código de Protección y </w:t>
      </w:r>
      <w:r>
        <w:rPr>
          <w:rFonts w:ascii="Arial" w:eastAsia="Arial" w:hAnsi="Arial" w:cs="Arial"/>
        </w:rPr>
        <w:lastRenderedPageBreak/>
        <w:t>Defensa del Consumidor”</w:t>
      </w:r>
      <w:r>
        <w:rPr>
          <w:rFonts w:ascii="Arial" w:eastAsia="Arial" w:hAnsi="Arial" w:cs="Arial"/>
          <w:vertAlign w:val="superscript"/>
        </w:rPr>
        <w:t xml:space="preserve"> </w:t>
      </w:r>
      <w:r>
        <w:rPr>
          <w:rFonts w:ascii="Arial" w:eastAsia="Arial" w:hAnsi="Arial" w:cs="Arial"/>
          <w:vertAlign w:val="superscript"/>
        </w:rPr>
        <w:footnoteReference w:id="11"/>
      </w:r>
      <w:r>
        <w:rPr>
          <w:rFonts w:ascii="Arial" w:eastAsia="Arial" w:hAnsi="Arial" w:cs="Arial"/>
        </w:rPr>
        <w:t xml:space="preserve"> (en adelante, Directiva), que establece las reglas para la determinación de la cuantía:</w:t>
      </w:r>
    </w:p>
    <w:p w14:paraId="4EEE6311" w14:textId="77777777" w:rsidR="008A56C2" w:rsidRDefault="008A56C2">
      <w:pPr>
        <w:pBdr>
          <w:top w:val="nil"/>
          <w:left w:val="nil"/>
          <w:bottom w:val="nil"/>
          <w:right w:val="nil"/>
          <w:between w:val="nil"/>
        </w:pBdr>
        <w:tabs>
          <w:tab w:val="left" w:pos="567"/>
        </w:tabs>
        <w:spacing w:after="0" w:line="240" w:lineRule="auto"/>
        <w:ind w:left="567"/>
        <w:jc w:val="both"/>
        <w:rPr>
          <w:rFonts w:ascii="Arial" w:eastAsia="Arial" w:hAnsi="Arial" w:cs="Arial"/>
        </w:rPr>
      </w:pPr>
    </w:p>
    <w:p w14:paraId="2A5B56A6" w14:textId="77777777" w:rsidR="008A56C2" w:rsidRDefault="003D4B16">
      <w:pPr>
        <w:numPr>
          <w:ilvl w:val="0"/>
          <w:numId w:val="6"/>
        </w:numPr>
        <w:pBdr>
          <w:top w:val="nil"/>
          <w:left w:val="nil"/>
          <w:bottom w:val="nil"/>
          <w:right w:val="nil"/>
          <w:between w:val="nil"/>
        </w:pBdr>
        <w:tabs>
          <w:tab w:val="left" w:pos="567"/>
        </w:tabs>
        <w:spacing w:after="0" w:line="240" w:lineRule="auto"/>
        <w:ind w:hanging="720"/>
        <w:jc w:val="both"/>
        <w:rPr>
          <w:rFonts w:ascii="Arial" w:eastAsia="Arial" w:hAnsi="Arial" w:cs="Arial"/>
        </w:rPr>
      </w:pPr>
      <w:r>
        <w:rPr>
          <w:rFonts w:ascii="Arial" w:eastAsia="Arial" w:hAnsi="Arial" w:cs="Arial"/>
        </w:rPr>
        <w:t>La cuantía está determinada por el valor del producto o servicio materia de controversia según lo contratado u ofertado, teniendo en cuenta el valor de la UIT vigente a la fecha de presentación de la denuncia.</w:t>
      </w:r>
    </w:p>
    <w:p w14:paraId="0D17DF1F" w14:textId="77777777" w:rsidR="008A56C2" w:rsidRDefault="008A56C2">
      <w:pPr>
        <w:pBdr>
          <w:top w:val="nil"/>
          <w:left w:val="nil"/>
          <w:bottom w:val="nil"/>
          <w:right w:val="nil"/>
          <w:between w:val="nil"/>
        </w:pBdr>
        <w:tabs>
          <w:tab w:val="left" w:pos="567"/>
        </w:tabs>
        <w:spacing w:after="0" w:line="240" w:lineRule="auto"/>
        <w:ind w:left="1287"/>
        <w:jc w:val="both"/>
        <w:rPr>
          <w:rFonts w:ascii="Arial" w:eastAsia="Arial" w:hAnsi="Arial" w:cs="Arial"/>
        </w:rPr>
      </w:pPr>
    </w:p>
    <w:p w14:paraId="67D7604E" w14:textId="77777777" w:rsidR="008A56C2" w:rsidRDefault="003D4B16">
      <w:pPr>
        <w:numPr>
          <w:ilvl w:val="0"/>
          <w:numId w:val="6"/>
        </w:numPr>
        <w:pBdr>
          <w:top w:val="nil"/>
          <w:left w:val="nil"/>
          <w:bottom w:val="nil"/>
          <w:right w:val="nil"/>
          <w:between w:val="nil"/>
        </w:pBdr>
        <w:tabs>
          <w:tab w:val="left" w:pos="567"/>
        </w:tabs>
        <w:spacing w:after="0" w:line="240" w:lineRule="auto"/>
        <w:ind w:hanging="720"/>
        <w:jc w:val="both"/>
        <w:rPr>
          <w:rFonts w:ascii="Arial" w:eastAsia="Arial" w:hAnsi="Arial" w:cs="Arial"/>
        </w:rPr>
      </w:pPr>
      <w:r>
        <w:rPr>
          <w:rFonts w:ascii="Arial" w:eastAsia="Arial" w:hAnsi="Arial" w:cs="Arial"/>
        </w:rPr>
        <w:t>Excepcionalmente, para denuncias referidas a cobros no autorizados, cargos indebidos, u operaciones dinerarias no reconocidas, la cuantía está determinada por el valor total de las operaciones o cobros cuestionados. No se consideran en este supuesto las denuncias referidas al cálculo indebido del importe a pagar por el consumidor por defectos en la aplicación de intereses, o de los pagos realizados por éste, en cuyo caso la cuantía se determinará por el valor del servicio.</w:t>
      </w:r>
    </w:p>
    <w:p w14:paraId="4C968B71" w14:textId="77777777" w:rsidR="008A56C2" w:rsidRDefault="008A56C2">
      <w:pPr>
        <w:pBdr>
          <w:top w:val="nil"/>
          <w:left w:val="nil"/>
          <w:bottom w:val="nil"/>
          <w:right w:val="nil"/>
          <w:between w:val="nil"/>
        </w:pBdr>
        <w:spacing w:after="0" w:line="240" w:lineRule="auto"/>
        <w:ind w:left="720"/>
        <w:rPr>
          <w:rFonts w:ascii="Arial" w:eastAsia="Arial" w:hAnsi="Arial" w:cs="Arial"/>
        </w:rPr>
      </w:pPr>
    </w:p>
    <w:p w14:paraId="1F3C1E3A" w14:textId="693F8E95" w:rsidR="002B6DA2" w:rsidRPr="002B6DA2" w:rsidRDefault="003D4B16" w:rsidP="002B6DA2">
      <w:pPr>
        <w:numPr>
          <w:ilvl w:val="1"/>
          <w:numId w:val="5"/>
        </w:numPr>
        <w:pBdr>
          <w:top w:val="nil"/>
          <w:left w:val="nil"/>
          <w:bottom w:val="nil"/>
          <w:right w:val="nil"/>
          <w:between w:val="nil"/>
        </w:pBdr>
        <w:tabs>
          <w:tab w:val="left" w:pos="567"/>
        </w:tabs>
        <w:spacing w:after="0" w:line="240" w:lineRule="auto"/>
        <w:ind w:left="567" w:hanging="567"/>
        <w:jc w:val="both"/>
        <w:rPr>
          <w:rFonts w:ascii="Arial" w:eastAsia="Arial" w:hAnsi="Arial" w:cs="Arial"/>
        </w:rPr>
      </w:pPr>
      <w:r>
        <w:rPr>
          <w:rFonts w:ascii="Arial" w:eastAsia="Arial" w:hAnsi="Arial" w:cs="Arial"/>
        </w:rPr>
        <w:t>Asimismo, de acuerdo con el inciso (i) del numeral 5.2 del artículo 5 de la Directiva, son de competencia de la Comisión, aquellos casos en los que la afectación denunciada sea inapreciable en dinero.</w:t>
      </w:r>
    </w:p>
    <w:p w14:paraId="69E1E57A" w14:textId="77777777" w:rsidR="002B6DA2" w:rsidRPr="009734E0" w:rsidRDefault="002B6DA2" w:rsidP="002B6DA2">
      <w:pPr>
        <w:pBdr>
          <w:top w:val="nil"/>
          <w:left w:val="nil"/>
          <w:bottom w:val="nil"/>
          <w:right w:val="nil"/>
          <w:between w:val="nil"/>
        </w:pBdr>
        <w:tabs>
          <w:tab w:val="left" w:pos="567"/>
        </w:tabs>
        <w:spacing w:after="0" w:line="240" w:lineRule="auto"/>
        <w:jc w:val="both"/>
        <w:rPr>
          <w:rFonts w:ascii="Arial" w:eastAsia="Arial" w:hAnsi="Arial" w:cs="Arial"/>
        </w:rPr>
      </w:pPr>
    </w:p>
    <w:p w14:paraId="1A2D6525" w14:textId="77777777" w:rsidR="002B6DA2" w:rsidRPr="009734E0" w:rsidRDefault="002B6DA2" w:rsidP="002B6DA2">
      <w:pPr>
        <w:spacing w:after="0" w:line="240" w:lineRule="auto"/>
        <w:jc w:val="both"/>
        <w:rPr>
          <w:rFonts w:ascii="Arial" w:hAnsi="Arial" w:cs="Arial"/>
          <w:b/>
          <w:bCs/>
          <w:highlight w:val="yellow"/>
          <w:lang w:val="es-ES"/>
        </w:rPr>
      </w:pPr>
      <w:commentRangeStart w:id="2"/>
      <w:r w:rsidRPr="009734E0">
        <w:rPr>
          <w:rFonts w:ascii="Arial" w:hAnsi="Arial" w:cs="Arial"/>
          <w:b/>
          <w:bCs/>
          <w:highlight w:val="yellow"/>
          <w:lang w:val="es-ES"/>
        </w:rPr>
        <w:t>Cuestión previa: sobre la imputación de cargos realizado por el OPS</w:t>
      </w:r>
      <w:commentRangeEnd w:id="2"/>
      <w:r w:rsidRPr="009734E0">
        <w:rPr>
          <w:rStyle w:val="Refdecomentario"/>
          <w:rFonts w:ascii="Arial" w:hAnsi="Arial" w:cs="Arial"/>
          <w:b/>
          <w:bCs/>
          <w:sz w:val="22"/>
          <w:szCs w:val="22"/>
          <w:highlight w:val="yellow"/>
          <w:lang w:val="es-ES"/>
        </w:rPr>
        <w:commentReference w:id="2"/>
      </w:r>
    </w:p>
    <w:p w14:paraId="5A8DFE87" w14:textId="77777777" w:rsidR="002B6DA2" w:rsidRPr="009734E0" w:rsidRDefault="002B6DA2" w:rsidP="002B6DA2">
      <w:pPr>
        <w:spacing w:after="0" w:line="240" w:lineRule="auto"/>
        <w:jc w:val="both"/>
        <w:rPr>
          <w:rFonts w:ascii="Arial" w:hAnsi="Arial" w:cs="Arial"/>
          <w:b/>
          <w:bCs/>
          <w:highlight w:val="yellow"/>
          <w:lang w:val="es-ES"/>
        </w:rPr>
      </w:pPr>
    </w:p>
    <w:p w14:paraId="146A62D4" w14:textId="77777777" w:rsidR="002B6DA2" w:rsidRPr="009734E0" w:rsidRDefault="002B6DA2" w:rsidP="002B6DA2">
      <w:pPr>
        <w:numPr>
          <w:ilvl w:val="1"/>
          <w:numId w:val="5"/>
        </w:numPr>
        <w:pBdr>
          <w:top w:val="nil"/>
          <w:left w:val="nil"/>
          <w:bottom w:val="nil"/>
          <w:right w:val="nil"/>
          <w:between w:val="nil"/>
        </w:pBdr>
        <w:tabs>
          <w:tab w:val="num" w:pos="-840"/>
          <w:tab w:val="left" w:pos="567"/>
        </w:tabs>
        <w:spacing w:after="0" w:line="240" w:lineRule="auto"/>
        <w:ind w:left="567" w:hanging="567"/>
        <w:jc w:val="both"/>
        <w:rPr>
          <w:rFonts w:ascii="Arial" w:eastAsia="Arial" w:hAnsi="Arial" w:cs="Arial"/>
          <w:highlight w:val="yellow"/>
        </w:rPr>
      </w:pPr>
      <w:bookmarkStart w:id="3" w:name="_Hlk203661558"/>
      <w:r w:rsidRPr="009734E0">
        <w:rPr>
          <w:rFonts w:ascii="Arial" w:eastAsia="Arial" w:hAnsi="Arial" w:cs="Arial"/>
          <w:highlight w:val="yellow"/>
        </w:rPr>
        <w:t xml:space="preserve">En el presente caso, el señor Sarmiento denunció el hecho referido a que Interseguro </w:t>
      </w:r>
      <w:bookmarkEnd w:id="3"/>
      <w:r w:rsidRPr="009734E0">
        <w:rPr>
          <w:rFonts w:ascii="Arial" w:eastAsia="Arial" w:hAnsi="Arial" w:cs="Arial"/>
          <w:highlight w:val="yellow"/>
        </w:rPr>
        <w:t xml:space="preserve">efectuó el pago de la indemnización por invalidez permanente parcial del 28% utilizando la UIT </w:t>
      </w:r>
      <w:r w:rsidRPr="009734E0">
        <w:rPr>
          <w:rFonts w:ascii="Arial" w:hAnsi="Arial" w:cs="Arial"/>
          <w:highlight w:val="yellow"/>
        </w:rPr>
        <w:t xml:space="preserve">vigente al </w:t>
      </w:r>
      <w:r w:rsidRPr="009734E0">
        <w:rPr>
          <w:rFonts w:ascii="Arial" w:hAnsi="Arial" w:cs="Arial"/>
          <w:highlight w:val="yellow"/>
          <w:u w:val="single"/>
        </w:rPr>
        <w:t>momento del</w:t>
      </w:r>
      <w:r w:rsidRPr="009734E0">
        <w:rPr>
          <w:rFonts w:ascii="Arial" w:eastAsia="Arial" w:hAnsi="Arial" w:cs="Arial"/>
          <w:highlight w:val="yellow"/>
          <w:u w:val="single"/>
        </w:rPr>
        <w:t xml:space="preserve"> accidente de tránsito</w:t>
      </w:r>
      <w:r w:rsidRPr="009734E0">
        <w:rPr>
          <w:rFonts w:ascii="Arial" w:eastAsia="Arial" w:hAnsi="Arial" w:cs="Arial"/>
          <w:highlight w:val="yellow"/>
        </w:rPr>
        <w:t>, cuando</w:t>
      </w:r>
      <w:r w:rsidRPr="009734E0">
        <w:rPr>
          <w:rFonts w:ascii="Arial" w:hAnsi="Arial" w:cs="Arial"/>
          <w:highlight w:val="yellow"/>
        </w:rPr>
        <w:t xml:space="preserve"> correspondía aplicar el valor de la UIT del año en que se procedió con el pago</w:t>
      </w:r>
      <w:r w:rsidRPr="009734E0">
        <w:rPr>
          <w:rFonts w:ascii="Arial" w:eastAsia="Arial" w:hAnsi="Arial" w:cs="Arial"/>
          <w:highlight w:val="yellow"/>
        </w:rPr>
        <w:t>.</w:t>
      </w:r>
    </w:p>
    <w:p w14:paraId="505E1410" w14:textId="77777777" w:rsidR="002B6DA2" w:rsidRPr="009734E0" w:rsidRDefault="002B6DA2" w:rsidP="002B6DA2">
      <w:pPr>
        <w:spacing w:after="0" w:line="240" w:lineRule="auto"/>
        <w:ind w:left="567" w:right="-2"/>
        <w:jc w:val="both"/>
        <w:rPr>
          <w:rFonts w:ascii="Arial" w:eastAsia="Arial" w:hAnsi="Arial" w:cs="Arial"/>
          <w:highlight w:val="yellow"/>
        </w:rPr>
      </w:pPr>
    </w:p>
    <w:p w14:paraId="44349ABB" w14:textId="77777777" w:rsidR="002B6DA2" w:rsidRPr="009734E0" w:rsidRDefault="002B6DA2" w:rsidP="002B6DA2">
      <w:pPr>
        <w:numPr>
          <w:ilvl w:val="1"/>
          <w:numId w:val="5"/>
        </w:numPr>
        <w:pBdr>
          <w:top w:val="nil"/>
          <w:left w:val="nil"/>
          <w:bottom w:val="nil"/>
          <w:right w:val="nil"/>
          <w:between w:val="nil"/>
        </w:pBdr>
        <w:tabs>
          <w:tab w:val="num" w:pos="-840"/>
          <w:tab w:val="left" w:pos="567"/>
        </w:tabs>
        <w:spacing w:after="0" w:line="240" w:lineRule="auto"/>
        <w:ind w:left="567" w:hanging="567"/>
        <w:jc w:val="both"/>
        <w:rPr>
          <w:rFonts w:ascii="Arial" w:eastAsia="Arial" w:hAnsi="Arial" w:cs="Arial"/>
          <w:highlight w:val="yellow"/>
        </w:rPr>
      </w:pPr>
      <w:r w:rsidRPr="009734E0">
        <w:rPr>
          <w:rFonts w:ascii="Arial" w:hAnsi="Arial" w:cs="Arial"/>
          <w:highlight w:val="yellow"/>
        </w:rPr>
        <w:t xml:space="preserve">Mediante la Resolución Nº 1 </w:t>
      </w:r>
      <w:r w:rsidRPr="009734E0">
        <w:rPr>
          <w:rFonts w:ascii="Arial" w:eastAsia="Arial" w:hAnsi="Arial" w:cs="Arial"/>
          <w:highlight w:val="yellow"/>
        </w:rPr>
        <w:t>del 13 de febrero de 2025</w:t>
      </w:r>
      <w:r w:rsidRPr="009734E0">
        <w:rPr>
          <w:rFonts w:ascii="Arial" w:hAnsi="Arial" w:cs="Arial"/>
          <w:highlight w:val="yellow"/>
        </w:rPr>
        <w:t xml:space="preserve">, el OPS imputó el hecho denunciado indicando que la compañía aseguradora habría efectuado el pago de la indemnización considerando erróneamente el valor de la UIT vigente al momento de la </w:t>
      </w:r>
      <w:r w:rsidRPr="009734E0">
        <w:rPr>
          <w:rFonts w:ascii="Arial" w:hAnsi="Arial" w:cs="Arial"/>
          <w:highlight w:val="yellow"/>
          <w:u w:val="single"/>
        </w:rPr>
        <w:t>ocurrencia del siniestro</w:t>
      </w:r>
      <w:r w:rsidRPr="009734E0">
        <w:rPr>
          <w:rFonts w:ascii="Arial" w:hAnsi="Arial" w:cs="Arial"/>
          <w:highlight w:val="yellow"/>
        </w:rPr>
        <w:t xml:space="preserve"> y </w:t>
      </w:r>
      <w:r w:rsidRPr="009734E0">
        <w:rPr>
          <w:rFonts w:ascii="Arial" w:eastAsia="Arial" w:hAnsi="Arial" w:cs="Arial"/>
          <w:bCs/>
          <w:highlight w:val="yellow"/>
        </w:rPr>
        <w:t>no la aplicable al momento en que se efectuó el pago.</w:t>
      </w:r>
    </w:p>
    <w:p w14:paraId="3120C782" w14:textId="77777777" w:rsidR="002B6DA2" w:rsidRPr="009734E0" w:rsidRDefault="002B6DA2" w:rsidP="002B6DA2">
      <w:pPr>
        <w:spacing w:after="0" w:line="240" w:lineRule="auto"/>
        <w:ind w:right="-2"/>
        <w:jc w:val="both"/>
        <w:rPr>
          <w:rFonts w:ascii="Arial" w:eastAsia="Arial" w:hAnsi="Arial" w:cs="Arial"/>
          <w:highlight w:val="yellow"/>
        </w:rPr>
      </w:pPr>
    </w:p>
    <w:p w14:paraId="51929C52" w14:textId="77777777" w:rsidR="002B6DA2" w:rsidRPr="009734E0" w:rsidRDefault="002B6DA2" w:rsidP="002B6DA2">
      <w:pPr>
        <w:numPr>
          <w:ilvl w:val="1"/>
          <w:numId w:val="5"/>
        </w:numPr>
        <w:pBdr>
          <w:top w:val="nil"/>
          <w:left w:val="nil"/>
          <w:bottom w:val="nil"/>
          <w:right w:val="nil"/>
          <w:between w:val="nil"/>
        </w:pBdr>
        <w:tabs>
          <w:tab w:val="num" w:pos="-840"/>
          <w:tab w:val="left" w:pos="567"/>
        </w:tabs>
        <w:spacing w:after="0" w:line="240" w:lineRule="auto"/>
        <w:ind w:left="567" w:hanging="567"/>
        <w:jc w:val="both"/>
        <w:rPr>
          <w:rFonts w:ascii="Arial" w:eastAsia="Arial" w:hAnsi="Arial" w:cs="Arial"/>
          <w:highlight w:val="yellow"/>
        </w:rPr>
      </w:pPr>
      <w:bookmarkStart w:id="4" w:name="_Hlk203661888"/>
      <w:r w:rsidRPr="009734E0">
        <w:rPr>
          <w:rFonts w:ascii="Arial" w:eastAsia="Arial" w:hAnsi="Arial" w:cs="Arial"/>
          <w:highlight w:val="yellow"/>
        </w:rPr>
        <w:t xml:space="preserve">De la imputación de cargos y de la </w:t>
      </w:r>
      <w:bookmarkEnd w:id="4"/>
      <w:r w:rsidRPr="009734E0">
        <w:rPr>
          <w:rFonts w:ascii="Arial" w:eastAsia="Arial" w:hAnsi="Arial" w:cs="Arial"/>
          <w:highlight w:val="yellow"/>
          <w:lang w:val="es-ES"/>
        </w:rPr>
        <w:t xml:space="preserve">Resolución Final N° 0559-2025/PS1 del 2 de abril de 2025, </w:t>
      </w:r>
      <w:r w:rsidRPr="009734E0">
        <w:rPr>
          <w:rFonts w:ascii="Arial" w:eastAsia="Arial" w:hAnsi="Arial" w:cs="Arial"/>
          <w:highlight w:val="yellow"/>
        </w:rPr>
        <w:t>se advierte que el OPS hace referencia al accidente de tránsito y siniestro sin hacer alguna distinción.</w:t>
      </w:r>
    </w:p>
    <w:p w14:paraId="0083C451" w14:textId="77777777" w:rsidR="002B6DA2" w:rsidRPr="009734E0" w:rsidRDefault="002B6DA2" w:rsidP="002B6DA2">
      <w:pPr>
        <w:pStyle w:val="Prrafodelista"/>
        <w:spacing w:after="0" w:line="240" w:lineRule="auto"/>
        <w:ind w:left="567" w:right="-2"/>
        <w:jc w:val="both"/>
        <w:rPr>
          <w:rFonts w:ascii="Arial" w:eastAsia="Arial" w:hAnsi="Arial" w:cs="Arial"/>
          <w:bCs/>
          <w:highlight w:val="yellow"/>
          <w:lang w:val="es-ES_tradnl"/>
        </w:rPr>
      </w:pPr>
    </w:p>
    <w:p w14:paraId="5A0F18B0" w14:textId="77777777" w:rsidR="002B6DA2" w:rsidRPr="009734E0" w:rsidRDefault="002B6DA2" w:rsidP="002B6DA2">
      <w:pPr>
        <w:numPr>
          <w:ilvl w:val="1"/>
          <w:numId w:val="5"/>
        </w:numPr>
        <w:pBdr>
          <w:top w:val="nil"/>
          <w:left w:val="nil"/>
          <w:bottom w:val="nil"/>
          <w:right w:val="nil"/>
          <w:between w:val="nil"/>
        </w:pBdr>
        <w:tabs>
          <w:tab w:val="num" w:pos="-840"/>
          <w:tab w:val="left" w:pos="567"/>
        </w:tabs>
        <w:spacing w:after="0" w:line="240" w:lineRule="auto"/>
        <w:ind w:left="567" w:hanging="567"/>
        <w:jc w:val="both"/>
        <w:rPr>
          <w:rFonts w:ascii="Arial" w:eastAsia="Arial" w:hAnsi="Arial" w:cs="Arial"/>
          <w:bCs/>
          <w:highlight w:val="yellow"/>
          <w:lang w:val="es-ES_tradnl"/>
        </w:rPr>
      </w:pPr>
      <w:r w:rsidRPr="009734E0">
        <w:rPr>
          <w:rFonts w:ascii="Arial" w:eastAsia="Arial" w:hAnsi="Arial" w:cs="Arial"/>
          <w:bCs/>
          <w:highlight w:val="yellow"/>
        </w:rPr>
        <w:t>En consecuencia, este Colegiado estima pertinente precisar la distinción conceptual entre siniestro y accidente de tránsito a fin de evitar confusiones entre ambos términos.</w:t>
      </w:r>
    </w:p>
    <w:p w14:paraId="1032F9CC" w14:textId="77777777" w:rsidR="002B6DA2" w:rsidRPr="009734E0" w:rsidRDefault="002B6DA2" w:rsidP="002B6DA2">
      <w:pPr>
        <w:pStyle w:val="Prrafodelista"/>
        <w:spacing w:line="240" w:lineRule="auto"/>
        <w:ind w:left="567"/>
        <w:rPr>
          <w:rFonts w:ascii="Arial" w:eastAsia="Arial" w:hAnsi="Arial" w:cs="Arial"/>
          <w:bCs/>
          <w:highlight w:val="yellow"/>
          <w:lang w:val="es-ES_tradnl"/>
        </w:rPr>
      </w:pPr>
    </w:p>
    <w:p w14:paraId="0EA5CE98" w14:textId="77777777" w:rsidR="002B6DA2" w:rsidRPr="009734E0" w:rsidRDefault="002B6DA2" w:rsidP="002B6DA2">
      <w:pPr>
        <w:numPr>
          <w:ilvl w:val="1"/>
          <w:numId w:val="5"/>
        </w:numPr>
        <w:pBdr>
          <w:top w:val="nil"/>
          <w:left w:val="nil"/>
          <w:bottom w:val="nil"/>
          <w:right w:val="nil"/>
          <w:between w:val="nil"/>
        </w:pBdr>
        <w:tabs>
          <w:tab w:val="num" w:pos="-840"/>
          <w:tab w:val="left" w:pos="567"/>
        </w:tabs>
        <w:spacing w:after="0" w:line="240" w:lineRule="auto"/>
        <w:ind w:left="567" w:hanging="567"/>
        <w:jc w:val="both"/>
        <w:rPr>
          <w:rFonts w:ascii="Arial" w:eastAsia="Arial" w:hAnsi="Arial" w:cs="Arial"/>
          <w:bCs/>
          <w:highlight w:val="yellow"/>
          <w:lang w:val="es-ES_tradnl"/>
        </w:rPr>
      </w:pPr>
      <w:r w:rsidRPr="009734E0">
        <w:rPr>
          <w:rFonts w:ascii="Arial" w:eastAsia="Arial" w:hAnsi="Arial" w:cs="Arial"/>
          <w:bCs/>
          <w:highlight w:val="yellow"/>
          <w:lang w:val="es-ES_tradnl"/>
        </w:rPr>
        <w:t xml:space="preserve">Sobre el particular, la doctrina especializada sostiene que </w:t>
      </w:r>
      <w:r w:rsidRPr="009734E0">
        <w:rPr>
          <w:rFonts w:ascii="Arial" w:eastAsia="Arial" w:hAnsi="Arial" w:cs="Arial"/>
          <w:bCs/>
          <w:highlight w:val="yellow"/>
        </w:rPr>
        <w:t>el siniestro constituye la materialización del riesgo cubierto y, por tanto, implica la realización efectiva de un daño que puede ser de naturaleza patrimonial, personal o corporal</w:t>
      </w:r>
      <w:r w:rsidRPr="009734E0">
        <w:rPr>
          <w:rStyle w:val="Refdenotaalpie"/>
          <w:rFonts w:ascii="Arial" w:eastAsia="Arial" w:hAnsi="Arial" w:cs="Arial"/>
          <w:bCs/>
          <w:highlight w:val="yellow"/>
        </w:rPr>
        <w:footnoteReference w:id="12"/>
      </w:r>
      <w:r w:rsidRPr="009734E0">
        <w:rPr>
          <w:rFonts w:ascii="Arial" w:eastAsia="Arial" w:hAnsi="Arial" w:cs="Arial"/>
          <w:bCs/>
          <w:highlight w:val="yellow"/>
        </w:rPr>
        <w:t xml:space="preserve">. </w:t>
      </w:r>
      <w:r w:rsidRPr="009734E0">
        <w:rPr>
          <w:rFonts w:ascii="Arial" w:hAnsi="Arial" w:cs="Arial"/>
          <w:highlight w:val="yellow"/>
        </w:rPr>
        <w:t xml:space="preserve">En otras palabras, </w:t>
      </w:r>
      <w:r w:rsidRPr="009734E0">
        <w:rPr>
          <w:rStyle w:val="Textoennegrita"/>
          <w:rFonts w:ascii="Arial" w:hAnsi="Arial" w:cs="Arial"/>
          <w:b w:val="0"/>
          <w:bCs w:val="0"/>
          <w:highlight w:val="yellow"/>
        </w:rPr>
        <w:t>el hecho dañoso</w:t>
      </w:r>
      <w:r w:rsidRPr="009734E0">
        <w:rPr>
          <w:rFonts w:ascii="Arial" w:hAnsi="Arial" w:cs="Arial"/>
          <w:b/>
          <w:bCs/>
          <w:highlight w:val="yellow"/>
        </w:rPr>
        <w:t xml:space="preserve"> </w:t>
      </w:r>
      <w:r w:rsidRPr="009734E0">
        <w:rPr>
          <w:rFonts w:ascii="Arial" w:hAnsi="Arial" w:cs="Arial"/>
          <w:highlight w:val="yellow"/>
        </w:rPr>
        <w:t>se configura cuando la persona o el bien asegurado resulta afectado por un riesgo previsto en la póliza, siempre que la causa del perjuicio no se encuentre excluida, lo cual da lugar al nacimiento de la obligación de indemnizar por parte de la compañía aseguradora.</w:t>
      </w:r>
    </w:p>
    <w:p w14:paraId="09F35BA3" w14:textId="77777777" w:rsidR="002B6DA2" w:rsidRPr="009734E0" w:rsidRDefault="002B6DA2" w:rsidP="002B6DA2">
      <w:pPr>
        <w:pStyle w:val="Prrafodelista"/>
        <w:rPr>
          <w:rFonts w:ascii="Arial" w:eastAsia="Arial" w:hAnsi="Arial" w:cs="Arial"/>
          <w:bCs/>
          <w:highlight w:val="yellow"/>
          <w:lang w:val="es-ES_tradnl"/>
        </w:rPr>
      </w:pPr>
    </w:p>
    <w:p w14:paraId="580F3B74" w14:textId="77777777" w:rsidR="002B6DA2" w:rsidRPr="009734E0" w:rsidRDefault="002B6DA2" w:rsidP="002B6DA2">
      <w:pPr>
        <w:numPr>
          <w:ilvl w:val="1"/>
          <w:numId w:val="5"/>
        </w:numPr>
        <w:pBdr>
          <w:top w:val="nil"/>
          <w:left w:val="nil"/>
          <w:bottom w:val="nil"/>
          <w:right w:val="nil"/>
          <w:between w:val="nil"/>
        </w:pBdr>
        <w:tabs>
          <w:tab w:val="num" w:pos="-840"/>
          <w:tab w:val="left" w:pos="567"/>
        </w:tabs>
        <w:spacing w:after="0" w:line="240" w:lineRule="auto"/>
        <w:ind w:left="567" w:hanging="567"/>
        <w:jc w:val="both"/>
        <w:rPr>
          <w:rFonts w:ascii="Arial" w:eastAsia="Arial" w:hAnsi="Arial" w:cs="Arial"/>
          <w:bCs/>
          <w:highlight w:val="yellow"/>
          <w:lang w:val="es-ES_tradnl"/>
        </w:rPr>
      </w:pPr>
      <w:r w:rsidRPr="009734E0">
        <w:rPr>
          <w:rFonts w:ascii="Arial" w:eastAsia="Arial" w:hAnsi="Arial" w:cs="Arial"/>
          <w:bCs/>
          <w:highlight w:val="yellow"/>
          <w:lang w:val="es-ES_tradnl"/>
        </w:rPr>
        <w:t>En ese sentido, el siniestro materia de denuncia es la invalidez total y permanente que padece el señor Sarmiento, el cual es el riesgo cubierto en la póliza del SOAT. Por otro lado, el accidente de tránsito según el artículo 5 del Reglamento del SOAT</w:t>
      </w:r>
      <w:r w:rsidRPr="009734E0">
        <w:rPr>
          <w:rStyle w:val="Refdenotaalpie"/>
          <w:rFonts w:ascii="Arial" w:hAnsi="Arial" w:cs="Arial"/>
          <w:highlight w:val="yellow"/>
        </w:rPr>
        <w:footnoteReference w:id="13"/>
      </w:r>
      <w:r w:rsidRPr="009734E0">
        <w:rPr>
          <w:rFonts w:ascii="Arial" w:eastAsia="Arial" w:hAnsi="Arial" w:cs="Arial"/>
          <w:bCs/>
          <w:highlight w:val="yellow"/>
          <w:lang w:val="es-ES_tradnl"/>
        </w:rPr>
        <w:t xml:space="preserve"> es el evento súbito, imprevisto y violento (incluyendo incendio y acto terrorista) en el que participa un vehículo automotor en marcha o en reposo (detenido o estacionado) en la vía de uso público, causando daño a personas, sean ocupantes o terceros no ocupantes de vehículo automotor, que pueda ser determinado de una manera cierta.</w:t>
      </w:r>
    </w:p>
    <w:p w14:paraId="5B68B6AB" w14:textId="77777777" w:rsidR="002B6DA2" w:rsidRPr="009734E0" w:rsidRDefault="002B6DA2" w:rsidP="002B6DA2">
      <w:pPr>
        <w:pStyle w:val="Prrafodelista"/>
        <w:rPr>
          <w:rFonts w:ascii="Arial" w:eastAsia="Arial" w:hAnsi="Arial" w:cs="Arial"/>
          <w:bCs/>
          <w:highlight w:val="yellow"/>
          <w:lang w:val="es-ES_tradnl"/>
        </w:rPr>
      </w:pPr>
    </w:p>
    <w:p w14:paraId="5B349CAE" w14:textId="77777777" w:rsidR="002B6DA2" w:rsidRPr="009734E0" w:rsidRDefault="002B6DA2" w:rsidP="002B6DA2">
      <w:pPr>
        <w:numPr>
          <w:ilvl w:val="1"/>
          <w:numId w:val="5"/>
        </w:numPr>
        <w:pBdr>
          <w:top w:val="nil"/>
          <w:left w:val="nil"/>
          <w:bottom w:val="nil"/>
          <w:right w:val="nil"/>
          <w:between w:val="nil"/>
        </w:pBdr>
        <w:tabs>
          <w:tab w:val="num" w:pos="-840"/>
          <w:tab w:val="left" w:pos="567"/>
        </w:tabs>
        <w:spacing w:after="0" w:line="240" w:lineRule="auto"/>
        <w:ind w:left="567" w:hanging="567"/>
        <w:jc w:val="both"/>
        <w:rPr>
          <w:rFonts w:ascii="Arial" w:eastAsia="Arial" w:hAnsi="Arial" w:cs="Arial"/>
          <w:bCs/>
          <w:highlight w:val="yellow"/>
          <w:lang w:val="es-ES_tradnl"/>
        </w:rPr>
      </w:pPr>
      <w:r w:rsidRPr="009734E0">
        <w:rPr>
          <w:rFonts w:ascii="Arial" w:eastAsia="Arial" w:hAnsi="Arial" w:cs="Arial"/>
          <w:bCs/>
          <w:highlight w:val="yellow"/>
          <w:lang w:val="es-ES_tradnl"/>
        </w:rPr>
        <w:t>Por tanto, en la medida que la denuncia del señor Sarmiento estuvo dirigida a que se le pague la indemnización del SOAT en virtud de la UIT al momento del pago de la cobertura y no al momento del accidente de tránsito, corresponde a este Colegiado evaluar si correspondía la cobertura en dicho periodo.</w:t>
      </w:r>
    </w:p>
    <w:p w14:paraId="0C6BA1E5" w14:textId="77777777" w:rsidR="002B6DA2" w:rsidRPr="009734E0" w:rsidRDefault="002B6DA2" w:rsidP="002B6DA2">
      <w:pPr>
        <w:pStyle w:val="Prrafodelista"/>
        <w:rPr>
          <w:rFonts w:ascii="Arial" w:eastAsia="Arial" w:hAnsi="Arial" w:cs="Arial"/>
          <w:bCs/>
          <w:highlight w:val="yellow"/>
          <w:lang w:val="es-ES_tradnl"/>
        </w:rPr>
      </w:pPr>
    </w:p>
    <w:p w14:paraId="182E8A23" w14:textId="77777777" w:rsidR="002B6DA2" w:rsidRPr="009734E0" w:rsidRDefault="002B6DA2" w:rsidP="002B6DA2">
      <w:pPr>
        <w:numPr>
          <w:ilvl w:val="1"/>
          <w:numId w:val="5"/>
        </w:numPr>
        <w:pBdr>
          <w:top w:val="nil"/>
          <w:left w:val="nil"/>
          <w:bottom w:val="nil"/>
          <w:right w:val="nil"/>
          <w:between w:val="nil"/>
        </w:pBdr>
        <w:tabs>
          <w:tab w:val="num" w:pos="-840"/>
          <w:tab w:val="left" w:pos="567"/>
        </w:tabs>
        <w:spacing w:after="0" w:line="240" w:lineRule="auto"/>
        <w:ind w:left="567" w:hanging="567"/>
        <w:jc w:val="both"/>
        <w:rPr>
          <w:rFonts w:ascii="Arial" w:eastAsia="Times New Roman" w:hAnsi="Arial" w:cs="Arial"/>
          <w:highlight w:val="yellow"/>
        </w:rPr>
      </w:pPr>
      <w:r w:rsidRPr="009734E0">
        <w:rPr>
          <w:rFonts w:ascii="Arial" w:eastAsia="Arial" w:hAnsi="Arial" w:cs="Arial"/>
          <w:bCs/>
          <w:highlight w:val="yellow"/>
          <w:lang w:val="es-ES_tradnl"/>
        </w:rPr>
        <w:t xml:space="preserve">Cabe precisar, que si bien en su apelación, el señor Sarmiento señaló que en </w:t>
      </w:r>
      <w:r w:rsidRPr="009734E0">
        <w:rPr>
          <w:rFonts w:ascii="Arial" w:hAnsi="Arial" w:cs="Arial"/>
          <w:highlight w:val="yellow"/>
        </w:rPr>
        <w:t xml:space="preserve">el supuesto negado que no se considere la UIT del 2025 se deberá aplicar la UIT vigente al momento de la emisión del certificado médico, corresponde indicarle que ello no es posible, en la medida que se vulneraría el derecho de defensa </w:t>
      </w:r>
      <w:r w:rsidRPr="009734E0">
        <w:rPr>
          <w:rFonts w:ascii="Arial" w:eastAsia="Times New Roman" w:hAnsi="Arial" w:cs="Arial"/>
          <w:highlight w:val="yellow"/>
        </w:rPr>
        <w:t>de Interseguro, en la medida que la compañía aseguradora fue notificada con el escrito de denuncia y los medios probatorios adjuntos a esta, presentando los argumentos y medios probatorios que consideró pertinente para desvirtuar el hecho denunciado.</w:t>
      </w:r>
    </w:p>
    <w:p w14:paraId="4C76202E" w14:textId="77777777" w:rsidR="002B6DA2" w:rsidRPr="009734E0" w:rsidRDefault="002B6DA2" w:rsidP="002B6DA2">
      <w:pPr>
        <w:pStyle w:val="Prrafodelista"/>
        <w:spacing w:after="0" w:line="240" w:lineRule="auto"/>
        <w:ind w:left="567" w:right="-2"/>
        <w:jc w:val="both"/>
        <w:rPr>
          <w:rFonts w:ascii="Arial" w:eastAsia="Times New Roman" w:hAnsi="Arial" w:cs="Arial"/>
          <w:highlight w:val="yellow"/>
        </w:rPr>
      </w:pPr>
    </w:p>
    <w:p w14:paraId="45BA82E3" w14:textId="4527B4EC" w:rsidR="002B6DA2" w:rsidRPr="002B6DA2" w:rsidRDefault="002B6DA2" w:rsidP="002B6DA2">
      <w:pPr>
        <w:numPr>
          <w:ilvl w:val="1"/>
          <w:numId w:val="5"/>
        </w:numPr>
        <w:pBdr>
          <w:top w:val="nil"/>
          <w:left w:val="nil"/>
          <w:bottom w:val="nil"/>
          <w:right w:val="nil"/>
          <w:between w:val="nil"/>
        </w:pBdr>
        <w:tabs>
          <w:tab w:val="num" w:pos="-840"/>
          <w:tab w:val="left" w:pos="567"/>
        </w:tabs>
        <w:spacing w:after="0" w:line="240" w:lineRule="auto"/>
        <w:ind w:left="567" w:hanging="567"/>
        <w:jc w:val="both"/>
        <w:rPr>
          <w:rFonts w:ascii="Arial" w:eastAsia="Arial" w:hAnsi="Arial" w:cs="Arial"/>
        </w:rPr>
      </w:pPr>
      <w:r w:rsidRPr="009734E0">
        <w:rPr>
          <w:rFonts w:ascii="Arial" w:eastAsia="Arial" w:hAnsi="Arial" w:cs="Arial"/>
          <w:bCs/>
          <w:highlight w:val="yellow"/>
        </w:rPr>
        <w:t xml:space="preserve">En base a lo expuesto, corresponde evaluar si correspondía que </w:t>
      </w:r>
      <w:r w:rsidRPr="009734E0">
        <w:rPr>
          <w:rFonts w:ascii="Arial" w:eastAsia="Arial" w:hAnsi="Arial" w:cs="Arial"/>
          <w:highlight w:val="yellow"/>
        </w:rPr>
        <w:t xml:space="preserve">Interseguro pague la indemnización por invalidez permanente parcial del 28% utilizando la UIT </w:t>
      </w:r>
      <w:r w:rsidRPr="009734E0">
        <w:rPr>
          <w:rFonts w:ascii="Arial" w:hAnsi="Arial" w:cs="Arial"/>
          <w:highlight w:val="yellow"/>
        </w:rPr>
        <w:t>vigente del año en que pagó</w:t>
      </w:r>
      <w:r w:rsidRPr="009734E0">
        <w:rPr>
          <w:rFonts w:ascii="Arial" w:eastAsia="Arial" w:hAnsi="Arial" w:cs="Arial"/>
        </w:rPr>
        <w:t>.</w:t>
      </w:r>
    </w:p>
    <w:p w14:paraId="5F03CAA9" w14:textId="77777777" w:rsidR="008A56C2" w:rsidRDefault="008A56C2">
      <w:pPr>
        <w:pBdr>
          <w:top w:val="nil"/>
          <w:left w:val="nil"/>
          <w:bottom w:val="nil"/>
          <w:right w:val="nil"/>
          <w:between w:val="nil"/>
        </w:pBdr>
        <w:tabs>
          <w:tab w:val="left" w:pos="567"/>
        </w:tabs>
        <w:spacing w:after="0" w:line="240" w:lineRule="auto"/>
        <w:ind w:left="567"/>
        <w:jc w:val="both"/>
        <w:rPr>
          <w:rFonts w:ascii="Arial" w:eastAsia="Arial" w:hAnsi="Arial" w:cs="Arial"/>
        </w:rPr>
      </w:pPr>
    </w:p>
    <w:p w14:paraId="52E73D2C" w14:textId="77777777" w:rsidR="00563BF5" w:rsidRDefault="00563BF5" w:rsidP="00563BF5">
      <w:pPr>
        <w:numPr>
          <w:ilvl w:val="1"/>
          <w:numId w:val="5"/>
        </w:numPr>
        <w:pBdr>
          <w:top w:val="nil"/>
          <w:left w:val="nil"/>
          <w:bottom w:val="nil"/>
          <w:right w:val="nil"/>
          <w:between w:val="nil"/>
        </w:pBdr>
        <w:tabs>
          <w:tab w:val="left" w:pos="567"/>
        </w:tabs>
        <w:spacing w:after="0" w:line="240" w:lineRule="auto"/>
        <w:ind w:left="567" w:hanging="567"/>
        <w:jc w:val="both"/>
        <w:rPr>
          <w:rFonts w:ascii="Arial" w:eastAsia="Arial" w:hAnsi="Arial" w:cs="Arial"/>
        </w:rPr>
      </w:pPr>
      <w:r>
        <w:rPr>
          <w:rFonts w:ascii="Arial" w:eastAsia="Arial" w:hAnsi="Arial" w:cs="Arial"/>
        </w:rPr>
        <w:t xml:space="preserve">En el presente caso, </w:t>
      </w:r>
      <w:r w:rsidRPr="0033320A">
        <w:rPr>
          <w:rFonts w:ascii="Arial" w:eastAsia="Arial" w:hAnsi="Arial" w:cs="Arial"/>
          <w:highlight w:val="cyan"/>
        </w:rPr>
        <w:t>el señor Arango</w:t>
      </w:r>
      <w:r>
        <w:rPr>
          <w:rFonts w:ascii="Arial" w:eastAsia="Arial" w:hAnsi="Arial" w:cs="Arial"/>
        </w:rPr>
        <w:t xml:space="preserve"> </w:t>
      </w:r>
      <w:r w:rsidRPr="0033320A">
        <w:rPr>
          <w:rFonts w:ascii="Arial" w:eastAsia="Arial" w:hAnsi="Arial" w:cs="Arial"/>
          <w:highlight w:val="magenta"/>
        </w:rPr>
        <w:t>denunció al Banco</w:t>
      </w:r>
      <w:r>
        <w:rPr>
          <w:rFonts w:ascii="Arial" w:eastAsia="Arial" w:hAnsi="Arial" w:cs="Arial"/>
        </w:rPr>
        <w:t xml:space="preserve"> señalando que: </w:t>
      </w:r>
      <w:r w:rsidRPr="0033320A">
        <w:rPr>
          <w:rFonts w:ascii="Arial" w:eastAsia="Arial" w:hAnsi="Arial" w:cs="Arial"/>
          <w:highlight w:val="green"/>
        </w:rPr>
        <w:t>(i) habría atribuido un seguro de protección de tarjetas, cuya contratación no reconoce; (ii) se habría demorado en la entrega de la Tarjeta de Crédito N° 3777-***-***-*8780 y su posterior bloqueo indebido; (iii) habría permitido la realización de una operación no reconocida por la suma de S/ 1 708,00</w:t>
      </w:r>
      <w:r>
        <w:rPr>
          <w:rFonts w:ascii="Arial" w:eastAsia="Arial" w:hAnsi="Arial" w:cs="Arial"/>
        </w:rPr>
        <w:t xml:space="preserve">. Asimismo, se </w:t>
      </w:r>
      <w:r w:rsidRPr="0033320A">
        <w:rPr>
          <w:rFonts w:ascii="Arial" w:eastAsia="Arial" w:hAnsi="Arial" w:cs="Arial"/>
          <w:highlight w:val="magenta"/>
        </w:rPr>
        <w:t>denunció que Prex</w:t>
      </w:r>
      <w:r>
        <w:rPr>
          <w:rFonts w:ascii="Arial" w:eastAsia="Arial" w:hAnsi="Arial" w:cs="Arial"/>
        </w:rPr>
        <w:t xml:space="preserve"> </w:t>
      </w:r>
      <w:r w:rsidRPr="0033320A">
        <w:rPr>
          <w:rFonts w:ascii="Arial" w:eastAsia="Arial" w:hAnsi="Arial" w:cs="Arial"/>
          <w:highlight w:val="cyan"/>
        </w:rPr>
        <w:t>habría bloqueado su Tarjeta Prepago N° **********2704, de forma física y virtual sin justificación alguna</w:t>
      </w:r>
      <w:r>
        <w:rPr>
          <w:rFonts w:ascii="Arial" w:eastAsia="Arial" w:hAnsi="Arial" w:cs="Arial"/>
        </w:rPr>
        <w:t>.</w:t>
      </w:r>
    </w:p>
    <w:p w14:paraId="1FFD10F7" w14:textId="77777777" w:rsidR="008A56C2" w:rsidRDefault="008A56C2">
      <w:pPr>
        <w:tabs>
          <w:tab w:val="left" w:pos="567"/>
        </w:tabs>
        <w:spacing w:after="0" w:line="240" w:lineRule="auto"/>
        <w:jc w:val="both"/>
        <w:rPr>
          <w:rFonts w:ascii="Arial" w:eastAsia="Arial" w:hAnsi="Arial" w:cs="Arial"/>
        </w:rPr>
      </w:pPr>
    </w:p>
    <w:p w14:paraId="5D3FAFA2" w14:textId="06DC2643" w:rsidR="00B23BDF" w:rsidRDefault="00E03F3D" w:rsidP="00B23BDF">
      <w:pPr>
        <w:numPr>
          <w:ilvl w:val="1"/>
          <w:numId w:val="5"/>
        </w:numPr>
        <w:pBdr>
          <w:top w:val="nil"/>
          <w:left w:val="nil"/>
          <w:bottom w:val="nil"/>
          <w:right w:val="nil"/>
          <w:between w:val="nil"/>
        </w:pBdr>
        <w:tabs>
          <w:tab w:val="left" w:pos="567"/>
        </w:tabs>
        <w:spacing w:after="0" w:line="240" w:lineRule="auto"/>
        <w:ind w:left="567" w:hanging="567"/>
        <w:jc w:val="both"/>
        <w:rPr>
          <w:rFonts w:ascii="Arial" w:eastAsia="Arial" w:hAnsi="Arial" w:cs="Arial"/>
        </w:rPr>
      </w:pPr>
      <w:r>
        <w:rPr>
          <w:rFonts w:ascii="Arial" w:eastAsia="Arial" w:hAnsi="Arial" w:cs="Arial"/>
        </w:rPr>
        <w:t>Sobre el particular</w:t>
      </w:r>
      <w:r w:rsidR="003D4B16">
        <w:rPr>
          <w:rFonts w:ascii="Arial" w:eastAsia="Arial" w:hAnsi="Arial" w:cs="Arial"/>
        </w:rPr>
        <w:t xml:space="preserve">, </w:t>
      </w:r>
      <w:r w:rsidR="003D4B16" w:rsidRPr="0033320A">
        <w:rPr>
          <w:rFonts w:ascii="Arial" w:eastAsia="Arial" w:hAnsi="Arial" w:cs="Arial"/>
          <w:highlight w:val="red"/>
        </w:rPr>
        <w:t xml:space="preserve">se advierte que </w:t>
      </w:r>
      <w:r w:rsidR="002432A6" w:rsidRPr="0033320A">
        <w:rPr>
          <w:rFonts w:ascii="Arial" w:eastAsia="Arial" w:hAnsi="Arial" w:cs="Arial"/>
          <w:highlight w:val="red"/>
        </w:rPr>
        <w:t xml:space="preserve">las </w:t>
      </w:r>
      <w:r w:rsidR="00D916E1" w:rsidRPr="0033320A">
        <w:rPr>
          <w:rFonts w:ascii="Arial" w:eastAsia="Arial" w:hAnsi="Arial" w:cs="Arial"/>
          <w:highlight w:val="red"/>
        </w:rPr>
        <w:t>cuatro</w:t>
      </w:r>
      <w:r w:rsidR="003D4B16" w:rsidRPr="0033320A">
        <w:rPr>
          <w:rFonts w:ascii="Arial" w:eastAsia="Arial" w:hAnsi="Arial" w:cs="Arial"/>
          <w:highlight w:val="red"/>
        </w:rPr>
        <w:t xml:space="preserve"> (</w:t>
      </w:r>
      <w:r w:rsidR="008D1415" w:rsidRPr="0033320A">
        <w:rPr>
          <w:rFonts w:ascii="Arial" w:eastAsia="Arial" w:hAnsi="Arial" w:cs="Arial"/>
          <w:highlight w:val="red"/>
        </w:rPr>
        <w:t>4</w:t>
      </w:r>
      <w:r w:rsidR="003D4B16" w:rsidRPr="0033320A">
        <w:rPr>
          <w:rFonts w:ascii="Arial" w:eastAsia="Arial" w:hAnsi="Arial" w:cs="Arial"/>
          <w:highlight w:val="red"/>
        </w:rPr>
        <w:t>) conductas infractoras</w:t>
      </w:r>
      <w:r w:rsidR="0022783D" w:rsidRPr="0033320A">
        <w:rPr>
          <w:rFonts w:ascii="Arial" w:eastAsia="Arial" w:hAnsi="Arial" w:cs="Arial"/>
          <w:highlight w:val="red"/>
        </w:rPr>
        <w:t xml:space="preserve"> denunciadas por el señor Arango</w:t>
      </w:r>
      <w:r w:rsidR="003D4B16" w:rsidRPr="0033320A">
        <w:rPr>
          <w:rFonts w:ascii="Arial" w:eastAsia="Arial" w:hAnsi="Arial" w:cs="Arial"/>
          <w:highlight w:val="red"/>
        </w:rPr>
        <w:t xml:space="preserve"> </w:t>
      </w:r>
      <w:bookmarkStart w:id="5" w:name="_heading=h.3znysh7" w:colFirst="0" w:colLast="0"/>
      <w:bookmarkEnd w:id="5"/>
      <w:r w:rsidR="008D1415" w:rsidRPr="0033320A">
        <w:rPr>
          <w:rFonts w:ascii="Arial" w:eastAsia="Arial" w:hAnsi="Arial" w:cs="Arial"/>
          <w:highlight w:val="red"/>
        </w:rPr>
        <w:t>se encuentran vinculadas a cuatro (4) productos financieros distintos, motivo por el cual,</w:t>
      </w:r>
      <w:r w:rsidR="00D3316B" w:rsidRPr="0033320A">
        <w:rPr>
          <w:rFonts w:ascii="Arial" w:eastAsia="Arial" w:hAnsi="Arial" w:cs="Arial"/>
          <w:highlight w:val="red"/>
        </w:rPr>
        <w:t xml:space="preserve"> la cuantía de </w:t>
      </w:r>
      <w:r w:rsidR="00173D93" w:rsidRPr="0033320A">
        <w:rPr>
          <w:rFonts w:ascii="Arial" w:eastAsia="Arial" w:hAnsi="Arial" w:cs="Arial"/>
          <w:highlight w:val="red"/>
        </w:rPr>
        <w:t>cada uno</w:t>
      </w:r>
      <w:r w:rsidR="00D3316B" w:rsidRPr="0033320A">
        <w:rPr>
          <w:rFonts w:ascii="Arial" w:eastAsia="Arial" w:hAnsi="Arial" w:cs="Arial"/>
          <w:highlight w:val="red"/>
        </w:rPr>
        <w:t xml:space="preserve"> debe determinarse de manera independiente</w:t>
      </w:r>
      <w:r w:rsidR="00266647" w:rsidRPr="0033320A">
        <w:rPr>
          <w:rFonts w:ascii="Arial" w:eastAsia="Arial" w:hAnsi="Arial" w:cs="Arial"/>
          <w:highlight w:val="red"/>
        </w:rPr>
        <w:t>, y no de manera conjunta</w:t>
      </w:r>
      <w:r w:rsidR="008D1415">
        <w:rPr>
          <w:rFonts w:ascii="Arial" w:eastAsia="Arial" w:hAnsi="Arial" w:cs="Arial"/>
        </w:rPr>
        <w:t>.</w:t>
      </w:r>
    </w:p>
    <w:p w14:paraId="718B9803" w14:textId="60FE5819" w:rsidR="001F08D0" w:rsidRDefault="001F08D0" w:rsidP="00B145B6">
      <w:pPr>
        <w:pBdr>
          <w:top w:val="nil"/>
          <w:left w:val="nil"/>
          <w:bottom w:val="nil"/>
          <w:right w:val="nil"/>
          <w:between w:val="nil"/>
        </w:pBdr>
        <w:tabs>
          <w:tab w:val="left" w:pos="567"/>
        </w:tabs>
        <w:spacing w:after="0" w:line="240" w:lineRule="auto"/>
        <w:ind w:left="567"/>
        <w:jc w:val="both"/>
        <w:rPr>
          <w:rFonts w:ascii="Arial" w:eastAsia="Arial" w:hAnsi="Arial" w:cs="Arial"/>
        </w:rPr>
      </w:pPr>
    </w:p>
    <w:p w14:paraId="5839FBF0" w14:textId="6D0E9570" w:rsidR="00B23BDF" w:rsidRPr="00DA3A33" w:rsidRDefault="009847D8" w:rsidP="00565D85">
      <w:pPr>
        <w:numPr>
          <w:ilvl w:val="1"/>
          <w:numId w:val="5"/>
        </w:numPr>
        <w:pBdr>
          <w:top w:val="nil"/>
          <w:left w:val="nil"/>
          <w:bottom w:val="nil"/>
          <w:right w:val="nil"/>
          <w:between w:val="nil"/>
        </w:pBdr>
        <w:tabs>
          <w:tab w:val="left" w:pos="567"/>
        </w:tabs>
        <w:spacing w:after="0" w:line="240" w:lineRule="auto"/>
        <w:ind w:left="567" w:hanging="567"/>
        <w:jc w:val="both"/>
        <w:rPr>
          <w:rFonts w:ascii="Arial" w:eastAsia="Arial" w:hAnsi="Arial" w:cs="Arial"/>
        </w:rPr>
      </w:pPr>
      <w:r>
        <w:rPr>
          <w:rFonts w:ascii="Arial" w:eastAsia="Arial" w:hAnsi="Arial" w:cs="Arial"/>
        </w:rPr>
        <w:t xml:space="preserve">En esa línea, </w:t>
      </w:r>
      <w:r w:rsidRPr="0033320A">
        <w:rPr>
          <w:rFonts w:ascii="Arial" w:eastAsia="Arial" w:hAnsi="Arial" w:cs="Arial"/>
          <w:highlight w:val="green"/>
        </w:rPr>
        <w:t>r</w:t>
      </w:r>
      <w:r w:rsidR="00516BDF" w:rsidRPr="0033320A">
        <w:rPr>
          <w:rFonts w:ascii="Arial" w:eastAsia="Arial" w:hAnsi="Arial" w:cs="Arial"/>
          <w:highlight w:val="green"/>
        </w:rPr>
        <w:t>especto al primer extremo</w:t>
      </w:r>
      <w:r w:rsidR="003D4B16" w:rsidRPr="0033320A">
        <w:rPr>
          <w:rFonts w:ascii="Arial" w:eastAsia="Arial" w:hAnsi="Arial" w:cs="Arial"/>
          <w:highlight w:val="green"/>
        </w:rPr>
        <w:t xml:space="preserve">, </w:t>
      </w:r>
      <w:r w:rsidR="00060983" w:rsidRPr="0033320A">
        <w:rPr>
          <w:rFonts w:ascii="Arial" w:eastAsia="Arial" w:hAnsi="Arial" w:cs="Arial"/>
          <w:highlight w:val="green"/>
        </w:rPr>
        <w:t>el hecho cuestionado</w:t>
      </w:r>
      <w:r w:rsidR="003D4B16" w:rsidRPr="0033320A">
        <w:rPr>
          <w:rFonts w:ascii="Arial" w:eastAsia="Arial" w:hAnsi="Arial" w:cs="Arial"/>
          <w:highlight w:val="green"/>
        </w:rPr>
        <w:t xml:space="preserve"> la demora en la entrega de Tarjeta de Crédito Amex Centurion Gold N° 3777-***-***-*8780, </w:t>
      </w:r>
      <w:r w:rsidR="00565D85" w:rsidRPr="0033320A">
        <w:rPr>
          <w:rFonts w:ascii="Arial" w:eastAsia="Arial" w:hAnsi="Arial" w:cs="Arial"/>
          <w:highlight w:val="green"/>
        </w:rPr>
        <w:t xml:space="preserve">este debe ser valorado, </w:t>
      </w:r>
      <w:r w:rsidR="00B23BDF" w:rsidRPr="0033320A">
        <w:rPr>
          <w:rFonts w:ascii="Arial" w:eastAsia="Arial" w:hAnsi="Arial" w:cs="Arial"/>
          <w:highlight w:val="green"/>
        </w:rPr>
        <w:t>según lo indicado en el inciso (i) del considerando 17 de la presente resolución; por lo que, la cuantía se determina</w:t>
      </w:r>
      <w:r w:rsidR="00565D85" w:rsidRPr="0033320A">
        <w:rPr>
          <w:rFonts w:ascii="Arial" w:eastAsia="Arial" w:hAnsi="Arial" w:cs="Arial"/>
          <w:highlight w:val="green"/>
        </w:rPr>
        <w:t>rá</w:t>
      </w:r>
      <w:r w:rsidR="00B23BDF" w:rsidRPr="0033320A">
        <w:rPr>
          <w:rFonts w:ascii="Arial" w:eastAsia="Arial" w:hAnsi="Arial" w:cs="Arial"/>
          <w:highlight w:val="green"/>
        </w:rPr>
        <w:t xml:space="preserve"> por el valor del producto </w:t>
      </w:r>
      <w:r w:rsidR="00DA3A33" w:rsidRPr="0033320A">
        <w:rPr>
          <w:rFonts w:ascii="Arial" w:eastAsia="Arial" w:hAnsi="Arial" w:cs="Arial"/>
          <w:highlight w:val="green"/>
        </w:rPr>
        <w:t>o servicio materia de controversia</w:t>
      </w:r>
      <w:r w:rsidR="00565D85" w:rsidRPr="0033320A">
        <w:rPr>
          <w:rFonts w:ascii="Arial" w:eastAsia="Arial" w:hAnsi="Arial" w:cs="Arial"/>
          <w:highlight w:val="green"/>
        </w:rPr>
        <w:t>. En el presente caso, la demora del Banco está asociada a la entrega de la Tarjeta de Crédito Amex Centurion Gold N° 3777-***-***-*8780; por lo que, se valorará el valor de este producto (línea de crédito), la cual asciende a la suma de S/ 1 700,00</w:t>
      </w:r>
      <w:r w:rsidR="00565D85" w:rsidRPr="00DA3A33">
        <w:rPr>
          <w:rFonts w:ascii="Arial" w:eastAsia="Arial" w:hAnsi="Arial" w:cs="Arial"/>
        </w:rPr>
        <w:t xml:space="preserve">. </w:t>
      </w:r>
    </w:p>
    <w:p w14:paraId="73D800F3" w14:textId="43831754" w:rsidR="00B23BDF" w:rsidRDefault="00B23BDF" w:rsidP="00B23BDF">
      <w:pPr>
        <w:pBdr>
          <w:top w:val="nil"/>
          <w:left w:val="nil"/>
          <w:bottom w:val="nil"/>
          <w:right w:val="nil"/>
          <w:between w:val="nil"/>
        </w:pBdr>
        <w:tabs>
          <w:tab w:val="left" w:pos="567"/>
        </w:tabs>
        <w:spacing w:after="0" w:line="240" w:lineRule="auto"/>
        <w:ind w:left="567"/>
        <w:jc w:val="both"/>
        <w:rPr>
          <w:rFonts w:ascii="Arial" w:eastAsia="Arial" w:hAnsi="Arial" w:cs="Arial"/>
        </w:rPr>
      </w:pPr>
    </w:p>
    <w:p w14:paraId="38B4CEAF" w14:textId="77777777" w:rsidR="00834112" w:rsidRPr="0033320A" w:rsidRDefault="006D77DF" w:rsidP="00834112">
      <w:pPr>
        <w:numPr>
          <w:ilvl w:val="1"/>
          <w:numId w:val="5"/>
        </w:numPr>
        <w:pBdr>
          <w:top w:val="nil"/>
          <w:left w:val="nil"/>
          <w:bottom w:val="nil"/>
          <w:right w:val="nil"/>
          <w:between w:val="nil"/>
        </w:pBdr>
        <w:tabs>
          <w:tab w:val="left" w:pos="567"/>
        </w:tabs>
        <w:spacing w:after="0" w:line="240" w:lineRule="auto"/>
        <w:ind w:left="567" w:hanging="567"/>
        <w:jc w:val="both"/>
        <w:rPr>
          <w:rFonts w:ascii="Arial" w:eastAsia="Arial" w:hAnsi="Arial" w:cs="Arial"/>
          <w:highlight w:val="cyan"/>
        </w:rPr>
      </w:pPr>
      <w:r>
        <w:rPr>
          <w:rFonts w:ascii="Arial" w:eastAsia="Arial" w:hAnsi="Arial" w:cs="Arial"/>
        </w:rPr>
        <w:t xml:space="preserve">Respecto </w:t>
      </w:r>
      <w:r w:rsidRPr="0033320A">
        <w:rPr>
          <w:rFonts w:ascii="Arial" w:eastAsia="Arial" w:hAnsi="Arial" w:cs="Arial"/>
          <w:highlight w:val="cyan"/>
        </w:rPr>
        <w:t>al</w:t>
      </w:r>
      <w:r w:rsidR="00DA3A33" w:rsidRPr="0033320A">
        <w:rPr>
          <w:rFonts w:ascii="Arial" w:eastAsia="Arial" w:hAnsi="Arial" w:cs="Arial"/>
          <w:highlight w:val="cyan"/>
        </w:rPr>
        <w:t xml:space="preserve"> segundo hecho cuestionado, </w:t>
      </w:r>
      <w:r w:rsidR="003D4B16" w:rsidRPr="0033320A">
        <w:rPr>
          <w:rFonts w:ascii="Arial" w:eastAsia="Arial" w:hAnsi="Arial" w:cs="Arial"/>
          <w:highlight w:val="cyan"/>
        </w:rPr>
        <w:t xml:space="preserve">la atribución del seguro “Tarjetas 360”; advertimos que </w:t>
      </w:r>
      <w:r w:rsidR="00DA3A33" w:rsidRPr="0033320A">
        <w:rPr>
          <w:rFonts w:ascii="Arial" w:eastAsia="Arial" w:hAnsi="Arial" w:cs="Arial"/>
          <w:highlight w:val="cyan"/>
        </w:rPr>
        <w:t xml:space="preserve">dicha </w:t>
      </w:r>
      <w:r w:rsidR="003D4B16" w:rsidRPr="0033320A">
        <w:rPr>
          <w:rFonts w:ascii="Arial" w:eastAsia="Arial" w:hAnsi="Arial" w:cs="Arial"/>
          <w:highlight w:val="cyan"/>
        </w:rPr>
        <w:t xml:space="preserve">conducta </w:t>
      </w:r>
      <w:bookmarkStart w:id="6" w:name="_Hlk165622287"/>
      <w:r w:rsidR="003D4B16" w:rsidRPr="0033320A">
        <w:rPr>
          <w:rFonts w:ascii="Arial" w:eastAsia="Arial" w:hAnsi="Arial" w:cs="Arial"/>
          <w:highlight w:val="cyan"/>
        </w:rPr>
        <w:t>será valorada según lo indicado en el inciso (i) del considerando 17 de la presente resolución; por lo que, la cuantía se determina por el valor del producto o servicio materia de controversia.</w:t>
      </w:r>
      <w:r w:rsidR="006E1D18" w:rsidRPr="0033320A">
        <w:rPr>
          <w:rFonts w:ascii="Arial" w:eastAsia="Arial" w:hAnsi="Arial" w:cs="Arial"/>
          <w:highlight w:val="cyan"/>
        </w:rPr>
        <w:t xml:space="preserve"> </w:t>
      </w:r>
    </w:p>
    <w:p w14:paraId="11BE833B" w14:textId="77777777" w:rsidR="00690020" w:rsidRPr="0033320A" w:rsidRDefault="00690020" w:rsidP="00690020">
      <w:pPr>
        <w:pBdr>
          <w:top w:val="nil"/>
          <w:left w:val="nil"/>
          <w:bottom w:val="nil"/>
          <w:right w:val="nil"/>
          <w:between w:val="nil"/>
        </w:pBdr>
        <w:tabs>
          <w:tab w:val="left" w:pos="567"/>
        </w:tabs>
        <w:spacing w:after="0" w:line="240" w:lineRule="auto"/>
        <w:ind w:left="567"/>
        <w:jc w:val="both"/>
        <w:rPr>
          <w:rFonts w:ascii="Arial" w:eastAsia="Arial" w:hAnsi="Arial" w:cs="Arial"/>
          <w:highlight w:val="cyan"/>
        </w:rPr>
      </w:pPr>
    </w:p>
    <w:p w14:paraId="2608BBB9" w14:textId="025F29CC" w:rsidR="008A56C2" w:rsidRPr="00690020" w:rsidRDefault="00834112" w:rsidP="00690020">
      <w:pPr>
        <w:numPr>
          <w:ilvl w:val="1"/>
          <w:numId w:val="5"/>
        </w:numPr>
        <w:pBdr>
          <w:top w:val="nil"/>
          <w:left w:val="nil"/>
          <w:bottom w:val="nil"/>
          <w:right w:val="nil"/>
          <w:between w:val="nil"/>
        </w:pBdr>
        <w:tabs>
          <w:tab w:val="left" w:pos="567"/>
        </w:tabs>
        <w:spacing w:after="0" w:line="240" w:lineRule="auto"/>
        <w:ind w:left="567" w:hanging="567"/>
        <w:jc w:val="both"/>
        <w:rPr>
          <w:rFonts w:ascii="Arial" w:eastAsia="Arial" w:hAnsi="Arial" w:cs="Arial"/>
        </w:rPr>
      </w:pPr>
      <w:r w:rsidRPr="0033320A">
        <w:rPr>
          <w:rFonts w:ascii="Arial" w:eastAsia="Arial" w:hAnsi="Arial" w:cs="Arial"/>
          <w:highlight w:val="cyan"/>
        </w:rPr>
        <w:t xml:space="preserve">En efecto, al </w:t>
      </w:r>
      <w:r w:rsidR="00690020" w:rsidRPr="0033320A">
        <w:rPr>
          <w:rFonts w:ascii="Arial" w:eastAsia="Arial" w:hAnsi="Arial" w:cs="Arial"/>
          <w:highlight w:val="cyan"/>
        </w:rPr>
        <w:t>cuestionarse</w:t>
      </w:r>
      <w:r w:rsidRPr="0033320A">
        <w:rPr>
          <w:rFonts w:ascii="Arial" w:eastAsia="Arial" w:hAnsi="Arial" w:cs="Arial"/>
          <w:highlight w:val="cyan"/>
        </w:rPr>
        <w:t xml:space="preserve"> la </w:t>
      </w:r>
      <w:r w:rsidR="006E1D18" w:rsidRPr="0033320A">
        <w:rPr>
          <w:rFonts w:ascii="Arial" w:eastAsia="Arial" w:hAnsi="Arial" w:cs="Arial"/>
          <w:highlight w:val="cyan"/>
        </w:rPr>
        <w:t>atribución del seguro “Tarjetas 360”</w:t>
      </w:r>
      <w:r w:rsidR="00690020" w:rsidRPr="0033320A">
        <w:rPr>
          <w:rFonts w:ascii="Arial" w:eastAsia="Arial" w:hAnsi="Arial" w:cs="Arial"/>
          <w:highlight w:val="cyan"/>
        </w:rPr>
        <w:t xml:space="preserve">, debe considerarse que la cuantía de la infracción está determinada por el </w:t>
      </w:r>
      <w:r w:rsidR="004C3FED" w:rsidRPr="0033320A">
        <w:rPr>
          <w:rFonts w:ascii="Arial" w:eastAsia="Arial" w:hAnsi="Arial" w:cs="Arial"/>
          <w:highlight w:val="cyan"/>
        </w:rPr>
        <w:t xml:space="preserve">valor de este </w:t>
      </w:r>
      <w:r w:rsidR="00690020" w:rsidRPr="0033320A">
        <w:rPr>
          <w:rFonts w:ascii="Arial" w:eastAsia="Arial" w:hAnsi="Arial" w:cs="Arial"/>
          <w:highlight w:val="cyan"/>
        </w:rPr>
        <w:t>producto, el cual se pretendería cobrar con la presunta atribución, siendo que, en el presente caso</w:t>
      </w:r>
      <w:r w:rsidR="00052930" w:rsidRPr="0033320A">
        <w:rPr>
          <w:rFonts w:ascii="Arial" w:eastAsia="Arial" w:hAnsi="Arial" w:cs="Arial"/>
          <w:highlight w:val="cyan"/>
        </w:rPr>
        <w:t xml:space="preserve">, este valor </w:t>
      </w:r>
      <w:r w:rsidR="00C10236" w:rsidRPr="0033320A">
        <w:rPr>
          <w:rFonts w:ascii="Arial" w:eastAsia="Arial" w:hAnsi="Arial" w:cs="Arial"/>
          <w:highlight w:val="cyan"/>
        </w:rPr>
        <w:t>está</w:t>
      </w:r>
      <w:r w:rsidR="00052930" w:rsidRPr="0033320A">
        <w:rPr>
          <w:rFonts w:ascii="Arial" w:eastAsia="Arial" w:hAnsi="Arial" w:cs="Arial"/>
          <w:highlight w:val="cyan"/>
        </w:rPr>
        <w:t xml:space="preserve"> determinado por la prima del seguro, </w:t>
      </w:r>
      <w:r w:rsidR="00693205" w:rsidRPr="0033320A">
        <w:rPr>
          <w:rFonts w:ascii="Arial" w:eastAsia="Arial" w:hAnsi="Arial" w:cs="Arial"/>
          <w:highlight w:val="cyan"/>
        </w:rPr>
        <w:t>el</w:t>
      </w:r>
      <w:r w:rsidR="006E1D18" w:rsidRPr="0033320A">
        <w:rPr>
          <w:rFonts w:ascii="Arial" w:eastAsia="Arial" w:hAnsi="Arial" w:cs="Arial"/>
          <w:highlight w:val="cyan"/>
        </w:rPr>
        <w:t xml:space="preserve"> cual asciende a la suma de S/ </w:t>
      </w:r>
      <w:r w:rsidR="00693205" w:rsidRPr="0033320A">
        <w:rPr>
          <w:rFonts w:ascii="Arial" w:eastAsia="Arial" w:hAnsi="Arial" w:cs="Arial"/>
          <w:highlight w:val="cyan"/>
        </w:rPr>
        <w:t>12,90</w:t>
      </w:r>
      <w:r w:rsidR="006E1D18" w:rsidRPr="00690020">
        <w:rPr>
          <w:rFonts w:ascii="Arial" w:eastAsia="Arial" w:hAnsi="Arial" w:cs="Arial"/>
        </w:rPr>
        <w:t>.</w:t>
      </w:r>
    </w:p>
    <w:bookmarkEnd w:id="6"/>
    <w:p w14:paraId="3816790E" w14:textId="77777777" w:rsidR="008A56C2" w:rsidRDefault="008A56C2">
      <w:pPr>
        <w:pBdr>
          <w:top w:val="nil"/>
          <w:left w:val="nil"/>
          <w:bottom w:val="nil"/>
          <w:right w:val="nil"/>
          <w:between w:val="nil"/>
        </w:pBdr>
        <w:spacing w:after="0"/>
        <w:ind w:left="720"/>
        <w:rPr>
          <w:rFonts w:ascii="Arial" w:eastAsia="Arial" w:hAnsi="Arial" w:cs="Arial"/>
        </w:rPr>
      </w:pPr>
    </w:p>
    <w:p w14:paraId="38AC9FC4" w14:textId="5DA6C143" w:rsidR="00C3728F" w:rsidRPr="0033320A" w:rsidRDefault="00C10236" w:rsidP="0033320A">
      <w:pPr>
        <w:numPr>
          <w:ilvl w:val="1"/>
          <w:numId w:val="5"/>
        </w:numPr>
        <w:pBdr>
          <w:top w:val="nil"/>
          <w:left w:val="nil"/>
          <w:bottom w:val="nil"/>
          <w:right w:val="nil"/>
          <w:between w:val="nil"/>
        </w:pBdr>
        <w:tabs>
          <w:tab w:val="left" w:pos="567"/>
        </w:tabs>
        <w:spacing w:after="0" w:line="240" w:lineRule="auto"/>
        <w:ind w:left="567" w:hanging="567"/>
        <w:jc w:val="both"/>
        <w:rPr>
          <w:rFonts w:ascii="Arial" w:eastAsia="Arial" w:hAnsi="Arial" w:cs="Arial"/>
          <w:color w:val="auto"/>
        </w:rPr>
      </w:pPr>
      <w:r>
        <w:rPr>
          <w:rFonts w:ascii="Arial" w:eastAsia="Arial" w:hAnsi="Arial" w:cs="Arial"/>
        </w:rPr>
        <w:t xml:space="preserve">Por otra parte, </w:t>
      </w:r>
      <w:r w:rsidRPr="0033320A">
        <w:rPr>
          <w:rFonts w:ascii="Arial" w:eastAsia="Arial" w:hAnsi="Arial" w:cs="Arial"/>
          <w:highlight w:val="magenta"/>
        </w:rPr>
        <w:t>respecto a</w:t>
      </w:r>
      <w:r w:rsidR="00693205" w:rsidRPr="0033320A">
        <w:rPr>
          <w:rFonts w:ascii="Arial" w:eastAsia="Arial" w:hAnsi="Arial" w:cs="Arial"/>
          <w:highlight w:val="magenta"/>
        </w:rPr>
        <w:t xml:space="preserve">l tercer hecho cuestionado, referido </w:t>
      </w:r>
      <w:r w:rsidR="003D4B16" w:rsidRPr="0033320A">
        <w:rPr>
          <w:rFonts w:ascii="Arial" w:eastAsia="Arial" w:hAnsi="Arial" w:cs="Arial"/>
          <w:highlight w:val="magenta"/>
        </w:rPr>
        <w:t xml:space="preserve">a la falta de adopción de medidas de seguridad </w:t>
      </w:r>
      <w:r w:rsidR="00693205" w:rsidRPr="0033320A">
        <w:rPr>
          <w:rFonts w:ascii="Arial" w:eastAsia="Arial" w:hAnsi="Arial" w:cs="Arial"/>
          <w:highlight w:val="magenta"/>
        </w:rPr>
        <w:t xml:space="preserve">por parte del Banco, </w:t>
      </w:r>
      <w:r w:rsidR="003D4B16" w:rsidRPr="0033320A">
        <w:rPr>
          <w:rFonts w:ascii="Arial" w:eastAsia="Arial" w:hAnsi="Arial" w:cs="Arial"/>
          <w:color w:val="auto"/>
          <w:highlight w:val="magenta"/>
        </w:rPr>
        <w:t>que habría permitido la realización de una operación no reconocida, será valorada como supuesto de excepción</w:t>
      </w:r>
      <w:r w:rsidR="00693205" w:rsidRPr="0033320A">
        <w:rPr>
          <w:rFonts w:ascii="Arial" w:eastAsia="Arial" w:hAnsi="Arial" w:cs="Arial"/>
          <w:color w:val="auto"/>
          <w:highlight w:val="magenta"/>
        </w:rPr>
        <w:t xml:space="preserve">, </w:t>
      </w:r>
      <w:r w:rsidR="003D4B16" w:rsidRPr="0033320A">
        <w:rPr>
          <w:rFonts w:ascii="Arial" w:eastAsia="Arial" w:hAnsi="Arial" w:cs="Arial"/>
          <w:color w:val="auto"/>
          <w:highlight w:val="magenta"/>
        </w:rPr>
        <w:t>indicado en el inciso (ii) del considerando 17 de la presente resolución; por lo que, la cuantía se determina por el valor total de la operaci</w:t>
      </w:r>
      <w:r w:rsidR="00693205" w:rsidRPr="0033320A">
        <w:rPr>
          <w:rFonts w:ascii="Arial" w:eastAsia="Arial" w:hAnsi="Arial" w:cs="Arial"/>
          <w:color w:val="auto"/>
          <w:highlight w:val="magenta"/>
        </w:rPr>
        <w:t>ón cuestionada</w:t>
      </w:r>
      <w:r w:rsidR="003D4B16" w:rsidRPr="0033320A">
        <w:rPr>
          <w:rFonts w:ascii="Arial" w:eastAsia="Arial" w:hAnsi="Arial" w:cs="Arial"/>
          <w:color w:val="auto"/>
          <w:highlight w:val="magenta"/>
        </w:rPr>
        <w:t>.</w:t>
      </w:r>
      <w:r w:rsidR="001A13CC" w:rsidRPr="0033320A">
        <w:rPr>
          <w:rFonts w:ascii="Arial" w:eastAsia="Arial" w:hAnsi="Arial" w:cs="Arial"/>
          <w:highlight w:val="magenta"/>
        </w:rPr>
        <w:t xml:space="preserve"> </w:t>
      </w:r>
      <w:r w:rsidR="001A13CC" w:rsidRPr="0033320A">
        <w:rPr>
          <w:rFonts w:ascii="Arial" w:eastAsia="Arial" w:hAnsi="Arial" w:cs="Arial"/>
          <w:color w:val="auto"/>
          <w:highlight w:val="magenta"/>
        </w:rPr>
        <w:t xml:space="preserve">En el presente caso, </w:t>
      </w:r>
      <w:r w:rsidR="001A13CC" w:rsidRPr="0033320A">
        <w:rPr>
          <w:rFonts w:ascii="Arial" w:eastAsia="Arial" w:hAnsi="Arial" w:cs="Arial"/>
          <w:highlight w:val="magenta"/>
        </w:rPr>
        <w:t>la falta de adopción de medidas de seguridad por parte del Banco</w:t>
      </w:r>
      <w:r w:rsidR="001A13CC" w:rsidRPr="0033320A">
        <w:rPr>
          <w:rFonts w:ascii="Arial" w:eastAsia="Arial" w:hAnsi="Arial" w:cs="Arial"/>
          <w:color w:val="auto"/>
          <w:highlight w:val="magenta"/>
        </w:rPr>
        <w:t xml:space="preserve"> está asociada a la realización de la operación no reconocida; por lo que, se valorará el valor de esta, la cual asciende a la suma de S/ 1 708,00</w:t>
      </w:r>
      <w:r w:rsidR="001A13CC" w:rsidRPr="001A13CC">
        <w:rPr>
          <w:rFonts w:ascii="Arial" w:eastAsia="Arial" w:hAnsi="Arial" w:cs="Arial"/>
          <w:color w:val="auto"/>
        </w:rPr>
        <w:t>.</w:t>
      </w:r>
    </w:p>
    <w:p w14:paraId="7F336A83" w14:textId="77777777" w:rsidR="0033320A" w:rsidRDefault="0033320A" w:rsidP="0033320A">
      <w:pPr>
        <w:pBdr>
          <w:top w:val="nil"/>
          <w:left w:val="nil"/>
          <w:bottom w:val="nil"/>
          <w:right w:val="nil"/>
          <w:between w:val="nil"/>
        </w:pBdr>
        <w:tabs>
          <w:tab w:val="left" w:pos="567"/>
        </w:tabs>
        <w:spacing w:after="0" w:line="240" w:lineRule="auto"/>
        <w:ind w:left="567"/>
        <w:jc w:val="both"/>
        <w:rPr>
          <w:rFonts w:ascii="Arial" w:eastAsia="Arial" w:hAnsi="Arial" w:cs="Arial"/>
        </w:rPr>
      </w:pPr>
    </w:p>
    <w:p w14:paraId="54B4D718" w14:textId="615118DB" w:rsidR="00C3728F" w:rsidRPr="00456019" w:rsidRDefault="00C3728F" w:rsidP="00456019">
      <w:pPr>
        <w:numPr>
          <w:ilvl w:val="1"/>
          <w:numId w:val="5"/>
        </w:numPr>
        <w:pBdr>
          <w:top w:val="nil"/>
          <w:left w:val="nil"/>
          <w:bottom w:val="nil"/>
          <w:right w:val="nil"/>
          <w:between w:val="nil"/>
        </w:pBdr>
        <w:tabs>
          <w:tab w:val="left" w:pos="567"/>
        </w:tabs>
        <w:spacing w:after="0" w:line="240" w:lineRule="auto"/>
        <w:ind w:left="567" w:hanging="567"/>
        <w:jc w:val="both"/>
        <w:rPr>
          <w:rFonts w:ascii="Arial" w:eastAsia="Arial" w:hAnsi="Arial" w:cs="Arial"/>
        </w:rPr>
      </w:pPr>
      <w:r w:rsidRPr="0033320A">
        <w:rPr>
          <w:rFonts w:ascii="Arial" w:eastAsia="Arial" w:hAnsi="Arial" w:cs="Arial"/>
          <w:highlight w:val="red"/>
        </w:rPr>
        <w:t xml:space="preserve">Finalmente, respecto al cuarto hecho cuestionado, </w:t>
      </w:r>
      <w:r w:rsidR="00331412" w:rsidRPr="0033320A">
        <w:rPr>
          <w:rFonts w:ascii="Arial" w:eastAsia="Arial" w:hAnsi="Arial" w:cs="Arial"/>
          <w:highlight w:val="red"/>
        </w:rPr>
        <w:t>sobre el bloqueo de la Tarjeta Prepago N° **********2704</w:t>
      </w:r>
      <w:r w:rsidRPr="0033320A">
        <w:rPr>
          <w:rFonts w:ascii="Arial" w:eastAsia="Arial" w:hAnsi="Arial" w:cs="Arial"/>
          <w:highlight w:val="red"/>
        </w:rPr>
        <w:t xml:space="preserve">; </w:t>
      </w:r>
      <w:r w:rsidR="009676B0" w:rsidRPr="0033320A">
        <w:rPr>
          <w:rFonts w:ascii="Arial" w:eastAsia="Arial" w:hAnsi="Arial" w:cs="Arial"/>
          <w:highlight w:val="red"/>
        </w:rPr>
        <w:t xml:space="preserve">debe considerarse que </w:t>
      </w:r>
      <w:r w:rsidR="00250E06" w:rsidRPr="0033320A">
        <w:rPr>
          <w:rFonts w:ascii="Arial" w:eastAsia="Arial" w:hAnsi="Arial" w:cs="Arial"/>
          <w:highlight w:val="red"/>
        </w:rPr>
        <w:t>ello</w:t>
      </w:r>
      <w:r w:rsidR="009676B0" w:rsidRPr="0033320A">
        <w:rPr>
          <w:rFonts w:ascii="Arial" w:eastAsia="Arial" w:hAnsi="Arial" w:cs="Arial"/>
          <w:highlight w:val="red"/>
        </w:rPr>
        <w:t xml:space="preserve"> </w:t>
      </w:r>
      <w:r w:rsidRPr="0033320A">
        <w:rPr>
          <w:rFonts w:ascii="Arial" w:eastAsia="Arial" w:hAnsi="Arial" w:cs="Arial"/>
          <w:highlight w:val="red"/>
        </w:rPr>
        <w:t xml:space="preserve">será </w:t>
      </w:r>
      <w:r w:rsidR="00074F28" w:rsidRPr="0033320A">
        <w:rPr>
          <w:rFonts w:ascii="Arial" w:eastAsia="Arial" w:hAnsi="Arial" w:cs="Arial"/>
          <w:highlight w:val="red"/>
        </w:rPr>
        <w:t>valorado</w:t>
      </w:r>
      <w:r w:rsidRPr="0033320A">
        <w:rPr>
          <w:rFonts w:ascii="Arial" w:eastAsia="Arial" w:hAnsi="Arial" w:cs="Arial"/>
          <w:highlight w:val="red"/>
        </w:rPr>
        <w:t xml:space="preserve"> según lo indicado en el inciso (i) del considerando 17 de la presente resolución; por lo que, la cuantía se determina por el valor del producto o servicio materia de controversia</w:t>
      </w:r>
      <w:r w:rsidR="00456019" w:rsidRPr="0033320A">
        <w:rPr>
          <w:rFonts w:ascii="Arial" w:eastAsia="Arial" w:hAnsi="Arial" w:cs="Arial"/>
          <w:highlight w:val="red"/>
        </w:rPr>
        <w:t xml:space="preserve">, que en el caso en concreto se </w:t>
      </w:r>
      <w:r w:rsidR="00456019" w:rsidRPr="0033320A">
        <w:rPr>
          <w:rFonts w:ascii="Arial" w:eastAsia="Arial" w:hAnsi="Arial" w:cs="Arial"/>
          <w:highlight w:val="red"/>
        </w:rPr>
        <w:lastRenderedPageBreak/>
        <w:t>determina por el saldo en dicha tarjet</w:t>
      </w:r>
      <w:r w:rsidR="00074F28" w:rsidRPr="0033320A">
        <w:rPr>
          <w:rFonts w:ascii="Arial" w:eastAsia="Arial" w:hAnsi="Arial" w:cs="Arial"/>
          <w:highlight w:val="red"/>
        </w:rPr>
        <w:t>a</w:t>
      </w:r>
      <w:r w:rsidR="00456019" w:rsidRPr="0033320A">
        <w:rPr>
          <w:rFonts w:ascii="Arial" w:eastAsia="Arial" w:hAnsi="Arial" w:cs="Arial"/>
          <w:highlight w:val="red"/>
        </w:rPr>
        <w:t xml:space="preserve"> al momento de la infracción, la cual asciende a </w:t>
      </w:r>
      <w:r w:rsidR="00074F28" w:rsidRPr="0033320A">
        <w:rPr>
          <w:rFonts w:ascii="Arial" w:eastAsia="Arial" w:hAnsi="Arial" w:cs="Arial"/>
          <w:highlight w:val="red"/>
        </w:rPr>
        <w:t xml:space="preserve">         </w:t>
      </w:r>
      <w:r w:rsidR="00456019" w:rsidRPr="0033320A">
        <w:rPr>
          <w:rFonts w:ascii="Arial" w:eastAsia="Arial" w:hAnsi="Arial" w:cs="Arial"/>
          <w:highlight w:val="red"/>
        </w:rPr>
        <w:t>S/ 10,60</w:t>
      </w:r>
      <w:r w:rsidR="00456019">
        <w:rPr>
          <w:rFonts w:ascii="Arial" w:eastAsia="Arial" w:hAnsi="Arial" w:cs="Arial"/>
        </w:rPr>
        <w:t>.</w:t>
      </w:r>
    </w:p>
    <w:p w14:paraId="0F75E16B" w14:textId="77777777" w:rsidR="008A56C2" w:rsidRPr="00B55829" w:rsidRDefault="008A56C2">
      <w:pPr>
        <w:tabs>
          <w:tab w:val="left" w:pos="567"/>
        </w:tabs>
        <w:spacing w:after="0" w:line="240" w:lineRule="auto"/>
        <w:jc w:val="both"/>
        <w:rPr>
          <w:rFonts w:ascii="Arial" w:eastAsia="Arial" w:hAnsi="Arial" w:cs="Arial"/>
          <w:color w:val="auto"/>
        </w:rPr>
      </w:pPr>
    </w:p>
    <w:p w14:paraId="191A0038" w14:textId="0B98A0E1" w:rsidR="0006445F" w:rsidRPr="00637930" w:rsidRDefault="005954F2" w:rsidP="009D445A">
      <w:pPr>
        <w:numPr>
          <w:ilvl w:val="1"/>
          <w:numId w:val="5"/>
        </w:numPr>
        <w:pBdr>
          <w:top w:val="nil"/>
          <w:left w:val="nil"/>
          <w:bottom w:val="nil"/>
          <w:right w:val="nil"/>
          <w:between w:val="nil"/>
        </w:pBdr>
        <w:tabs>
          <w:tab w:val="left" w:pos="567"/>
        </w:tabs>
        <w:spacing w:after="0" w:line="240" w:lineRule="auto"/>
        <w:ind w:left="567" w:hanging="567"/>
        <w:jc w:val="both"/>
        <w:rPr>
          <w:rFonts w:ascii="Arial" w:eastAsia="Arial" w:hAnsi="Arial" w:cs="Arial"/>
          <w:color w:val="auto"/>
          <w:highlight w:val="darkCyan"/>
        </w:rPr>
      </w:pPr>
      <w:r>
        <w:rPr>
          <w:rFonts w:ascii="Arial" w:eastAsia="Arial" w:hAnsi="Arial" w:cs="Arial"/>
          <w:color w:val="auto"/>
        </w:rPr>
        <w:t>De esta manera</w:t>
      </w:r>
      <w:r w:rsidR="00074F28">
        <w:rPr>
          <w:rFonts w:ascii="Arial" w:eastAsia="Arial" w:hAnsi="Arial" w:cs="Arial"/>
          <w:color w:val="auto"/>
        </w:rPr>
        <w:t xml:space="preserve">, </w:t>
      </w:r>
      <w:r w:rsidR="00074F28" w:rsidRPr="00637930">
        <w:rPr>
          <w:rFonts w:ascii="Arial" w:eastAsia="Arial" w:hAnsi="Arial" w:cs="Arial"/>
          <w:color w:val="auto"/>
          <w:highlight w:val="darkCyan"/>
        </w:rPr>
        <w:t>se advierte que ninguno de los productos u operaciones materia de cuestionamiento supera</w:t>
      </w:r>
      <w:r w:rsidR="006448E5" w:rsidRPr="00637930">
        <w:rPr>
          <w:rFonts w:ascii="Arial" w:eastAsia="Arial" w:hAnsi="Arial" w:cs="Arial"/>
          <w:color w:val="auto"/>
          <w:highlight w:val="darkCyan"/>
        </w:rPr>
        <w:t>, de manera independiente,</w:t>
      </w:r>
      <w:r w:rsidR="00074F28" w:rsidRPr="00637930">
        <w:rPr>
          <w:rFonts w:ascii="Arial" w:eastAsia="Arial" w:hAnsi="Arial" w:cs="Arial"/>
          <w:color w:val="auto"/>
          <w:highlight w:val="darkCyan"/>
        </w:rPr>
        <w:t xml:space="preserve"> las tres (3) UIT</w:t>
      </w:r>
      <w:r w:rsidR="00900969" w:rsidRPr="00637930">
        <w:rPr>
          <w:rFonts w:ascii="Arial" w:eastAsia="Arial" w:hAnsi="Arial" w:cs="Arial"/>
          <w:color w:val="auto"/>
          <w:highlight w:val="darkCyan"/>
        </w:rPr>
        <w:t xml:space="preserve">; por lo que, la competencia para conocer </w:t>
      </w:r>
      <w:r w:rsidR="001222B2" w:rsidRPr="00637930">
        <w:rPr>
          <w:rFonts w:ascii="Arial" w:eastAsia="Arial" w:hAnsi="Arial" w:cs="Arial"/>
          <w:color w:val="auto"/>
          <w:highlight w:val="darkCyan"/>
        </w:rPr>
        <w:t>cada uno de estos cuestionamientos</w:t>
      </w:r>
      <w:r w:rsidR="00900969" w:rsidRPr="00637930">
        <w:rPr>
          <w:rFonts w:ascii="Arial" w:eastAsia="Arial" w:hAnsi="Arial" w:cs="Arial"/>
          <w:color w:val="auto"/>
          <w:highlight w:val="darkCyan"/>
        </w:rPr>
        <w:t xml:space="preserve"> corresponde al OPS.</w:t>
      </w:r>
      <w:r w:rsidR="009D445A" w:rsidRPr="00637930">
        <w:rPr>
          <w:rFonts w:ascii="Arial" w:eastAsia="Arial" w:hAnsi="Arial" w:cs="Arial"/>
          <w:color w:val="auto"/>
          <w:highlight w:val="darkCyan"/>
        </w:rPr>
        <w:t xml:space="preserve"> </w:t>
      </w:r>
    </w:p>
    <w:p w14:paraId="101ED40B" w14:textId="77777777" w:rsidR="0006445F" w:rsidRPr="00637930" w:rsidRDefault="0006445F" w:rsidP="0006445F">
      <w:pPr>
        <w:pBdr>
          <w:top w:val="nil"/>
          <w:left w:val="nil"/>
          <w:bottom w:val="nil"/>
          <w:right w:val="nil"/>
          <w:between w:val="nil"/>
        </w:pBdr>
        <w:tabs>
          <w:tab w:val="left" w:pos="567"/>
        </w:tabs>
        <w:spacing w:after="0" w:line="240" w:lineRule="auto"/>
        <w:ind w:left="567"/>
        <w:jc w:val="both"/>
        <w:rPr>
          <w:rFonts w:ascii="Arial" w:eastAsia="Arial" w:hAnsi="Arial" w:cs="Arial"/>
          <w:color w:val="auto"/>
          <w:highlight w:val="darkCyan"/>
        </w:rPr>
      </w:pPr>
    </w:p>
    <w:p w14:paraId="51EBCD57" w14:textId="6D77ACD2" w:rsidR="008A56C2" w:rsidRPr="009D445A" w:rsidRDefault="00E909A4" w:rsidP="009D445A">
      <w:pPr>
        <w:numPr>
          <w:ilvl w:val="1"/>
          <w:numId w:val="5"/>
        </w:numPr>
        <w:pBdr>
          <w:top w:val="nil"/>
          <w:left w:val="nil"/>
          <w:bottom w:val="nil"/>
          <w:right w:val="nil"/>
          <w:between w:val="nil"/>
        </w:pBdr>
        <w:tabs>
          <w:tab w:val="left" w:pos="567"/>
        </w:tabs>
        <w:spacing w:after="0" w:line="240" w:lineRule="auto"/>
        <w:ind w:left="567" w:hanging="567"/>
        <w:jc w:val="both"/>
        <w:rPr>
          <w:rFonts w:ascii="Arial" w:eastAsia="Arial" w:hAnsi="Arial" w:cs="Arial"/>
          <w:color w:val="auto"/>
        </w:rPr>
      </w:pPr>
      <w:r w:rsidRPr="00637930">
        <w:rPr>
          <w:rFonts w:ascii="Arial" w:eastAsia="Arial" w:hAnsi="Arial" w:cs="Arial"/>
          <w:color w:val="auto"/>
          <w:highlight w:val="darkCyan"/>
        </w:rPr>
        <w:t xml:space="preserve">Es más, </w:t>
      </w:r>
      <w:r w:rsidR="00900969" w:rsidRPr="00637930">
        <w:rPr>
          <w:rFonts w:ascii="Arial" w:eastAsia="Arial" w:hAnsi="Arial" w:cs="Arial"/>
          <w:color w:val="auto"/>
          <w:highlight w:val="darkCyan"/>
        </w:rPr>
        <w:t>incluso si</w:t>
      </w:r>
      <w:r w:rsidR="0006445F" w:rsidRPr="00637930">
        <w:rPr>
          <w:rFonts w:ascii="Arial" w:eastAsia="Arial" w:hAnsi="Arial" w:cs="Arial"/>
          <w:color w:val="auto"/>
          <w:highlight w:val="darkCyan"/>
        </w:rPr>
        <w:t xml:space="preserve">, en aplicación del criterio del OPS, </w:t>
      </w:r>
      <w:r w:rsidR="00900969" w:rsidRPr="00637930">
        <w:rPr>
          <w:rFonts w:ascii="Arial" w:eastAsia="Arial" w:hAnsi="Arial" w:cs="Arial"/>
          <w:color w:val="auto"/>
          <w:highlight w:val="darkCyan"/>
        </w:rPr>
        <w:t>se realizara la sumatoria de estas cuantías</w:t>
      </w:r>
      <w:r w:rsidR="00224626" w:rsidRPr="00637930">
        <w:rPr>
          <w:rFonts w:ascii="Arial" w:eastAsia="Arial" w:hAnsi="Arial" w:cs="Arial"/>
          <w:color w:val="auto"/>
          <w:highlight w:val="darkCyan"/>
        </w:rPr>
        <w:t xml:space="preserve">, </w:t>
      </w:r>
      <w:r w:rsidR="00050A83" w:rsidRPr="00637930">
        <w:rPr>
          <w:rFonts w:ascii="Arial" w:eastAsia="Arial" w:hAnsi="Arial" w:cs="Arial"/>
          <w:color w:val="auto"/>
          <w:highlight w:val="darkCyan"/>
        </w:rPr>
        <w:t>el resultado</w:t>
      </w:r>
      <w:r w:rsidR="00224626" w:rsidRPr="00637930">
        <w:rPr>
          <w:rFonts w:ascii="Arial" w:eastAsia="Arial" w:hAnsi="Arial" w:cs="Arial"/>
          <w:color w:val="auto"/>
          <w:highlight w:val="darkCyan"/>
        </w:rPr>
        <w:t xml:space="preserve"> </w:t>
      </w:r>
      <w:r w:rsidR="00E45CF8" w:rsidRPr="00637930">
        <w:rPr>
          <w:rFonts w:ascii="Arial" w:eastAsia="Arial" w:hAnsi="Arial" w:cs="Arial"/>
          <w:color w:val="auto"/>
          <w:highlight w:val="darkCyan"/>
        </w:rPr>
        <w:t xml:space="preserve">(S/ 3 431,50) </w:t>
      </w:r>
      <w:r w:rsidR="00224626" w:rsidRPr="00637930">
        <w:rPr>
          <w:rFonts w:ascii="Arial" w:eastAsia="Arial" w:hAnsi="Arial" w:cs="Arial"/>
          <w:color w:val="auto"/>
          <w:highlight w:val="darkCyan"/>
        </w:rPr>
        <w:t xml:space="preserve">tampoco </w:t>
      </w:r>
      <w:r w:rsidR="00FC4FDA" w:rsidRPr="00637930">
        <w:rPr>
          <w:rFonts w:ascii="Arial" w:eastAsia="Arial" w:hAnsi="Arial" w:cs="Arial"/>
          <w:color w:val="auto"/>
          <w:highlight w:val="darkCyan"/>
        </w:rPr>
        <w:t xml:space="preserve">excede las </w:t>
      </w:r>
      <w:r w:rsidR="00591F83" w:rsidRPr="00637930">
        <w:rPr>
          <w:rFonts w:ascii="Arial" w:eastAsia="Arial" w:hAnsi="Arial" w:cs="Arial"/>
          <w:color w:val="auto"/>
          <w:highlight w:val="darkCyan"/>
        </w:rPr>
        <w:t xml:space="preserve">tres (3) </w:t>
      </w:r>
      <w:r w:rsidR="00FC4FDA" w:rsidRPr="00637930">
        <w:rPr>
          <w:rFonts w:ascii="Arial" w:eastAsia="Arial" w:hAnsi="Arial" w:cs="Arial"/>
          <w:color w:val="auto"/>
          <w:highlight w:val="darkCyan"/>
        </w:rPr>
        <w:t>UIT</w:t>
      </w:r>
      <w:r w:rsidR="00591F83" w:rsidRPr="00637930">
        <w:rPr>
          <w:rFonts w:ascii="Arial" w:eastAsia="Arial" w:hAnsi="Arial" w:cs="Arial"/>
          <w:color w:val="auto"/>
          <w:highlight w:val="darkCyan"/>
        </w:rPr>
        <w:t xml:space="preserve">, </w:t>
      </w:r>
      <w:r w:rsidR="00CD5D0F" w:rsidRPr="00637930">
        <w:rPr>
          <w:rFonts w:ascii="Arial" w:eastAsia="Arial" w:hAnsi="Arial" w:cs="Arial"/>
          <w:color w:val="auto"/>
          <w:highlight w:val="darkCyan"/>
        </w:rPr>
        <w:t>por lo que</w:t>
      </w:r>
      <w:r w:rsidR="00591F83" w:rsidRPr="00637930">
        <w:rPr>
          <w:rFonts w:ascii="Arial" w:eastAsia="Arial" w:hAnsi="Arial" w:cs="Arial"/>
          <w:color w:val="auto"/>
          <w:highlight w:val="darkCyan"/>
        </w:rPr>
        <w:t xml:space="preserve">, </w:t>
      </w:r>
      <w:r w:rsidR="003D4B16" w:rsidRPr="00637930">
        <w:rPr>
          <w:rFonts w:ascii="Arial" w:eastAsia="Arial" w:hAnsi="Arial" w:cs="Arial"/>
          <w:color w:val="auto"/>
          <w:highlight w:val="darkCyan"/>
        </w:rPr>
        <w:t xml:space="preserve">la competencia para conocer la denuncia </w:t>
      </w:r>
      <w:r w:rsidR="00591F83" w:rsidRPr="00637930">
        <w:rPr>
          <w:rFonts w:ascii="Arial" w:eastAsia="Arial" w:hAnsi="Arial" w:cs="Arial"/>
          <w:color w:val="auto"/>
          <w:highlight w:val="darkCyan"/>
        </w:rPr>
        <w:t xml:space="preserve">sigue </w:t>
      </w:r>
      <w:r w:rsidR="00DE5549" w:rsidRPr="00637930">
        <w:rPr>
          <w:rFonts w:ascii="Arial" w:eastAsia="Arial" w:hAnsi="Arial" w:cs="Arial"/>
          <w:color w:val="auto"/>
          <w:highlight w:val="darkCyan"/>
        </w:rPr>
        <w:t>correspondiente a</w:t>
      </w:r>
      <w:r w:rsidR="003D4B16" w:rsidRPr="00637930">
        <w:rPr>
          <w:rFonts w:ascii="Arial" w:eastAsia="Arial" w:hAnsi="Arial" w:cs="Arial"/>
          <w:color w:val="auto"/>
          <w:highlight w:val="darkCyan"/>
        </w:rPr>
        <w:t>l OPS</w:t>
      </w:r>
      <w:r w:rsidR="003D4B16" w:rsidRPr="009D445A">
        <w:rPr>
          <w:rFonts w:ascii="Arial" w:eastAsia="Arial" w:hAnsi="Arial" w:cs="Arial"/>
          <w:color w:val="auto"/>
        </w:rPr>
        <w:t>.</w:t>
      </w:r>
    </w:p>
    <w:p w14:paraId="708CF63B" w14:textId="77777777" w:rsidR="008A56C2" w:rsidRDefault="008A56C2">
      <w:pPr>
        <w:tabs>
          <w:tab w:val="left" w:pos="567"/>
        </w:tabs>
        <w:spacing w:after="0" w:line="240" w:lineRule="auto"/>
        <w:jc w:val="both"/>
        <w:rPr>
          <w:rFonts w:ascii="Arial" w:eastAsia="Arial" w:hAnsi="Arial" w:cs="Arial"/>
        </w:rPr>
      </w:pPr>
      <w:bookmarkStart w:id="7" w:name="_heading=h.tyjcwt" w:colFirst="0" w:colLast="0"/>
      <w:bookmarkEnd w:id="7"/>
    </w:p>
    <w:p w14:paraId="6ACF1B7C" w14:textId="77777777" w:rsidR="008A56C2" w:rsidRDefault="003D4B16">
      <w:pPr>
        <w:numPr>
          <w:ilvl w:val="1"/>
          <w:numId w:val="5"/>
        </w:numPr>
        <w:pBdr>
          <w:top w:val="nil"/>
          <w:left w:val="nil"/>
          <w:bottom w:val="nil"/>
          <w:right w:val="nil"/>
          <w:between w:val="nil"/>
        </w:pBdr>
        <w:tabs>
          <w:tab w:val="left" w:pos="567"/>
        </w:tabs>
        <w:spacing w:after="0" w:line="240" w:lineRule="auto"/>
        <w:ind w:left="567" w:hanging="567"/>
        <w:jc w:val="both"/>
        <w:rPr>
          <w:rFonts w:ascii="Arial" w:eastAsia="Arial" w:hAnsi="Arial" w:cs="Arial"/>
        </w:rPr>
      </w:pPr>
      <w:r>
        <w:rPr>
          <w:rFonts w:ascii="Arial" w:eastAsia="Arial" w:hAnsi="Arial" w:cs="Arial"/>
        </w:rPr>
        <w:t xml:space="preserve">Por tanto, atendiendo a lo indicado en los párrafos precedentes, este órgano colegiado considera que corresponde declinar su competencia por razón de la cuantía para conocer el hecho denunciado por </w:t>
      </w:r>
      <w:r w:rsidRPr="00637930">
        <w:rPr>
          <w:rFonts w:ascii="Arial" w:eastAsia="Arial" w:hAnsi="Arial" w:cs="Arial"/>
          <w:highlight w:val="cyan"/>
        </w:rPr>
        <w:t>el señor Arango</w:t>
      </w:r>
      <w:r>
        <w:rPr>
          <w:rFonts w:ascii="Arial" w:eastAsia="Arial" w:hAnsi="Arial" w:cs="Arial"/>
        </w:rPr>
        <w:t xml:space="preserve"> contra </w:t>
      </w:r>
      <w:r w:rsidRPr="00637930">
        <w:rPr>
          <w:rFonts w:ascii="Arial" w:eastAsia="Arial" w:hAnsi="Arial" w:cs="Arial"/>
          <w:highlight w:val="magenta"/>
        </w:rPr>
        <w:t>el Banco y Prex</w:t>
      </w:r>
      <w:r>
        <w:rPr>
          <w:rFonts w:ascii="Arial" w:eastAsia="Arial" w:hAnsi="Arial" w:cs="Arial"/>
        </w:rPr>
        <w:t>, por presuntas infracciones al Código.</w:t>
      </w:r>
    </w:p>
    <w:p w14:paraId="265E4D2C" w14:textId="77777777" w:rsidR="008A56C2" w:rsidRDefault="008A56C2">
      <w:pPr>
        <w:tabs>
          <w:tab w:val="left" w:pos="567"/>
        </w:tabs>
        <w:spacing w:after="0" w:line="240" w:lineRule="auto"/>
        <w:jc w:val="both"/>
        <w:rPr>
          <w:rFonts w:ascii="Arial" w:eastAsia="Arial" w:hAnsi="Arial" w:cs="Arial"/>
        </w:rPr>
      </w:pPr>
    </w:p>
    <w:p w14:paraId="0AC364D5" w14:textId="77777777" w:rsidR="008A56C2" w:rsidRDefault="003D4B16">
      <w:pPr>
        <w:spacing w:after="0" w:line="240" w:lineRule="auto"/>
        <w:jc w:val="both"/>
        <w:rPr>
          <w:rFonts w:ascii="Arial" w:eastAsia="Arial" w:hAnsi="Arial" w:cs="Arial"/>
          <w:b/>
        </w:rPr>
      </w:pPr>
      <w:r>
        <w:rPr>
          <w:rFonts w:ascii="Arial" w:eastAsia="Arial" w:hAnsi="Arial" w:cs="Arial"/>
          <w:b/>
        </w:rPr>
        <w:t>Sobre el conflicto negativo de competencia entre la Comisión y el OPS</w:t>
      </w:r>
    </w:p>
    <w:p w14:paraId="04FFFCAD" w14:textId="77777777" w:rsidR="008A56C2" w:rsidRDefault="008A56C2">
      <w:pPr>
        <w:pBdr>
          <w:top w:val="nil"/>
          <w:left w:val="nil"/>
          <w:bottom w:val="nil"/>
          <w:right w:val="nil"/>
          <w:between w:val="nil"/>
        </w:pBdr>
        <w:tabs>
          <w:tab w:val="left" w:pos="567"/>
        </w:tabs>
        <w:spacing w:after="0" w:line="240" w:lineRule="auto"/>
        <w:ind w:left="567"/>
        <w:jc w:val="both"/>
        <w:rPr>
          <w:rFonts w:ascii="Arial" w:eastAsia="Arial" w:hAnsi="Arial" w:cs="Arial"/>
          <w:b/>
        </w:rPr>
      </w:pPr>
    </w:p>
    <w:p w14:paraId="6B8D1C49" w14:textId="77777777" w:rsidR="008A56C2" w:rsidRDefault="003D4B16">
      <w:pPr>
        <w:numPr>
          <w:ilvl w:val="1"/>
          <w:numId w:val="5"/>
        </w:numPr>
        <w:pBdr>
          <w:top w:val="nil"/>
          <w:left w:val="nil"/>
          <w:bottom w:val="nil"/>
          <w:right w:val="nil"/>
          <w:between w:val="nil"/>
        </w:pBdr>
        <w:tabs>
          <w:tab w:val="left" w:pos="567"/>
        </w:tabs>
        <w:spacing w:after="0" w:line="240" w:lineRule="auto"/>
        <w:ind w:left="567" w:hanging="567"/>
        <w:jc w:val="both"/>
        <w:rPr>
          <w:rFonts w:ascii="Arial" w:eastAsia="Arial" w:hAnsi="Arial" w:cs="Arial"/>
        </w:rPr>
      </w:pPr>
      <w:r>
        <w:rPr>
          <w:rFonts w:ascii="Arial" w:eastAsia="Arial" w:hAnsi="Arial" w:cs="Arial"/>
        </w:rPr>
        <w:t>El artículo 94° del TUO de la LPAG</w:t>
      </w:r>
      <w:r>
        <w:rPr>
          <w:rFonts w:ascii="Arial" w:eastAsia="Arial" w:hAnsi="Arial" w:cs="Arial"/>
          <w:vertAlign w:val="superscript"/>
        </w:rPr>
        <w:footnoteReference w:id="14"/>
      </w:r>
      <w:r>
        <w:rPr>
          <w:rFonts w:ascii="Arial" w:eastAsia="Arial" w:hAnsi="Arial" w:cs="Arial"/>
        </w:rPr>
        <w:t xml:space="preserve"> establece que, cuando se suscite un conflicto negativo de competencia, el expediente deberá ser elevado al órgano inmediato superior a efectos de que conozca la contienda de competencia y dirima dicho conflicto. A su vez, el artículo 97° del citado cuerpo legal</w:t>
      </w:r>
      <w:r>
        <w:rPr>
          <w:rFonts w:ascii="Arial" w:eastAsia="Arial" w:hAnsi="Arial" w:cs="Arial"/>
          <w:vertAlign w:val="superscript"/>
        </w:rPr>
        <w:footnoteReference w:id="15"/>
      </w:r>
      <w:r>
        <w:rPr>
          <w:rFonts w:ascii="Arial" w:eastAsia="Arial" w:hAnsi="Arial" w:cs="Arial"/>
        </w:rPr>
        <w:t xml:space="preserve"> señala que es el superior jerárquico, o si no lo hubiere, el titular de la entidad, el llamado a resolver los conflictos de competencia, sean estos positivos o negativos.</w:t>
      </w:r>
    </w:p>
    <w:p w14:paraId="1F831981" w14:textId="77777777" w:rsidR="008A56C2" w:rsidRDefault="008A56C2">
      <w:pPr>
        <w:pBdr>
          <w:top w:val="nil"/>
          <w:left w:val="nil"/>
          <w:bottom w:val="nil"/>
          <w:right w:val="nil"/>
          <w:between w:val="nil"/>
        </w:pBdr>
        <w:tabs>
          <w:tab w:val="left" w:pos="567"/>
        </w:tabs>
        <w:spacing w:after="0" w:line="240" w:lineRule="auto"/>
        <w:ind w:left="567"/>
        <w:jc w:val="both"/>
        <w:rPr>
          <w:rFonts w:ascii="Arial" w:eastAsia="Arial" w:hAnsi="Arial" w:cs="Arial"/>
          <w:highlight w:val="cyan"/>
        </w:rPr>
      </w:pPr>
    </w:p>
    <w:p w14:paraId="03761C72" w14:textId="77777777" w:rsidR="008A56C2" w:rsidRDefault="003D4B16">
      <w:pPr>
        <w:numPr>
          <w:ilvl w:val="1"/>
          <w:numId w:val="5"/>
        </w:numPr>
        <w:pBdr>
          <w:top w:val="nil"/>
          <w:left w:val="nil"/>
          <w:bottom w:val="nil"/>
          <w:right w:val="nil"/>
          <w:between w:val="nil"/>
        </w:pBdr>
        <w:tabs>
          <w:tab w:val="left" w:pos="567"/>
        </w:tabs>
        <w:spacing w:after="0" w:line="240" w:lineRule="auto"/>
        <w:ind w:left="567" w:hanging="567"/>
        <w:jc w:val="both"/>
        <w:rPr>
          <w:rFonts w:ascii="Arial" w:eastAsia="Arial" w:hAnsi="Arial" w:cs="Arial"/>
        </w:rPr>
      </w:pPr>
      <w:r>
        <w:rPr>
          <w:rFonts w:ascii="Arial" w:eastAsia="Arial" w:hAnsi="Arial" w:cs="Arial"/>
        </w:rPr>
        <w:t>Al respecto, el numeral 6 del artículo 17° del Decreto Legislativo N° 1033</w:t>
      </w:r>
      <w:r>
        <w:rPr>
          <w:rFonts w:ascii="Arial" w:eastAsia="Arial" w:hAnsi="Arial" w:cs="Arial"/>
          <w:vertAlign w:val="superscript"/>
        </w:rPr>
        <w:footnoteReference w:id="16"/>
      </w:r>
      <w:r>
        <w:rPr>
          <w:rFonts w:ascii="Arial" w:eastAsia="Arial" w:hAnsi="Arial" w:cs="Arial"/>
        </w:rPr>
        <w:t>, establece que la Sala Plena del Tribunal será el órgano que resolverá las contiendas de competencia que se susciten entre los órganos resolutivos del Indecopi.</w:t>
      </w:r>
    </w:p>
    <w:p w14:paraId="652DE5D4" w14:textId="77777777" w:rsidR="008A56C2" w:rsidRDefault="008A56C2">
      <w:pPr>
        <w:pBdr>
          <w:top w:val="nil"/>
          <w:left w:val="nil"/>
          <w:bottom w:val="nil"/>
          <w:right w:val="nil"/>
          <w:between w:val="nil"/>
        </w:pBdr>
        <w:spacing w:after="0" w:line="240" w:lineRule="auto"/>
        <w:ind w:left="720"/>
        <w:rPr>
          <w:rFonts w:ascii="Arial" w:eastAsia="Arial" w:hAnsi="Arial" w:cs="Arial"/>
          <w:highlight w:val="cyan"/>
        </w:rPr>
      </w:pPr>
    </w:p>
    <w:p w14:paraId="2CD6DA7F" w14:textId="77777777" w:rsidR="008A56C2" w:rsidRDefault="003D4B16">
      <w:pPr>
        <w:numPr>
          <w:ilvl w:val="1"/>
          <w:numId w:val="5"/>
        </w:numPr>
        <w:pBdr>
          <w:top w:val="nil"/>
          <w:left w:val="nil"/>
          <w:bottom w:val="nil"/>
          <w:right w:val="nil"/>
          <w:between w:val="nil"/>
        </w:pBdr>
        <w:tabs>
          <w:tab w:val="left" w:pos="567"/>
        </w:tabs>
        <w:spacing w:after="0" w:line="240" w:lineRule="auto"/>
        <w:ind w:left="567" w:hanging="567"/>
        <w:jc w:val="both"/>
        <w:rPr>
          <w:rFonts w:ascii="Arial" w:eastAsia="Arial" w:hAnsi="Arial" w:cs="Arial"/>
        </w:rPr>
      </w:pPr>
      <w:r>
        <w:rPr>
          <w:rFonts w:ascii="Arial" w:eastAsia="Arial" w:hAnsi="Arial" w:cs="Arial"/>
        </w:rPr>
        <w:t>El artículo 19° de la Resolución N° 0063-2021-PRE/INDECOPI, Texto Integrado del Reglamento de Organización y Funciones del Indecopi</w:t>
      </w:r>
      <w:r>
        <w:rPr>
          <w:rFonts w:ascii="Arial" w:eastAsia="Arial" w:hAnsi="Arial" w:cs="Arial"/>
          <w:vertAlign w:val="superscript"/>
        </w:rPr>
        <w:footnoteReference w:id="17"/>
      </w:r>
      <w:r>
        <w:rPr>
          <w:rFonts w:ascii="Arial" w:eastAsia="Arial" w:hAnsi="Arial" w:cs="Arial"/>
        </w:rPr>
        <w:t>, señala que la Sala del Tribunal del Indecopi, conocerá exclusivamente de las causas, cuando versen sobre contiendas de competencia que se presenten entre diversos órganos resolutivos del INDECOPI, de jerarquía inferior.</w:t>
      </w:r>
    </w:p>
    <w:p w14:paraId="498903DE" w14:textId="77777777" w:rsidR="008A56C2" w:rsidRDefault="008A56C2">
      <w:pPr>
        <w:pBdr>
          <w:top w:val="nil"/>
          <w:left w:val="nil"/>
          <w:bottom w:val="nil"/>
          <w:right w:val="nil"/>
          <w:between w:val="nil"/>
        </w:pBdr>
        <w:tabs>
          <w:tab w:val="left" w:pos="567"/>
        </w:tabs>
        <w:spacing w:after="0" w:line="240" w:lineRule="auto"/>
        <w:ind w:left="567"/>
        <w:jc w:val="both"/>
        <w:rPr>
          <w:rFonts w:ascii="Arial" w:eastAsia="Arial" w:hAnsi="Arial" w:cs="Arial"/>
        </w:rPr>
      </w:pPr>
    </w:p>
    <w:p w14:paraId="28662B4D" w14:textId="21C5A592" w:rsidR="008A56C2" w:rsidRDefault="003D4B16">
      <w:pPr>
        <w:numPr>
          <w:ilvl w:val="1"/>
          <w:numId w:val="5"/>
        </w:numPr>
        <w:pBdr>
          <w:top w:val="nil"/>
          <w:left w:val="nil"/>
          <w:bottom w:val="nil"/>
          <w:right w:val="nil"/>
          <w:between w:val="nil"/>
        </w:pBdr>
        <w:tabs>
          <w:tab w:val="left" w:pos="567"/>
        </w:tabs>
        <w:spacing w:after="0" w:line="240" w:lineRule="auto"/>
        <w:ind w:left="567" w:hanging="567"/>
        <w:jc w:val="both"/>
        <w:rPr>
          <w:rFonts w:ascii="Arial" w:eastAsia="Arial" w:hAnsi="Arial" w:cs="Arial"/>
        </w:rPr>
      </w:pPr>
      <w:r>
        <w:rPr>
          <w:rFonts w:ascii="Arial" w:eastAsia="Arial" w:hAnsi="Arial" w:cs="Arial"/>
        </w:rPr>
        <w:t xml:space="preserve">En ese sentido, atendiendo a lo expuesto, corresponde ordenar a la Secretaría Técnica de la Comisión que remita los actuados a la Sala, a efectos de que dirima la contienda negativa de competencia suscitada con motivo de lo señalado por el </w:t>
      </w:r>
      <w:r w:rsidRPr="00637930">
        <w:rPr>
          <w:rFonts w:ascii="Arial" w:eastAsia="Arial" w:hAnsi="Arial" w:cs="Arial"/>
          <w:highlight w:val="red"/>
        </w:rPr>
        <w:t>OPS</w:t>
      </w:r>
      <w:r>
        <w:rPr>
          <w:rFonts w:ascii="Arial" w:eastAsia="Arial" w:hAnsi="Arial" w:cs="Arial"/>
        </w:rPr>
        <w:t xml:space="preserve"> mediante Memorándum N° </w:t>
      </w:r>
      <w:r w:rsidRPr="00637930">
        <w:rPr>
          <w:rFonts w:ascii="Arial" w:eastAsia="Arial" w:hAnsi="Arial" w:cs="Arial"/>
          <w:highlight w:val="green"/>
        </w:rPr>
        <w:t>000</w:t>
      </w:r>
      <w:r w:rsidR="00573811" w:rsidRPr="00637930">
        <w:rPr>
          <w:rFonts w:ascii="Arial" w:eastAsia="Arial" w:hAnsi="Arial" w:cs="Arial"/>
          <w:highlight w:val="green"/>
        </w:rPr>
        <w:t>700</w:t>
      </w:r>
      <w:r w:rsidRPr="00637930">
        <w:rPr>
          <w:rFonts w:ascii="Arial" w:eastAsia="Arial" w:hAnsi="Arial" w:cs="Arial"/>
          <w:highlight w:val="green"/>
        </w:rPr>
        <w:t>-2024-PS2/INDECOPI</w:t>
      </w:r>
      <w:r>
        <w:rPr>
          <w:rFonts w:ascii="Arial" w:eastAsia="Arial" w:hAnsi="Arial" w:cs="Arial"/>
        </w:rPr>
        <w:t xml:space="preserve"> del </w:t>
      </w:r>
      <w:r w:rsidR="00755D0F" w:rsidRPr="00637930">
        <w:rPr>
          <w:rFonts w:ascii="Arial" w:eastAsia="Arial" w:hAnsi="Arial" w:cs="Arial"/>
          <w:highlight w:val="cyan"/>
        </w:rPr>
        <w:t>10 de abril</w:t>
      </w:r>
      <w:r w:rsidRPr="00637930">
        <w:rPr>
          <w:rFonts w:ascii="Arial" w:eastAsia="Arial" w:hAnsi="Arial" w:cs="Arial"/>
          <w:highlight w:val="cyan"/>
        </w:rPr>
        <w:t xml:space="preserve"> de 2024</w:t>
      </w:r>
      <w:r>
        <w:rPr>
          <w:rFonts w:ascii="Arial" w:eastAsia="Arial" w:hAnsi="Arial" w:cs="Arial"/>
        </w:rPr>
        <w:t>.</w:t>
      </w:r>
    </w:p>
    <w:p w14:paraId="7297DFAB" w14:textId="77777777" w:rsidR="008A56C2" w:rsidRDefault="008A56C2">
      <w:pPr>
        <w:spacing w:after="0" w:line="240" w:lineRule="auto"/>
        <w:jc w:val="both"/>
        <w:rPr>
          <w:rFonts w:ascii="Arial" w:eastAsia="Arial" w:hAnsi="Arial" w:cs="Arial"/>
          <w:b/>
        </w:rPr>
      </w:pPr>
    </w:p>
    <w:p w14:paraId="476C93E3" w14:textId="77777777" w:rsidR="008A56C2" w:rsidRDefault="003D4B16">
      <w:pPr>
        <w:spacing w:after="0" w:line="240" w:lineRule="auto"/>
        <w:jc w:val="both"/>
        <w:rPr>
          <w:rFonts w:ascii="Arial" w:eastAsia="Arial" w:hAnsi="Arial" w:cs="Arial"/>
          <w:b/>
        </w:rPr>
      </w:pPr>
      <w:r>
        <w:rPr>
          <w:rFonts w:ascii="Arial" w:eastAsia="Arial" w:hAnsi="Arial" w:cs="Arial"/>
          <w:b/>
        </w:rPr>
        <w:t>RESUELVE</w:t>
      </w:r>
    </w:p>
    <w:p w14:paraId="2B72538B" w14:textId="77777777" w:rsidR="008A56C2" w:rsidRDefault="008A56C2">
      <w:pPr>
        <w:spacing w:after="0" w:line="240" w:lineRule="auto"/>
        <w:jc w:val="both"/>
        <w:rPr>
          <w:rFonts w:ascii="Arial" w:eastAsia="Arial" w:hAnsi="Arial" w:cs="Arial"/>
          <w:b/>
          <w:highlight w:val="cyan"/>
        </w:rPr>
      </w:pPr>
    </w:p>
    <w:p w14:paraId="5BFBBA6F" w14:textId="77777777" w:rsidR="008A56C2" w:rsidRDefault="003D4B16">
      <w:pPr>
        <w:tabs>
          <w:tab w:val="left" w:pos="1080"/>
          <w:tab w:val="left" w:pos="1260"/>
          <w:tab w:val="left" w:pos="1620"/>
          <w:tab w:val="left" w:pos="1800"/>
        </w:tabs>
        <w:spacing w:after="0" w:line="240" w:lineRule="auto"/>
        <w:jc w:val="both"/>
        <w:rPr>
          <w:rFonts w:ascii="Arial" w:eastAsia="Arial" w:hAnsi="Arial" w:cs="Arial"/>
        </w:rPr>
      </w:pPr>
      <w:r>
        <w:rPr>
          <w:rFonts w:ascii="Arial" w:eastAsia="Arial" w:hAnsi="Arial" w:cs="Arial"/>
          <w:b/>
        </w:rPr>
        <w:t>PRIMERO:</w:t>
      </w:r>
      <w:r>
        <w:rPr>
          <w:rFonts w:ascii="Arial" w:eastAsia="Arial" w:hAnsi="Arial" w:cs="Arial"/>
        </w:rPr>
        <w:t xml:space="preserve"> declinar la competencia de la Comisión de Protección al Consumidor N° 1, por razón </w:t>
      </w:r>
      <w:r w:rsidRPr="00637930">
        <w:rPr>
          <w:rFonts w:ascii="Arial" w:eastAsia="Arial" w:hAnsi="Arial" w:cs="Arial"/>
          <w:highlight w:val="cyan"/>
        </w:rPr>
        <w:t>de la cuantía</w:t>
      </w:r>
      <w:r>
        <w:rPr>
          <w:rFonts w:ascii="Arial" w:eastAsia="Arial" w:hAnsi="Arial" w:cs="Arial"/>
        </w:rPr>
        <w:t xml:space="preserve">, para conocer la denuncia interpuesta por </w:t>
      </w:r>
      <w:r w:rsidRPr="00637930">
        <w:rPr>
          <w:rFonts w:ascii="Arial" w:eastAsia="Arial" w:hAnsi="Arial" w:cs="Arial"/>
          <w:highlight w:val="magenta"/>
        </w:rPr>
        <w:t>el señor Adimir Samir Arango Jara</w:t>
      </w:r>
      <w:r>
        <w:rPr>
          <w:rFonts w:ascii="Arial" w:eastAsia="Arial" w:hAnsi="Arial" w:cs="Arial"/>
        </w:rPr>
        <w:t xml:space="preserve"> contra </w:t>
      </w:r>
      <w:r w:rsidRPr="00637930">
        <w:rPr>
          <w:rFonts w:ascii="Arial" w:eastAsia="Arial" w:hAnsi="Arial" w:cs="Arial"/>
          <w:highlight w:val="green"/>
        </w:rPr>
        <w:t>Banco Internacional del Perú S.A.A. – Interbank</w:t>
      </w:r>
      <w:r>
        <w:rPr>
          <w:rFonts w:ascii="Arial" w:eastAsia="Arial" w:hAnsi="Arial" w:cs="Arial"/>
        </w:rPr>
        <w:t xml:space="preserve"> y </w:t>
      </w:r>
      <w:r w:rsidRPr="00637930">
        <w:rPr>
          <w:rFonts w:ascii="Arial" w:eastAsia="Arial" w:hAnsi="Arial" w:cs="Arial"/>
          <w:highlight w:val="cyan"/>
        </w:rPr>
        <w:t>Prex S.A.C.</w:t>
      </w:r>
      <w:r>
        <w:rPr>
          <w:rFonts w:ascii="Arial" w:eastAsia="Arial" w:hAnsi="Arial" w:cs="Arial"/>
        </w:rPr>
        <w:t xml:space="preserve"> por presunta infracción a la Ley N° 29571, Código de Protección y Defensa del Consumidor.</w:t>
      </w:r>
    </w:p>
    <w:p w14:paraId="632C2457" w14:textId="77777777" w:rsidR="008A56C2" w:rsidRDefault="008A56C2">
      <w:pPr>
        <w:tabs>
          <w:tab w:val="left" w:pos="1080"/>
          <w:tab w:val="left" w:pos="1260"/>
          <w:tab w:val="left" w:pos="1620"/>
          <w:tab w:val="left" w:pos="1800"/>
          <w:tab w:val="left" w:pos="2694"/>
        </w:tabs>
        <w:spacing w:after="0" w:line="240" w:lineRule="auto"/>
        <w:jc w:val="both"/>
        <w:rPr>
          <w:rFonts w:ascii="Arial" w:eastAsia="Arial" w:hAnsi="Arial" w:cs="Arial"/>
          <w:highlight w:val="cyan"/>
        </w:rPr>
      </w:pPr>
    </w:p>
    <w:p w14:paraId="2F7B0CA7" w14:textId="77777777" w:rsidR="008A56C2" w:rsidRDefault="003D4B16">
      <w:pPr>
        <w:tabs>
          <w:tab w:val="left" w:pos="1361"/>
        </w:tabs>
        <w:spacing w:after="0" w:line="240" w:lineRule="auto"/>
        <w:jc w:val="both"/>
        <w:rPr>
          <w:rFonts w:ascii="Arial" w:eastAsia="Arial" w:hAnsi="Arial" w:cs="Arial"/>
        </w:rPr>
      </w:pPr>
      <w:r>
        <w:rPr>
          <w:rFonts w:ascii="Arial" w:eastAsia="Arial" w:hAnsi="Arial" w:cs="Arial"/>
          <w:b/>
        </w:rPr>
        <w:t>SEGUNDO:</w:t>
      </w:r>
      <w:r>
        <w:rPr>
          <w:rFonts w:ascii="Arial" w:eastAsia="Arial" w:hAnsi="Arial" w:cs="Arial"/>
        </w:rPr>
        <w:t xml:space="preserve"> ordenar a la Secretaría Técnica de la Comisión de Protección al Consumidor N° 1 que remita los actuados a la Sala Especializada en Protección al Consumidor, para que dirima la contienda negativa de competencia entre la Comisión de Protección al Consumidor N° 1 y el </w:t>
      </w:r>
      <w:r w:rsidRPr="00637930">
        <w:rPr>
          <w:rFonts w:ascii="Arial" w:eastAsia="Arial" w:hAnsi="Arial" w:cs="Arial"/>
          <w:highlight w:val="magenta"/>
        </w:rPr>
        <w:t>Órgano Resolutivo de Procedimientos Sumarísimos de Protección al Consumidor N° 2</w:t>
      </w:r>
      <w:r>
        <w:rPr>
          <w:rFonts w:ascii="Arial" w:eastAsia="Arial" w:hAnsi="Arial" w:cs="Arial"/>
        </w:rPr>
        <w:t>.</w:t>
      </w:r>
    </w:p>
    <w:p w14:paraId="1EA11D7D" w14:textId="77777777" w:rsidR="008A56C2" w:rsidRDefault="008A56C2">
      <w:pPr>
        <w:spacing w:line="240" w:lineRule="auto"/>
      </w:pPr>
    </w:p>
    <w:sectPr w:rsidR="008A56C2">
      <w:headerReference w:type="default" r:id="rId12"/>
      <w:footerReference w:type="default" r:id="rId13"/>
      <w:pgSz w:w="12240" w:h="15840"/>
      <w:pgMar w:top="1843" w:right="1467" w:bottom="1701" w:left="1418"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poyo Legal CC1" w:date="2026-01-20T12:09:00Z" w:initials="AC">
    <w:p w14:paraId="6A011CBD" w14:textId="77777777" w:rsidR="002B6DA2" w:rsidRDefault="002B6DA2" w:rsidP="009734E0">
      <w:pPr>
        <w:pStyle w:val="Textocomentario"/>
      </w:pPr>
      <w:r>
        <w:rPr>
          <w:rStyle w:val="Refdecomentario"/>
        </w:rPr>
        <w:annotationRef/>
      </w:r>
      <w:r>
        <w:rPr>
          <w:lang w:val="es-ES"/>
        </w:rPr>
        <w:t>Esto podia eliminarse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011C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F75FC3" w16cex:dateUtc="2026-01-20T17: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011CBD" w16cid:durableId="52F75F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D7917" w14:textId="77777777" w:rsidR="00041971" w:rsidRDefault="00041971">
      <w:pPr>
        <w:spacing w:after="0" w:line="240" w:lineRule="auto"/>
      </w:pPr>
      <w:r>
        <w:separator/>
      </w:r>
    </w:p>
  </w:endnote>
  <w:endnote w:type="continuationSeparator" w:id="0">
    <w:p w14:paraId="3115E9BC" w14:textId="77777777" w:rsidR="00041971" w:rsidRDefault="000419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23995A29-6A3C-48EE-9482-A4AB13667537}"/>
    <w:embedBold r:id="rId2" w:fontKey="{D65AC39F-234F-4DC9-8D9E-8354B13BFECF}"/>
    <w:embedItalic r:id="rId3" w:fontKey="{1871A9DD-C1FD-43BE-AFE9-851E1CCE608E}"/>
  </w:font>
  <w:font w:name="Georgia">
    <w:panose1 w:val="02040502050405020303"/>
    <w:charset w:val="00"/>
    <w:family w:val="roman"/>
    <w:pitch w:val="variable"/>
    <w:sig w:usb0="00000287" w:usb1="00000000" w:usb2="00000000" w:usb3="00000000" w:csb0="0000009F" w:csb1="00000000"/>
    <w:embedRegular r:id="rId4" w:fontKey="{69CBADD0-CDC3-4BA5-97E1-4107A91A12FE}"/>
    <w:embedItalic r:id="rId5" w:fontKey="{A569BF48-68E6-436B-ADB4-692069478E8B}"/>
  </w:font>
  <w:font w:name="Arial Narrow">
    <w:altName w:val="Arial"/>
    <w:panose1 w:val="020B0606020202030204"/>
    <w:charset w:val="00"/>
    <w:family w:val="swiss"/>
    <w:pitch w:val="variable"/>
    <w:sig w:usb0="00000287" w:usb1="00000800" w:usb2="00000000" w:usb3="00000000" w:csb0="0000009F" w:csb1="00000000"/>
    <w:embedRegular r:id="rId6" w:fontKey="{AEDD1E15-1029-447E-B712-1FCEC0EA2B73}"/>
    <w:embedBoldItalic r:id="rId7" w:fontKey="{A02DC48F-6FB9-4C23-BB0D-4357C6F86407}"/>
  </w:font>
  <w:font w:name="Calibri Light">
    <w:panose1 w:val="020F0302020204030204"/>
    <w:charset w:val="00"/>
    <w:family w:val="swiss"/>
    <w:pitch w:val="variable"/>
    <w:sig w:usb0="E4002EFF" w:usb1="C200247B" w:usb2="00000009" w:usb3="00000000" w:csb0="000001FF" w:csb1="00000000"/>
    <w:embedRegular r:id="rId8" w:fontKey="{05F12B8B-5AA1-42A6-8CB7-00AF4865C52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135CE" w14:textId="77777777" w:rsidR="008A56C2" w:rsidRDefault="008A56C2">
    <w:pPr>
      <w:pBdr>
        <w:top w:val="nil"/>
        <w:left w:val="nil"/>
        <w:bottom w:val="nil"/>
        <w:right w:val="nil"/>
        <w:between w:val="nil"/>
      </w:pBdr>
      <w:tabs>
        <w:tab w:val="center" w:pos="4419"/>
        <w:tab w:val="right" w:pos="8838"/>
      </w:tabs>
      <w:spacing w:after="0" w:line="240" w:lineRule="auto"/>
      <w:jc w:val="center"/>
      <w:rPr>
        <w:rFonts w:ascii="Arial Narrow" w:eastAsia="Arial Narrow" w:hAnsi="Arial Narrow" w:cs="Arial Narrow"/>
        <w:sz w:val="16"/>
        <w:szCs w:val="16"/>
      </w:rPr>
    </w:pPr>
  </w:p>
  <w:p w14:paraId="4B69D69C" w14:textId="77777777" w:rsidR="008A56C2" w:rsidRDefault="008A56C2">
    <w:pPr>
      <w:pBdr>
        <w:top w:val="nil"/>
        <w:left w:val="nil"/>
        <w:bottom w:val="nil"/>
        <w:right w:val="nil"/>
        <w:between w:val="nil"/>
      </w:pBdr>
      <w:tabs>
        <w:tab w:val="center" w:pos="4419"/>
        <w:tab w:val="right" w:pos="8838"/>
      </w:tabs>
      <w:spacing w:after="0" w:line="240" w:lineRule="auto"/>
      <w:jc w:val="center"/>
      <w:rPr>
        <w:rFonts w:ascii="Arial Narrow" w:eastAsia="Arial Narrow" w:hAnsi="Arial Narrow" w:cs="Arial Narrow"/>
        <w:sz w:val="16"/>
        <w:szCs w:val="16"/>
      </w:rPr>
    </w:pPr>
  </w:p>
  <w:p w14:paraId="365AF00B" w14:textId="77777777" w:rsidR="008A56C2" w:rsidRDefault="008A56C2">
    <w:pPr>
      <w:pBdr>
        <w:top w:val="nil"/>
        <w:left w:val="nil"/>
        <w:bottom w:val="nil"/>
        <w:right w:val="nil"/>
        <w:between w:val="nil"/>
      </w:pBdr>
      <w:tabs>
        <w:tab w:val="center" w:pos="4419"/>
        <w:tab w:val="right" w:pos="8838"/>
      </w:tabs>
      <w:spacing w:after="0" w:line="240" w:lineRule="auto"/>
      <w:jc w:val="center"/>
      <w:rPr>
        <w:rFonts w:ascii="Arial Narrow" w:eastAsia="Arial Narrow" w:hAnsi="Arial Narrow" w:cs="Arial Narrow"/>
        <w:sz w:val="16"/>
        <w:szCs w:val="16"/>
      </w:rPr>
    </w:pPr>
  </w:p>
  <w:p w14:paraId="59B7B9E0" w14:textId="77777777" w:rsidR="008A56C2" w:rsidRDefault="003D4B16">
    <w:pPr>
      <w:pBdr>
        <w:top w:val="nil"/>
        <w:left w:val="nil"/>
        <w:bottom w:val="nil"/>
        <w:right w:val="nil"/>
        <w:between w:val="nil"/>
      </w:pBdr>
      <w:tabs>
        <w:tab w:val="center" w:pos="4419"/>
        <w:tab w:val="right" w:pos="8838"/>
      </w:tabs>
      <w:spacing w:after="0" w:line="240" w:lineRule="auto"/>
      <w:jc w:val="center"/>
      <w:rPr>
        <w:rFonts w:ascii="Arial Narrow" w:eastAsia="Arial Narrow" w:hAnsi="Arial Narrow" w:cs="Arial Narrow"/>
        <w:sz w:val="16"/>
        <w:szCs w:val="16"/>
      </w:rP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noProof/>
        <w:sz w:val="16"/>
        <w:szCs w:val="16"/>
      </w:rPr>
      <w:t>1</w:t>
    </w:r>
    <w:r>
      <w:rPr>
        <w:rFonts w:ascii="Arial" w:eastAsia="Arial" w:hAnsi="Arial" w:cs="Arial"/>
        <w:sz w:val="16"/>
        <w:szCs w:val="16"/>
      </w:rPr>
      <w:fldChar w:fldCharType="end"/>
    </w:r>
  </w:p>
  <w:p w14:paraId="7862A515" w14:textId="77777777" w:rsidR="008A56C2" w:rsidRDefault="008A56C2">
    <w:pPr>
      <w:pBdr>
        <w:top w:val="nil"/>
        <w:left w:val="nil"/>
        <w:bottom w:val="nil"/>
        <w:right w:val="nil"/>
        <w:between w:val="nil"/>
      </w:pBdr>
      <w:tabs>
        <w:tab w:val="center" w:pos="4419"/>
        <w:tab w:val="right" w:pos="8838"/>
      </w:tabs>
      <w:spacing w:after="0" w:line="240" w:lineRule="auto"/>
      <w:jc w:val="center"/>
      <w:rPr>
        <w:rFonts w:ascii="Arial" w:eastAsia="Arial" w:hAnsi="Arial" w:cs="Arial"/>
        <w:sz w:val="16"/>
        <w:szCs w:val="16"/>
      </w:rPr>
    </w:pPr>
  </w:p>
  <w:p w14:paraId="7B64073E" w14:textId="77777777" w:rsidR="008A56C2" w:rsidRDefault="003D4B16">
    <w:pPr>
      <w:spacing w:after="0" w:line="240" w:lineRule="auto"/>
      <w:jc w:val="center"/>
      <w:rPr>
        <w:rFonts w:ascii="Arial" w:eastAsia="Arial" w:hAnsi="Arial" w:cs="Arial"/>
        <w:b/>
        <w:i/>
        <w:sz w:val="14"/>
        <w:szCs w:val="14"/>
      </w:rPr>
    </w:pPr>
    <w:r>
      <w:rPr>
        <w:rFonts w:ascii="Arial" w:eastAsia="Arial" w:hAnsi="Arial" w:cs="Arial"/>
        <w:b/>
        <w:i/>
        <w:sz w:val="14"/>
        <w:szCs w:val="14"/>
      </w:rPr>
      <w:t>INSTITUTO NACIONAL DE DEFENSA DE LA COMPETENCIA Y DE LA PROTECCIÓN DE LA PROPIEDAD INTELECTUAL</w:t>
    </w:r>
  </w:p>
  <w:p w14:paraId="4776D606" w14:textId="77777777" w:rsidR="008A56C2" w:rsidRDefault="003D4B16">
    <w:pPr>
      <w:spacing w:after="0" w:line="240" w:lineRule="auto"/>
      <w:jc w:val="center"/>
      <w:rPr>
        <w:rFonts w:ascii="Arial" w:eastAsia="Arial" w:hAnsi="Arial" w:cs="Arial"/>
        <w:sz w:val="14"/>
        <w:szCs w:val="14"/>
      </w:rPr>
    </w:pPr>
    <w:r>
      <w:rPr>
        <w:rFonts w:ascii="Arial" w:eastAsia="Arial" w:hAnsi="Arial" w:cs="Arial"/>
        <w:sz w:val="14"/>
        <w:szCs w:val="14"/>
      </w:rPr>
      <w:t>Calle De la Prosa 104, San Borja, Lima 41 - Perú Telf: 224 7800 / Fax: 224 0348</w:t>
    </w:r>
  </w:p>
  <w:p w14:paraId="34FD91CD" w14:textId="77777777" w:rsidR="008A56C2" w:rsidRDefault="003D4B16">
    <w:pPr>
      <w:spacing w:after="0" w:line="240" w:lineRule="auto"/>
      <w:jc w:val="center"/>
      <w:rPr>
        <w:rFonts w:ascii="Arial" w:eastAsia="Arial" w:hAnsi="Arial" w:cs="Arial"/>
        <w:sz w:val="14"/>
        <w:szCs w:val="14"/>
      </w:rPr>
    </w:pPr>
    <w:r>
      <w:rPr>
        <w:rFonts w:ascii="Arial" w:eastAsia="Arial" w:hAnsi="Arial" w:cs="Arial"/>
        <w:sz w:val="14"/>
        <w:szCs w:val="14"/>
      </w:rPr>
      <w:t xml:space="preserve">E-mail: postmaster@indecopi.gob.pe / Web: </w:t>
    </w:r>
    <w:hyperlink r:id="rId1">
      <w:r>
        <w:rPr>
          <w:rFonts w:ascii="Arial" w:eastAsia="Arial" w:hAnsi="Arial" w:cs="Arial"/>
          <w:color w:val="0563C1"/>
          <w:sz w:val="14"/>
          <w:szCs w:val="14"/>
          <w:u w:val="single"/>
        </w:rPr>
        <w:t>www.indecopi.gob.pe</w:t>
      </w:r>
    </w:hyperlink>
  </w:p>
  <w:p w14:paraId="7ECF3558" w14:textId="77777777" w:rsidR="008A56C2" w:rsidRDefault="008A56C2">
    <w:pPr>
      <w:spacing w:after="0" w:line="240" w:lineRule="auto"/>
      <w:jc w:val="center"/>
      <w:rPr>
        <w:rFonts w:ascii="Arial" w:eastAsia="Arial" w:hAnsi="Arial" w:cs="Arial"/>
        <w:sz w:val="14"/>
        <w:szCs w:val="14"/>
      </w:rPr>
    </w:pPr>
  </w:p>
  <w:p w14:paraId="6E3E62EF" w14:textId="77777777" w:rsidR="008A56C2" w:rsidRDefault="003D4B16">
    <w:pPr>
      <w:tabs>
        <w:tab w:val="center" w:pos="4419"/>
        <w:tab w:val="right" w:pos="8838"/>
      </w:tabs>
      <w:spacing w:after="0" w:line="240" w:lineRule="auto"/>
      <w:rPr>
        <w:rFonts w:ascii="Arial" w:eastAsia="Arial" w:hAnsi="Arial" w:cs="Arial"/>
        <w:sz w:val="16"/>
        <w:szCs w:val="16"/>
      </w:rPr>
    </w:pPr>
    <w:r>
      <w:rPr>
        <w:rFonts w:ascii="Arial" w:eastAsia="Arial" w:hAnsi="Arial" w:cs="Arial"/>
        <w:sz w:val="16"/>
        <w:szCs w:val="16"/>
      </w:rPr>
      <w:t>M-CPC-05/02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09BC9" w14:textId="77777777" w:rsidR="00041971" w:rsidRDefault="00041971">
      <w:pPr>
        <w:spacing w:after="0" w:line="240" w:lineRule="auto"/>
      </w:pPr>
      <w:r>
        <w:separator/>
      </w:r>
    </w:p>
  </w:footnote>
  <w:footnote w:type="continuationSeparator" w:id="0">
    <w:p w14:paraId="3A7C43AB" w14:textId="77777777" w:rsidR="00041971" w:rsidRDefault="00041971">
      <w:pPr>
        <w:spacing w:after="0" w:line="240" w:lineRule="auto"/>
      </w:pPr>
      <w:r>
        <w:continuationSeparator/>
      </w:r>
    </w:p>
  </w:footnote>
  <w:footnote w:id="1">
    <w:p w14:paraId="2E368A17" w14:textId="77777777" w:rsidR="008A56C2" w:rsidRPr="00624D24" w:rsidRDefault="003D4B16">
      <w:pPr>
        <w:pBdr>
          <w:top w:val="nil"/>
          <w:left w:val="nil"/>
          <w:bottom w:val="nil"/>
          <w:right w:val="nil"/>
          <w:between w:val="nil"/>
        </w:pBdr>
        <w:spacing w:after="0" w:line="240" w:lineRule="auto"/>
        <w:ind w:left="567" w:hanging="567"/>
        <w:jc w:val="both"/>
        <w:rPr>
          <w:rFonts w:ascii="Arial" w:eastAsia="Arial" w:hAnsi="Arial" w:cs="Arial"/>
          <w:sz w:val="16"/>
          <w:szCs w:val="16"/>
        </w:rPr>
      </w:pPr>
      <w:r w:rsidRPr="00624D24">
        <w:rPr>
          <w:rFonts w:ascii="Arial" w:hAnsi="Arial" w:cs="Arial"/>
          <w:sz w:val="16"/>
          <w:szCs w:val="16"/>
          <w:vertAlign w:val="superscript"/>
        </w:rPr>
        <w:footnoteRef/>
      </w:r>
      <w:r w:rsidRPr="00624D24">
        <w:rPr>
          <w:rFonts w:ascii="Arial" w:eastAsia="Arial" w:hAnsi="Arial" w:cs="Arial"/>
          <w:sz w:val="16"/>
          <w:szCs w:val="16"/>
        </w:rPr>
        <w:t xml:space="preserve"> </w:t>
      </w:r>
      <w:r w:rsidRPr="00624D24">
        <w:rPr>
          <w:rFonts w:ascii="Arial" w:eastAsia="Arial" w:hAnsi="Arial" w:cs="Arial"/>
          <w:sz w:val="16"/>
          <w:szCs w:val="16"/>
        </w:rPr>
        <w:tab/>
        <w:t xml:space="preserve">Denuncia remitida a este Despacho por el </w:t>
      </w:r>
      <w:r w:rsidRPr="0033320A">
        <w:rPr>
          <w:rFonts w:ascii="Arial" w:eastAsia="Arial" w:hAnsi="Arial" w:cs="Arial"/>
          <w:sz w:val="16"/>
          <w:szCs w:val="16"/>
          <w:highlight w:val="magenta"/>
        </w:rPr>
        <w:t>Órgano Resolutivo de Procedimientos Sumarísimos de Protección al Consumidor N°2 mediante Memorándum N° 000700-2024-PS2/INDECOPI del 10 de abril de 2024</w:t>
      </w:r>
      <w:r w:rsidRPr="00624D24">
        <w:rPr>
          <w:rFonts w:ascii="Arial" w:eastAsia="Arial" w:hAnsi="Arial" w:cs="Arial"/>
          <w:sz w:val="16"/>
          <w:szCs w:val="16"/>
        </w:rPr>
        <w:t>.</w:t>
      </w:r>
    </w:p>
    <w:p w14:paraId="7D5C5278" w14:textId="77777777" w:rsidR="008A56C2" w:rsidRPr="00624D24" w:rsidRDefault="008A56C2">
      <w:pPr>
        <w:pBdr>
          <w:top w:val="nil"/>
          <w:left w:val="nil"/>
          <w:bottom w:val="nil"/>
          <w:right w:val="nil"/>
          <w:between w:val="nil"/>
        </w:pBdr>
        <w:spacing w:after="0" w:line="240" w:lineRule="auto"/>
        <w:ind w:left="567" w:hanging="567"/>
        <w:jc w:val="both"/>
        <w:rPr>
          <w:rFonts w:ascii="Arial" w:eastAsia="Arial" w:hAnsi="Arial" w:cs="Arial"/>
          <w:sz w:val="16"/>
          <w:szCs w:val="16"/>
        </w:rPr>
      </w:pPr>
    </w:p>
  </w:footnote>
  <w:footnote w:id="2">
    <w:p w14:paraId="59D4B5AF" w14:textId="77777777" w:rsidR="008A56C2" w:rsidRPr="00624D24" w:rsidRDefault="003D4B16">
      <w:pPr>
        <w:pBdr>
          <w:top w:val="nil"/>
          <w:left w:val="nil"/>
          <w:bottom w:val="nil"/>
          <w:right w:val="nil"/>
          <w:between w:val="nil"/>
        </w:pBdr>
        <w:spacing w:after="0" w:line="240" w:lineRule="auto"/>
        <w:ind w:left="567" w:hanging="567"/>
        <w:jc w:val="both"/>
        <w:rPr>
          <w:rFonts w:ascii="Arial" w:eastAsia="Arial" w:hAnsi="Arial" w:cs="Arial"/>
          <w:sz w:val="16"/>
          <w:szCs w:val="16"/>
        </w:rPr>
      </w:pPr>
      <w:r w:rsidRPr="00624D24">
        <w:rPr>
          <w:rFonts w:ascii="Arial" w:hAnsi="Arial" w:cs="Arial"/>
          <w:sz w:val="16"/>
          <w:szCs w:val="16"/>
          <w:vertAlign w:val="superscript"/>
        </w:rPr>
        <w:footnoteRef/>
      </w:r>
      <w:r w:rsidRPr="00624D24">
        <w:rPr>
          <w:rFonts w:ascii="Arial" w:eastAsia="Arial" w:hAnsi="Arial" w:cs="Arial"/>
          <w:sz w:val="16"/>
          <w:szCs w:val="16"/>
        </w:rPr>
        <w:tab/>
        <w:t>Publicado</w:t>
      </w:r>
      <w:r w:rsidRPr="00624D24">
        <w:rPr>
          <w:rFonts w:ascii="Arial" w:eastAsia="Arial" w:hAnsi="Arial" w:cs="Arial"/>
          <w:b/>
          <w:sz w:val="16"/>
          <w:szCs w:val="16"/>
        </w:rPr>
        <w:t xml:space="preserve"> </w:t>
      </w:r>
      <w:r w:rsidRPr="00624D24">
        <w:rPr>
          <w:rFonts w:ascii="Arial" w:eastAsia="Arial" w:hAnsi="Arial" w:cs="Arial"/>
          <w:sz w:val="16"/>
          <w:szCs w:val="16"/>
        </w:rPr>
        <w:t xml:space="preserve">el 2 de setiembre del 2010 en el Diario Oficial El Peruano, vigente desde el 2 de octubre del 2010 y modificado por Decreto Legislativo N° 1308. </w:t>
      </w:r>
    </w:p>
    <w:p w14:paraId="504AF096" w14:textId="77777777" w:rsidR="008A56C2" w:rsidRPr="00624D24" w:rsidRDefault="008A56C2">
      <w:pPr>
        <w:pBdr>
          <w:top w:val="nil"/>
          <w:left w:val="nil"/>
          <w:bottom w:val="nil"/>
          <w:right w:val="nil"/>
          <w:between w:val="nil"/>
        </w:pBdr>
        <w:spacing w:after="0" w:line="240" w:lineRule="auto"/>
        <w:ind w:left="567" w:hanging="567"/>
        <w:jc w:val="both"/>
        <w:rPr>
          <w:rFonts w:ascii="Arial" w:eastAsia="Arial" w:hAnsi="Arial" w:cs="Arial"/>
          <w:sz w:val="16"/>
          <w:szCs w:val="16"/>
        </w:rPr>
      </w:pPr>
    </w:p>
  </w:footnote>
  <w:footnote w:id="3">
    <w:p w14:paraId="65FC878D" w14:textId="77777777" w:rsidR="008A56C2" w:rsidRPr="00624D24" w:rsidRDefault="003D4B16">
      <w:pPr>
        <w:pBdr>
          <w:top w:val="nil"/>
          <w:left w:val="nil"/>
          <w:bottom w:val="nil"/>
          <w:right w:val="nil"/>
          <w:between w:val="nil"/>
        </w:pBdr>
        <w:spacing w:after="0" w:line="240" w:lineRule="auto"/>
        <w:ind w:left="567" w:hanging="567"/>
        <w:jc w:val="both"/>
        <w:rPr>
          <w:rFonts w:ascii="Arial" w:eastAsia="Arial" w:hAnsi="Arial" w:cs="Arial"/>
          <w:b/>
          <w:sz w:val="16"/>
          <w:szCs w:val="16"/>
        </w:rPr>
      </w:pPr>
      <w:r w:rsidRPr="00624D24">
        <w:rPr>
          <w:rFonts w:ascii="Arial" w:hAnsi="Arial" w:cs="Arial"/>
          <w:sz w:val="16"/>
          <w:szCs w:val="16"/>
          <w:vertAlign w:val="superscript"/>
        </w:rPr>
        <w:footnoteRef/>
      </w:r>
      <w:r w:rsidRPr="00624D24">
        <w:rPr>
          <w:rFonts w:ascii="Arial" w:eastAsia="Arial" w:hAnsi="Arial" w:cs="Arial"/>
          <w:sz w:val="16"/>
          <w:szCs w:val="16"/>
        </w:rPr>
        <w:t xml:space="preserve"> </w:t>
      </w:r>
      <w:r w:rsidRPr="00624D24">
        <w:rPr>
          <w:rFonts w:ascii="Arial" w:eastAsia="Arial" w:hAnsi="Arial" w:cs="Arial"/>
          <w:sz w:val="16"/>
          <w:szCs w:val="16"/>
        </w:rPr>
        <w:tab/>
      </w:r>
      <w:r w:rsidRPr="00624D24">
        <w:rPr>
          <w:rFonts w:ascii="Arial" w:eastAsia="Arial" w:hAnsi="Arial" w:cs="Arial"/>
          <w:b/>
          <w:sz w:val="16"/>
          <w:szCs w:val="16"/>
        </w:rPr>
        <w:t>TEXTO ÚNICO ORDENADO DE LA LEY Nº 27444, LEY DEL PROCEDIMIENTO ADMINISTRATIVO GENERAL, aprobado por DECRETO SUPREMO Nº 004-2019-JUS y publicado el 25 de enero de 2019</w:t>
      </w:r>
    </w:p>
    <w:p w14:paraId="23E91CFE" w14:textId="77777777" w:rsidR="008A56C2" w:rsidRPr="00624D24" w:rsidRDefault="003D4B16">
      <w:pPr>
        <w:spacing w:after="0" w:line="240" w:lineRule="auto"/>
        <w:ind w:left="570"/>
        <w:jc w:val="both"/>
        <w:rPr>
          <w:rFonts w:ascii="Arial" w:eastAsia="Arial" w:hAnsi="Arial" w:cs="Arial"/>
          <w:sz w:val="16"/>
          <w:szCs w:val="16"/>
        </w:rPr>
      </w:pPr>
      <w:r w:rsidRPr="00624D24">
        <w:rPr>
          <w:rFonts w:ascii="Arial" w:eastAsia="Arial" w:hAnsi="Arial" w:cs="Arial"/>
          <w:b/>
          <w:sz w:val="16"/>
          <w:szCs w:val="16"/>
        </w:rPr>
        <w:t xml:space="preserve">TÍTULO PRELIMINAR </w:t>
      </w:r>
    </w:p>
    <w:p w14:paraId="4109FDE9" w14:textId="77777777" w:rsidR="008A56C2" w:rsidRPr="00624D24" w:rsidRDefault="003D4B16">
      <w:pPr>
        <w:spacing w:after="0" w:line="240" w:lineRule="auto"/>
        <w:ind w:left="570"/>
        <w:jc w:val="both"/>
        <w:rPr>
          <w:rFonts w:ascii="Arial" w:eastAsia="Arial" w:hAnsi="Arial" w:cs="Arial"/>
          <w:sz w:val="16"/>
          <w:szCs w:val="16"/>
        </w:rPr>
      </w:pPr>
      <w:r w:rsidRPr="00624D24">
        <w:rPr>
          <w:rFonts w:ascii="Arial" w:eastAsia="Arial" w:hAnsi="Arial" w:cs="Arial"/>
          <w:b/>
          <w:sz w:val="16"/>
          <w:szCs w:val="16"/>
        </w:rPr>
        <w:t>Artículo IV.- Principios del procedimiento administrativo</w:t>
      </w:r>
    </w:p>
    <w:p w14:paraId="375EB1FB" w14:textId="77777777" w:rsidR="008A56C2" w:rsidRPr="00624D24" w:rsidRDefault="003D4B16">
      <w:pPr>
        <w:spacing w:after="0" w:line="240" w:lineRule="auto"/>
        <w:ind w:left="570"/>
        <w:jc w:val="both"/>
        <w:rPr>
          <w:rFonts w:ascii="Arial" w:eastAsia="Arial" w:hAnsi="Arial" w:cs="Arial"/>
          <w:sz w:val="16"/>
          <w:szCs w:val="16"/>
        </w:rPr>
      </w:pPr>
      <w:r w:rsidRPr="00624D24">
        <w:rPr>
          <w:rFonts w:ascii="Arial" w:eastAsia="Arial" w:hAnsi="Arial" w:cs="Arial"/>
          <w:sz w:val="16"/>
          <w:szCs w:val="16"/>
        </w:rPr>
        <w:t xml:space="preserve">1. El procedimiento administrativo se sustenta fundamentalmente en los siguientes principios, sin perjuicio de la vigencia de otros principios generales del Derecho Administrativo: </w:t>
      </w:r>
    </w:p>
    <w:p w14:paraId="46DEB7F6" w14:textId="77777777" w:rsidR="008A56C2" w:rsidRPr="00624D24" w:rsidRDefault="003D4B16">
      <w:pPr>
        <w:spacing w:after="0" w:line="240" w:lineRule="auto"/>
        <w:ind w:left="570"/>
        <w:jc w:val="both"/>
        <w:rPr>
          <w:rFonts w:ascii="Arial" w:eastAsia="Arial" w:hAnsi="Arial" w:cs="Arial"/>
          <w:sz w:val="16"/>
          <w:szCs w:val="16"/>
        </w:rPr>
      </w:pPr>
      <w:r w:rsidRPr="00624D24">
        <w:rPr>
          <w:rFonts w:ascii="Arial" w:eastAsia="Arial" w:hAnsi="Arial" w:cs="Arial"/>
          <w:b/>
          <w:sz w:val="16"/>
          <w:szCs w:val="16"/>
        </w:rPr>
        <w:t>1.1. Principio de legalidad. -</w:t>
      </w:r>
      <w:r w:rsidRPr="00624D24">
        <w:rPr>
          <w:rFonts w:ascii="Arial" w:eastAsia="Arial" w:hAnsi="Arial" w:cs="Arial"/>
          <w:sz w:val="16"/>
          <w:szCs w:val="16"/>
        </w:rPr>
        <w:t xml:space="preserve"> Las autoridades administrativas deben actuar con respeto a la Constitución, la ley y al derecho, dentro de las facultades que le estén atribuidas y de acuerdo con los fines para los que les fueron conferidas.</w:t>
      </w:r>
    </w:p>
    <w:p w14:paraId="694420AC" w14:textId="77777777" w:rsidR="008A56C2" w:rsidRPr="00624D24" w:rsidRDefault="003D4B16">
      <w:pPr>
        <w:spacing w:after="0" w:line="240" w:lineRule="auto"/>
        <w:ind w:left="1273" w:hanging="423"/>
        <w:jc w:val="both"/>
        <w:rPr>
          <w:rFonts w:ascii="Arial" w:eastAsia="Arial" w:hAnsi="Arial" w:cs="Arial"/>
          <w:sz w:val="16"/>
          <w:szCs w:val="16"/>
        </w:rPr>
      </w:pPr>
      <w:r w:rsidRPr="00624D24">
        <w:rPr>
          <w:rFonts w:ascii="Arial" w:eastAsia="Arial" w:hAnsi="Arial" w:cs="Arial"/>
          <w:sz w:val="16"/>
          <w:szCs w:val="16"/>
        </w:rPr>
        <w:t>(...)</w:t>
      </w:r>
    </w:p>
    <w:p w14:paraId="75A64B2F" w14:textId="77777777" w:rsidR="008A56C2" w:rsidRPr="00624D24" w:rsidRDefault="008A56C2">
      <w:pPr>
        <w:tabs>
          <w:tab w:val="left" w:pos="425"/>
        </w:tabs>
        <w:spacing w:after="0" w:line="240" w:lineRule="auto"/>
        <w:ind w:left="420"/>
        <w:jc w:val="both"/>
        <w:rPr>
          <w:rFonts w:ascii="Arial" w:eastAsia="Arial" w:hAnsi="Arial" w:cs="Arial"/>
          <w:sz w:val="16"/>
          <w:szCs w:val="16"/>
        </w:rPr>
      </w:pPr>
    </w:p>
  </w:footnote>
  <w:footnote w:id="4">
    <w:p w14:paraId="079F4F13" w14:textId="77777777" w:rsidR="008A56C2" w:rsidRPr="00624D24" w:rsidRDefault="003D4B16">
      <w:pPr>
        <w:pBdr>
          <w:top w:val="nil"/>
          <w:left w:val="nil"/>
          <w:bottom w:val="nil"/>
          <w:right w:val="nil"/>
          <w:between w:val="nil"/>
        </w:pBdr>
        <w:spacing w:after="0" w:line="240" w:lineRule="auto"/>
        <w:ind w:left="567" w:hanging="567"/>
        <w:jc w:val="both"/>
        <w:rPr>
          <w:rFonts w:ascii="Arial" w:eastAsia="Arial" w:hAnsi="Arial" w:cs="Arial"/>
          <w:b/>
          <w:sz w:val="16"/>
          <w:szCs w:val="16"/>
        </w:rPr>
      </w:pPr>
      <w:r w:rsidRPr="00624D24">
        <w:rPr>
          <w:rFonts w:ascii="Arial" w:hAnsi="Arial" w:cs="Arial"/>
          <w:sz w:val="16"/>
          <w:szCs w:val="16"/>
          <w:vertAlign w:val="superscript"/>
        </w:rPr>
        <w:footnoteRef/>
      </w:r>
      <w:r w:rsidRPr="00624D24">
        <w:rPr>
          <w:rFonts w:ascii="Arial" w:eastAsia="Arial" w:hAnsi="Arial" w:cs="Arial"/>
          <w:sz w:val="16"/>
          <w:szCs w:val="16"/>
        </w:rPr>
        <w:t xml:space="preserve"> </w:t>
      </w:r>
      <w:r w:rsidRPr="00624D24">
        <w:rPr>
          <w:rFonts w:ascii="Arial" w:eastAsia="Arial" w:hAnsi="Arial" w:cs="Arial"/>
          <w:sz w:val="16"/>
          <w:szCs w:val="16"/>
        </w:rPr>
        <w:tab/>
      </w:r>
      <w:r w:rsidRPr="00624D24">
        <w:rPr>
          <w:rFonts w:ascii="Arial" w:eastAsia="Arial" w:hAnsi="Arial" w:cs="Arial"/>
          <w:b/>
          <w:sz w:val="16"/>
          <w:szCs w:val="16"/>
        </w:rPr>
        <w:t>TEXTO ÚNICO ORDENADO DE LA LEY Nº 27444, LEY DEL PROCEDIMIENTO ADMINISTRATIVO GENERAL, aprobado por DECRETO SUPREMO Nº 004-2019-JUS y publicado el 25 de enero de 2019</w:t>
      </w:r>
    </w:p>
    <w:p w14:paraId="05A94F44" w14:textId="77777777" w:rsidR="008A56C2" w:rsidRPr="00624D24" w:rsidRDefault="003D4B16">
      <w:pPr>
        <w:pBdr>
          <w:top w:val="nil"/>
          <w:left w:val="nil"/>
          <w:bottom w:val="nil"/>
          <w:right w:val="nil"/>
          <w:between w:val="nil"/>
        </w:pBdr>
        <w:spacing w:after="0" w:line="240" w:lineRule="auto"/>
        <w:ind w:left="567"/>
        <w:jc w:val="both"/>
        <w:rPr>
          <w:rFonts w:ascii="Arial" w:eastAsia="Arial" w:hAnsi="Arial" w:cs="Arial"/>
          <w:b/>
          <w:sz w:val="16"/>
          <w:szCs w:val="16"/>
        </w:rPr>
      </w:pPr>
      <w:r w:rsidRPr="00624D24">
        <w:rPr>
          <w:rFonts w:ascii="Arial" w:eastAsia="Arial" w:hAnsi="Arial" w:cs="Arial"/>
          <w:b/>
          <w:sz w:val="16"/>
          <w:szCs w:val="16"/>
        </w:rPr>
        <w:t xml:space="preserve">Artículo 72.- Fuente de competencia administrativa </w:t>
      </w:r>
    </w:p>
    <w:p w14:paraId="4B52A27E" w14:textId="77777777" w:rsidR="008A56C2" w:rsidRPr="00624D24" w:rsidRDefault="003D4B16">
      <w:pPr>
        <w:pBdr>
          <w:top w:val="nil"/>
          <w:left w:val="nil"/>
          <w:bottom w:val="nil"/>
          <w:right w:val="nil"/>
          <w:between w:val="nil"/>
        </w:pBdr>
        <w:spacing w:after="0" w:line="240" w:lineRule="auto"/>
        <w:ind w:left="567"/>
        <w:jc w:val="both"/>
        <w:rPr>
          <w:rFonts w:ascii="Arial" w:eastAsia="Arial" w:hAnsi="Arial" w:cs="Arial"/>
          <w:sz w:val="16"/>
          <w:szCs w:val="16"/>
        </w:rPr>
      </w:pPr>
      <w:r w:rsidRPr="00624D24">
        <w:rPr>
          <w:rFonts w:ascii="Arial" w:eastAsia="Arial" w:hAnsi="Arial" w:cs="Arial"/>
          <w:sz w:val="16"/>
          <w:szCs w:val="16"/>
        </w:rPr>
        <w:t>72.1 La competencia de las entidades tiene su fuente en la Constitución y en la ley, y es reglamentada por las normas administrativas que de aquéllas se derivan.</w:t>
      </w:r>
    </w:p>
    <w:p w14:paraId="3C309DDB" w14:textId="77777777" w:rsidR="008A56C2" w:rsidRPr="00624D24" w:rsidRDefault="003D4B16">
      <w:pPr>
        <w:pBdr>
          <w:top w:val="nil"/>
          <w:left w:val="nil"/>
          <w:bottom w:val="nil"/>
          <w:right w:val="nil"/>
          <w:between w:val="nil"/>
        </w:pBdr>
        <w:spacing w:after="0" w:line="240" w:lineRule="auto"/>
        <w:ind w:left="567"/>
        <w:jc w:val="both"/>
        <w:rPr>
          <w:rFonts w:ascii="Arial" w:eastAsia="Arial" w:hAnsi="Arial" w:cs="Arial"/>
          <w:sz w:val="16"/>
          <w:szCs w:val="16"/>
        </w:rPr>
      </w:pPr>
      <w:r w:rsidRPr="00624D24">
        <w:rPr>
          <w:rFonts w:ascii="Arial" w:eastAsia="Arial" w:hAnsi="Arial" w:cs="Arial"/>
          <w:sz w:val="16"/>
          <w:szCs w:val="16"/>
        </w:rPr>
        <w:t>(…)</w:t>
      </w:r>
    </w:p>
    <w:p w14:paraId="3024AB7C" w14:textId="77777777" w:rsidR="008A56C2" w:rsidRPr="00624D24" w:rsidRDefault="008A56C2">
      <w:pPr>
        <w:pBdr>
          <w:top w:val="nil"/>
          <w:left w:val="nil"/>
          <w:bottom w:val="nil"/>
          <w:right w:val="nil"/>
          <w:between w:val="nil"/>
        </w:pBdr>
        <w:spacing w:after="0" w:line="240" w:lineRule="auto"/>
        <w:ind w:left="567"/>
        <w:jc w:val="both"/>
        <w:rPr>
          <w:rFonts w:ascii="Arial" w:eastAsia="Arial" w:hAnsi="Arial" w:cs="Arial"/>
          <w:sz w:val="16"/>
          <w:szCs w:val="16"/>
        </w:rPr>
      </w:pPr>
    </w:p>
  </w:footnote>
  <w:footnote w:id="5">
    <w:p w14:paraId="09D36E1F" w14:textId="77777777" w:rsidR="008A56C2" w:rsidRPr="00624D24" w:rsidRDefault="003D4B16">
      <w:pPr>
        <w:pBdr>
          <w:top w:val="nil"/>
          <w:left w:val="nil"/>
          <w:bottom w:val="nil"/>
          <w:right w:val="nil"/>
          <w:between w:val="nil"/>
        </w:pBdr>
        <w:spacing w:after="0" w:line="240" w:lineRule="auto"/>
        <w:ind w:left="567" w:hanging="567"/>
        <w:jc w:val="both"/>
        <w:rPr>
          <w:rFonts w:ascii="Arial" w:eastAsia="Arial" w:hAnsi="Arial" w:cs="Arial"/>
          <w:b/>
          <w:sz w:val="16"/>
          <w:szCs w:val="16"/>
        </w:rPr>
      </w:pPr>
      <w:r w:rsidRPr="00624D24">
        <w:rPr>
          <w:rFonts w:ascii="Arial" w:hAnsi="Arial" w:cs="Arial"/>
          <w:sz w:val="16"/>
          <w:szCs w:val="16"/>
          <w:vertAlign w:val="superscript"/>
        </w:rPr>
        <w:footnoteRef/>
      </w:r>
      <w:r w:rsidRPr="00624D24">
        <w:rPr>
          <w:rFonts w:ascii="Arial" w:eastAsia="Arial" w:hAnsi="Arial" w:cs="Arial"/>
          <w:sz w:val="16"/>
          <w:szCs w:val="16"/>
        </w:rPr>
        <w:t xml:space="preserve"> </w:t>
      </w:r>
      <w:r w:rsidRPr="00624D24">
        <w:rPr>
          <w:rFonts w:ascii="Arial" w:eastAsia="Arial" w:hAnsi="Arial" w:cs="Arial"/>
          <w:sz w:val="16"/>
          <w:szCs w:val="16"/>
        </w:rPr>
        <w:tab/>
      </w:r>
      <w:r w:rsidRPr="00624D24">
        <w:rPr>
          <w:rFonts w:ascii="Arial" w:eastAsia="Arial" w:hAnsi="Arial" w:cs="Arial"/>
          <w:b/>
          <w:sz w:val="16"/>
          <w:szCs w:val="16"/>
        </w:rPr>
        <w:t>TEXTO ÚNICO ORDENADO DE LA LEY Nº 27444, LEY DEL PROCEDIMIENTO ADMINISTRATIVO GENERAL, aprobado por DECRETO SUPREMO Nº 004-2019-JUS y publicado el 25 de enero de 2019</w:t>
      </w:r>
    </w:p>
    <w:p w14:paraId="0F3445F9" w14:textId="77777777" w:rsidR="008A56C2" w:rsidRPr="00624D24" w:rsidRDefault="003D4B16">
      <w:pPr>
        <w:pBdr>
          <w:top w:val="nil"/>
          <w:left w:val="nil"/>
          <w:bottom w:val="nil"/>
          <w:right w:val="nil"/>
          <w:between w:val="nil"/>
        </w:pBdr>
        <w:spacing w:after="0" w:line="240" w:lineRule="auto"/>
        <w:ind w:left="567" w:hanging="567"/>
        <w:jc w:val="both"/>
        <w:rPr>
          <w:rFonts w:ascii="Arial" w:eastAsia="Arial" w:hAnsi="Arial" w:cs="Arial"/>
          <w:b/>
          <w:sz w:val="16"/>
          <w:szCs w:val="16"/>
        </w:rPr>
      </w:pPr>
      <w:r w:rsidRPr="00624D24">
        <w:rPr>
          <w:rFonts w:ascii="Arial" w:eastAsia="Arial" w:hAnsi="Arial" w:cs="Arial"/>
          <w:sz w:val="16"/>
          <w:szCs w:val="16"/>
        </w:rPr>
        <w:tab/>
      </w:r>
      <w:r w:rsidRPr="00624D24">
        <w:rPr>
          <w:rFonts w:ascii="Arial" w:eastAsia="Arial" w:hAnsi="Arial" w:cs="Arial"/>
          <w:b/>
          <w:sz w:val="16"/>
          <w:szCs w:val="16"/>
        </w:rPr>
        <w:t xml:space="preserve">Artículo 3.- Requisitos de validez de los actos administrativos </w:t>
      </w:r>
    </w:p>
    <w:p w14:paraId="636D2976" w14:textId="77777777" w:rsidR="008A56C2" w:rsidRPr="00624D24" w:rsidRDefault="003D4B16">
      <w:pPr>
        <w:pBdr>
          <w:top w:val="nil"/>
          <w:left w:val="nil"/>
          <w:bottom w:val="nil"/>
          <w:right w:val="nil"/>
          <w:between w:val="nil"/>
        </w:pBdr>
        <w:spacing w:after="0" w:line="240" w:lineRule="auto"/>
        <w:ind w:left="567"/>
        <w:jc w:val="both"/>
        <w:rPr>
          <w:rFonts w:ascii="Arial" w:eastAsia="Arial" w:hAnsi="Arial" w:cs="Arial"/>
          <w:sz w:val="16"/>
          <w:szCs w:val="16"/>
        </w:rPr>
      </w:pPr>
      <w:r w:rsidRPr="00624D24">
        <w:rPr>
          <w:rFonts w:ascii="Arial" w:eastAsia="Arial" w:hAnsi="Arial" w:cs="Arial"/>
          <w:sz w:val="16"/>
          <w:szCs w:val="16"/>
        </w:rPr>
        <w:t xml:space="preserve">Son requisitos de validez de los actos administrativos: </w:t>
      </w:r>
    </w:p>
    <w:p w14:paraId="6DDC830F" w14:textId="77777777" w:rsidR="008A56C2" w:rsidRPr="00624D24" w:rsidRDefault="003D4B16">
      <w:pPr>
        <w:pBdr>
          <w:top w:val="nil"/>
          <w:left w:val="nil"/>
          <w:bottom w:val="nil"/>
          <w:right w:val="nil"/>
          <w:between w:val="nil"/>
        </w:pBdr>
        <w:spacing w:after="0" w:line="240" w:lineRule="auto"/>
        <w:ind w:left="851" w:hanging="284"/>
        <w:jc w:val="both"/>
        <w:rPr>
          <w:rFonts w:ascii="Arial" w:eastAsia="Arial" w:hAnsi="Arial" w:cs="Arial"/>
          <w:sz w:val="16"/>
          <w:szCs w:val="16"/>
        </w:rPr>
      </w:pPr>
      <w:r w:rsidRPr="00624D24">
        <w:rPr>
          <w:rFonts w:ascii="Arial" w:eastAsia="Arial" w:hAnsi="Arial" w:cs="Arial"/>
          <w:sz w:val="16"/>
          <w:szCs w:val="16"/>
        </w:rPr>
        <w:t xml:space="preserve">1. </w:t>
      </w:r>
      <w:r w:rsidRPr="00624D24">
        <w:rPr>
          <w:rFonts w:ascii="Arial" w:eastAsia="Arial" w:hAnsi="Arial" w:cs="Arial"/>
          <w:sz w:val="16"/>
          <w:szCs w:val="16"/>
        </w:rPr>
        <w:tab/>
        <w:t>Competencia.- Ser emitido por el órgano facultado en razón de la materia, territorio, grado, tiempo o cuantía, a través de la autoridad regularmente nominada al momento del dictado y en caso de órganos colegiados, cumpliendo los requisitos de sesión, quórum y deliberación indispensables para su emisión.</w:t>
      </w:r>
    </w:p>
    <w:p w14:paraId="3F9CC591" w14:textId="77777777" w:rsidR="008A56C2" w:rsidRPr="00624D24" w:rsidRDefault="003D4B16">
      <w:pPr>
        <w:pBdr>
          <w:top w:val="nil"/>
          <w:left w:val="nil"/>
          <w:bottom w:val="nil"/>
          <w:right w:val="nil"/>
          <w:between w:val="nil"/>
        </w:pBdr>
        <w:spacing w:after="0" w:line="240" w:lineRule="auto"/>
        <w:ind w:left="851" w:hanging="284"/>
        <w:jc w:val="both"/>
        <w:rPr>
          <w:rFonts w:ascii="Arial" w:eastAsia="Arial" w:hAnsi="Arial" w:cs="Arial"/>
          <w:sz w:val="16"/>
          <w:szCs w:val="16"/>
        </w:rPr>
      </w:pPr>
      <w:r w:rsidRPr="00624D24">
        <w:rPr>
          <w:rFonts w:ascii="Arial" w:eastAsia="Arial" w:hAnsi="Arial" w:cs="Arial"/>
          <w:sz w:val="16"/>
          <w:szCs w:val="16"/>
        </w:rPr>
        <w:t>(…)</w:t>
      </w:r>
    </w:p>
    <w:p w14:paraId="7C5433E6" w14:textId="77777777" w:rsidR="008A56C2" w:rsidRPr="00624D24" w:rsidRDefault="008A56C2">
      <w:pPr>
        <w:pBdr>
          <w:top w:val="nil"/>
          <w:left w:val="nil"/>
          <w:bottom w:val="nil"/>
          <w:right w:val="nil"/>
          <w:between w:val="nil"/>
        </w:pBdr>
        <w:spacing w:after="0" w:line="240" w:lineRule="auto"/>
        <w:ind w:left="567"/>
        <w:jc w:val="both"/>
        <w:rPr>
          <w:rFonts w:ascii="Arial" w:eastAsia="Arial" w:hAnsi="Arial" w:cs="Arial"/>
          <w:sz w:val="16"/>
          <w:szCs w:val="16"/>
        </w:rPr>
      </w:pPr>
    </w:p>
  </w:footnote>
  <w:footnote w:id="6">
    <w:p w14:paraId="4557F1CB" w14:textId="77777777" w:rsidR="008A56C2" w:rsidRPr="00624D24" w:rsidRDefault="003D4B16">
      <w:pPr>
        <w:pBdr>
          <w:top w:val="nil"/>
          <w:left w:val="nil"/>
          <w:bottom w:val="nil"/>
          <w:right w:val="nil"/>
          <w:between w:val="nil"/>
        </w:pBdr>
        <w:spacing w:after="0" w:line="240" w:lineRule="auto"/>
        <w:ind w:left="567" w:hanging="567"/>
        <w:jc w:val="both"/>
        <w:rPr>
          <w:rFonts w:ascii="Arial" w:eastAsia="Arial" w:hAnsi="Arial" w:cs="Arial"/>
          <w:sz w:val="16"/>
          <w:szCs w:val="16"/>
        </w:rPr>
      </w:pPr>
      <w:r w:rsidRPr="00624D24">
        <w:rPr>
          <w:rFonts w:ascii="Arial" w:hAnsi="Arial" w:cs="Arial"/>
          <w:sz w:val="16"/>
          <w:szCs w:val="16"/>
          <w:vertAlign w:val="superscript"/>
        </w:rPr>
        <w:footnoteRef/>
      </w:r>
      <w:r w:rsidRPr="00624D24">
        <w:rPr>
          <w:rFonts w:ascii="Arial" w:eastAsia="Arial" w:hAnsi="Arial" w:cs="Arial"/>
          <w:sz w:val="16"/>
          <w:szCs w:val="16"/>
        </w:rPr>
        <w:t xml:space="preserve"> </w:t>
      </w:r>
      <w:r w:rsidRPr="00624D24">
        <w:rPr>
          <w:rFonts w:ascii="Arial" w:eastAsia="Arial" w:hAnsi="Arial" w:cs="Arial"/>
          <w:sz w:val="16"/>
          <w:szCs w:val="16"/>
        </w:rPr>
        <w:tab/>
      </w:r>
      <w:r w:rsidRPr="00624D24">
        <w:rPr>
          <w:rFonts w:ascii="Arial" w:eastAsia="Arial" w:hAnsi="Arial" w:cs="Arial"/>
          <w:b/>
          <w:sz w:val="16"/>
          <w:szCs w:val="16"/>
        </w:rPr>
        <w:t>TEXTO ÚNICO ORDENADO DE LA LEY Nº 27444, LEY DEL PROCEDIMIENTO ADMINISTRATIVO GENERAL, aprobado por DECRETO SUPREMO Nº 004-2019-JUS y publicado el 25 de enero de 2019</w:t>
      </w:r>
    </w:p>
    <w:p w14:paraId="59E3E0AC" w14:textId="77777777" w:rsidR="008A56C2" w:rsidRPr="00624D24" w:rsidRDefault="003D4B16">
      <w:pPr>
        <w:pBdr>
          <w:top w:val="nil"/>
          <w:left w:val="nil"/>
          <w:bottom w:val="nil"/>
          <w:right w:val="nil"/>
          <w:between w:val="nil"/>
        </w:pBdr>
        <w:spacing w:after="0" w:line="240" w:lineRule="auto"/>
        <w:ind w:left="567"/>
        <w:jc w:val="both"/>
        <w:rPr>
          <w:rFonts w:ascii="Arial" w:eastAsia="Arial" w:hAnsi="Arial" w:cs="Arial"/>
          <w:b/>
          <w:sz w:val="16"/>
          <w:szCs w:val="16"/>
        </w:rPr>
      </w:pPr>
      <w:r w:rsidRPr="00624D24">
        <w:rPr>
          <w:rFonts w:ascii="Arial" w:eastAsia="Arial" w:hAnsi="Arial" w:cs="Arial"/>
          <w:b/>
          <w:sz w:val="16"/>
          <w:szCs w:val="16"/>
        </w:rPr>
        <w:t>Artículo 91.- Control de competencia</w:t>
      </w:r>
    </w:p>
    <w:p w14:paraId="162EFDDB" w14:textId="77777777" w:rsidR="008A56C2" w:rsidRPr="00624D24" w:rsidRDefault="003D4B16">
      <w:pPr>
        <w:pBdr>
          <w:top w:val="nil"/>
          <w:left w:val="nil"/>
          <w:bottom w:val="nil"/>
          <w:right w:val="nil"/>
          <w:between w:val="nil"/>
        </w:pBdr>
        <w:spacing w:after="0" w:line="240" w:lineRule="auto"/>
        <w:ind w:left="567"/>
        <w:jc w:val="both"/>
        <w:rPr>
          <w:rFonts w:ascii="Arial" w:eastAsia="Arial" w:hAnsi="Arial" w:cs="Arial"/>
          <w:sz w:val="16"/>
          <w:szCs w:val="16"/>
        </w:rPr>
      </w:pPr>
      <w:r w:rsidRPr="00624D24">
        <w:rPr>
          <w:rFonts w:ascii="Arial" w:eastAsia="Arial" w:hAnsi="Arial" w:cs="Arial"/>
          <w:sz w:val="16"/>
          <w:szCs w:val="16"/>
        </w:rPr>
        <w:t>Recibida la solicitud o la disposición de autoridad superior, según el caso, para iniciar un procedimiento, las autoridades de oficio deben asegurarse de su propia competencia para proseguir con el normal desarrollo del procedimiento, siguiendo los criterios aplicables al caso de la materia, el territorio, el tiempo, el grado o la cuantía.</w:t>
      </w:r>
    </w:p>
    <w:p w14:paraId="23CD6618" w14:textId="77777777" w:rsidR="008A56C2" w:rsidRPr="00624D24" w:rsidRDefault="008A56C2">
      <w:pPr>
        <w:pBdr>
          <w:top w:val="nil"/>
          <w:left w:val="nil"/>
          <w:bottom w:val="nil"/>
          <w:right w:val="nil"/>
          <w:between w:val="nil"/>
        </w:pBdr>
        <w:spacing w:after="0" w:line="240" w:lineRule="auto"/>
        <w:ind w:left="567"/>
        <w:jc w:val="both"/>
        <w:rPr>
          <w:rFonts w:ascii="Arial" w:eastAsia="Arial" w:hAnsi="Arial" w:cs="Arial"/>
          <w:sz w:val="16"/>
          <w:szCs w:val="16"/>
        </w:rPr>
      </w:pPr>
    </w:p>
  </w:footnote>
  <w:footnote w:id="7">
    <w:p w14:paraId="19D26EA7" w14:textId="77777777" w:rsidR="008A56C2" w:rsidRPr="00624D24" w:rsidRDefault="003D4B16">
      <w:pPr>
        <w:pBdr>
          <w:top w:val="nil"/>
          <w:left w:val="nil"/>
          <w:bottom w:val="nil"/>
          <w:right w:val="nil"/>
          <w:between w:val="nil"/>
        </w:pBdr>
        <w:spacing w:after="0" w:line="240" w:lineRule="auto"/>
        <w:ind w:left="567" w:hanging="567"/>
        <w:jc w:val="both"/>
        <w:rPr>
          <w:rFonts w:ascii="Arial" w:eastAsia="Arial" w:hAnsi="Arial" w:cs="Arial"/>
          <w:b/>
          <w:sz w:val="16"/>
          <w:szCs w:val="16"/>
        </w:rPr>
      </w:pPr>
      <w:r w:rsidRPr="00624D24">
        <w:rPr>
          <w:rFonts w:ascii="Arial" w:hAnsi="Arial" w:cs="Arial"/>
          <w:sz w:val="16"/>
          <w:szCs w:val="16"/>
          <w:vertAlign w:val="superscript"/>
        </w:rPr>
        <w:footnoteRef/>
      </w:r>
      <w:r w:rsidRPr="00624D24">
        <w:rPr>
          <w:rFonts w:ascii="Arial" w:eastAsia="Arial" w:hAnsi="Arial" w:cs="Arial"/>
          <w:sz w:val="16"/>
          <w:szCs w:val="16"/>
        </w:rPr>
        <w:t xml:space="preserve"> </w:t>
      </w:r>
      <w:r w:rsidRPr="00624D24">
        <w:rPr>
          <w:rFonts w:ascii="Arial" w:eastAsia="Arial" w:hAnsi="Arial" w:cs="Arial"/>
          <w:sz w:val="16"/>
          <w:szCs w:val="16"/>
        </w:rPr>
        <w:tab/>
      </w:r>
      <w:r w:rsidRPr="00624D24">
        <w:rPr>
          <w:rFonts w:ascii="Arial" w:eastAsia="Arial" w:hAnsi="Arial" w:cs="Arial"/>
          <w:b/>
          <w:sz w:val="16"/>
          <w:szCs w:val="16"/>
        </w:rPr>
        <w:t>TEXTO ÚNICO ORDENADO DE LA LEY Nº 27444, LEY DEL PROCEDIMIENTO ADMINISTRATIVO GENERAL, aprobado por DECRETO SUPREMO Nº 004-2019-JUS y publicado el 25 de enero de 2019</w:t>
      </w:r>
    </w:p>
    <w:p w14:paraId="38EBBE88" w14:textId="77777777" w:rsidR="008A56C2" w:rsidRPr="00624D24" w:rsidRDefault="003D4B16">
      <w:pPr>
        <w:pBdr>
          <w:top w:val="nil"/>
          <w:left w:val="nil"/>
          <w:bottom w:val="nil"/>
          <w:right w:val="nil"/>
          <w:between w:val="nil"/>
        </w:pBdr>
        <w:spacing w:after="0" w:line="240" w:lineRule="auto"/>
        <w:ind w:left="567"/>
        <w:jc w:val="both"/>
        <w:rPr>
          <w:rFonts w:ascii="Arial" w:eastAsia="Arial" w:hAnsi="Arial" w:cs="Arial"/>
          <w:b/>
          <w:sz w:val="16"/>
          <w:szCs w:val="16"/>
        </w:rPr>
      </w:pPr>
      <w:r w:rsidRPr="00624D24">
        <w:rPr>
          <w:rFonts w:ascii="Arial" w:eastAsia="Arial" w:hAnsi="Arial" w:cs="Arial"/>
          <w:b/>
          <w:sz w:val="16"/>
          <w:szCs w:val="16"/>
        </w:rPr>
        <w:t xml:space="preserve">Artículo 93.- Declinación de competencia </w:t>
      </w:r>
    </w:p>
    <w:p w14:paraId="46F93448" w14:textId="77777777" w:rsidR="008A56C2" w:rsidRPr="00624D24" w:rsidRDefault="003D4B16">
      <w:pPr>
        <w:pBdr>
          <w:top w:val="nil"/>
          <w:left w:val="nil"/>
          <w:bottom w:val="nil"/>
          <w:right w:val="nil"/>
          <w:between w:val="nil"/>
        </w:pBdr>
        <w:spacing w:after="0" w:line="240" w:lineRule="auto"/>
        <w:ind w:left="1134" w:hanging="567"/>
        <w:jc w:val="both"/>
        <w:rPr>
          <w:rFonts w:ascii="Arial" w:eastAsia="Arial" w:hAnsi="Arial" w:cs="Arial"/>
          <w:sz w:val="16"/>
          <w:szCs w:val="16"/>
        </w:rPr>
      </w:pPr>
      <w:r w:rsidRPr="00624D24">
        <w:rPr>
          <w:rFonts w:ascii="Arial" w:eastAsia="Arial" w:hAnsi="Arial" w:cs="Arial"/>
          <w:sz w:val="16"/>
          <w:szCs w:val="16"/>
        </w:rPr>
        <w:t xml:space="preserve">93.1 </w:t>
      </w:r>
      <w:r w:rsidRPr="00624D24">
        <w:rPr>
          <w:rFonts w:ascii="Arial" w:eastAsia="Arial" w:hAnsi="Arial" w:cs="Arial"/>
          <w:sz w:val="16"/>
          <w:szCs w:val="16"/>
        </w:rPr>
        <w:tab/>
        <w:t xml:space="preserve">El órgano administrativo que se estime incompetente para la tramitación o resolución de un asunto remite directamente las actuaciones al órgano que considere competente, con conocimiento del administrado. </w:t>
      </w:r>
    </w:p>
    <w:p w14:paraId="615795EE" w14:textId="77777777" w:rsidR="008A56C2" w:rsidRPr="00624D24" w:rsidRDefault="003D4B16">
      <w:pPr>
        <w:pBdr>
          <w:top w:val="nil"/>
          <w:left w:val="nil"/>
          <w:bottom w:val="nil"/>
          <w:right w:val="nil"/>
          <w:between w:val="nil"/>
        </w:pBdr>
        <w:spacing w:after="0" w:line="240" w:lineRule="auto"/>
        <w:ind w:left="1134" w:hanging="567"/>
        <w:jc w:val="both"/>
        <w:rPr>
          <w:rFonts w:ascii="Arial" w:eastAsia="Arial" w:hAnsi="Arial" w:cs="Arial"/>
          <w:sz w:val="16"/>
          <w:szCs w:val="16"/>
        </w:rPr>
      </w:pPr>
      <w:r w:rsidRPr="00624D24">
        <w:rPr>
          <w:rFonts w:ascii="Arial" w:eastAsia="Arial" w:hAnsi="Arial" w:cs="Arial"/>
          <w:sz w:val="16"/>
          <w:szCs w:val="16"/>
        </w:rPr>
        <w:t xml:space="preserve">93.2 </w:t>
      </w:r>
      <w:r w:rsidRPr="00624D24">
        <w:rPr>
          <w:rFonts w:ascii="Arial" w:eastAsia="Arial" w:hAnsi="Arial" w:cs="Arial"/>
          <w:sz w:val="16"/>
          <w:szCs w:val="16"/>
        </w:rPr>
        <w:tab/>
        <w:t>El órgano que declina su competencia, a solicitud de parte y hasta antes que otro asuma, puede adoptar las medidas cautelares necesarias para evitar daños graves o irreparables a la entidad o a los administrados, comunicándolo al órgano competente.</w:t>
      </w:r>
    </w:p>
    <w:p w14:paraId="781FBB40" w14:textId="77777777" w:rsidR="008A56C2" w:rsidRPr="00624D24" w:rsidRDefault="008A56C2">
      <w:pPr>
        <w:pBdr>
          <w:top w:val="nil"/>
          <w:left w:val="nil"/>
          <w:bottom w:val="nil"/>
          <w:right w:val="nil"/>
          <w:between w:val="nil"/>
        </w:pBdr>
        <w:spacing w:after="0" w:line="240" w:lineRule="auto"/>
        <w:ind w:left="567"/>
        <w:jc w:val="both"/>
        <w:rPr>
          <w:rFonts w:ascii="Arial" w:eastAsia="Arial" w:hAnsi="Arial" w:cs="Arial"/>
          <w:sz w:val="16"/>
          <w:szCs w:val="16"/>
        </w:rPr>
      </w:pPr>
    </w:p>
  </w:footnote>
  <w:footnote w:id="8">
    <w:p w14:paraId="745F86C0" w14:textId="77777777" w:rsidR="008A56C2" w:rsidRPr="00624D24" w:rsidRDefault="003D4B16">
      <w:pPr>
        <w:widowControl w:val="0"/>
        <w:tabs>
          <w:tab w:val="left" w:pos="567"/>
        </w:tabs>
        <w:spacing w:after="0" w:line="240" w:lineRule="auto"/>
        <w:ind w:left="567" w:hanging="567"/>
        <w:jc w:val="both"/>
        <w:rPr>
          <w:rFonts w:ascii="Arial" w:eastAsia="Arial" w:hAnsi="Arial" w:cs="Arial"/>
          <w:sz w:val="16"/>
          <w:szCs w:val="16"/>
        </w:rPr>
      </w:pPr>
      <w:r w:rsidRPr="00624D24">
        <w:rPr>
          <w:rFonts w:ascii="Arial" w:hAnsi="Arial" w:cs="Arial"/>
          <w:sz w:val="16"/>
          <w:szCs w:val="16"/>
          <w:vertAlign w:val="superscript"/>
        </w:rPr>
        <w:footnoteRef/>
      </w:r>
      <w:r w:rsidRPr="00624D24">
        <w:rPr>
          <w:rFonts w:ascii="Arial" w:eastAsia="Arial" w:hAnsi="Arial" w:cs="Arial"/>
          <w:sz w:val="16"/>
          <w:szCs w:val="16"/>
        </w:rPr>
        <w:t xml:space="preserve"> </w:t>
      </w:r>
      <w:r w:rsidRPr="00624D24">
        <w:rPr>
          <w:rFonts w:ascii="Arial" w:eastAsia="Arial" w:hAnsi="Arial" w:cs="Arial"/>
          <w:sz w:val="16"/>
          <w:szCs w:val="16"/>
        </w:rPr>
        <w:tab/>
      </w:r>
      <w:r w:rsidRPr="00624D24">
        <w:rPr>
          <w:rFonts w:ascii="Arial" w:eastAsia="Arial" w:hAnsi="Arial" w:cs="Arial"/>
          <w:b/>
          <w:sz w:val="16"/>
          <w:szCs w:val="16"/>
        </w:rPr>
        <w:t>LEY N° 29571, CÓDIGO DE PROTECCIÓN Y DEFENSA DEL CONSUMIDOR, publicada el 2 de setiembre de 2010 y modificada por el DECRETO LEGISLATIVO N° 1308, publicado el 30 de diciembre de 2016</w:t>
      </w:r>
    </w:p>
    <w:p w14:paraId="0FC16160" w14:textId="77777777" w:rsidR="008A56C2" w:rsidRPr="00624D24" w:rsidRDefault="003D4B16">
      <w:pPr>
        <w:widowControl w:val="0"/>
        <w:spacing w:after="0" w:line="240" w:lineRule="auto"/>
        <w:ind w:firstLine="567"/>
        <w:jc w:val="both"/>
        <w:rPr>
          <w:rFonts w:ascii="Arial" w:eastAsia="Arial" w:hAnsi="Arial" w:cs="Arial"/>
          <w:sz w:val="16"/>
          <w:szCs w:val="16"/>
        </w:rPr>
      </w:pPr>
      <w:r w:rsidRPr="00624D24">
        <w:rPr>
          <w:rFonts w:ascii="Arial" w:eastAsia="Arial" w:hAnsi="Arial" w:cs="Arial"/>
          <w:b/>
          <w:sz w:val="16"/>
          <w:szCs w:val="16"/>
        </w:rPr>
        <w:t>Artículo 105.- Autoridad competente</w:t>
      </w:r>
    </w:p>
    <w:p w14:paraId="08C14977" w14:textId="77777777" w:rsidR="008A56C2" w:rsidRPr="00624D24" w:rsidRDefault="003D4B16">
      <w:pPr>
        <w:widowControl w:val="0"/>
        <w:spacing w:after="0" w:line="240" w:lineRule="auto"/>
        <w:ind w:left="567"/>
        <w:jc w:val="both"/>
        <w:rPr>
          <w:rFonts w:ascii="Arial" w:eastAsia="Arial" w:hAnsi="Arial" w:cs="Arial"/>
          <w:sz w:val="16"/>
          <w:szCs w:val="16"/>
        </w:rPr>
      </w:pPr>
      <w:r w:rsidRPr="00624D24">
        <w:rPr>
          <w:rFonts w:ascii="Arial" w:eastAsia="Arial" w:hAnsi="Arial" w:cs="Arial"/>
          <w:sz w:val="16"/>
          <w:szCs w:val="16"/>
        </w:rPr>
        <w:t>El Instituto Nacional de Defensa de la Competencia y de la Protección de la Propiedad Intelectual (Indecopi) es la autoridad con competencia primaria y de alcance nacional para conocer las presuntas infracciones a las disposiciones contenidas en el presente capítulo, conforme al Decreto legislativo núm. 1033, Ley de Organización y Funciones del Indecopi. Dicha competencia solo puede ser negada cuando ella haya sido asignada o se asigne a favor de otro organismo por norma expresa con rango de ley.</w:t>
      </w:r>
    </w:p>
    <w:p w14:paraId="7A2C066F" w14:textId="77777777" w:rsidR="008A56C2" w:rsidRPr="00624D24" w:rsidRDefault="003D4B16">
      <w:pPr>
        <w:tabs>
          <w:tab w:val="left" w:pos="567"/>
        </w:tabs>
        <w:spacing w:after="0" w:line="240" w:lineRule="auto"/>
        <w:ind w:left="567"/>
        <w:jc w:val="both"/>
        <w:rPr>
          <w:rFonts w:ascii="Arial" w:eastAsia="Arial" w:hAnsi="Arial" w:cs="Arial"/>
          <w:sz w:val="16"/>
          <w:szCs w:val="16"/>
        </w:rPr>
      </w:pPr>
      <w:r w:rsidRPr="00624D24">
        <w:rPr>
          <w:rFonts w:ascii="Arial" w:eastAsia="Arial" w:hAnsi="Arial" w:cs="Arial"/>
          <w:sz w:val="16"/>
          <w:szCs w:val="16"/>
        </w:rPr>
        <w:t>(…)</w:t>
      </w:r>
    </w:p>
    <w:p w14:paraId="05FFD6F9" w14:textId="77777777" w:rsidR="008A56C2" w:rsidRPr="00624D24" w:rsidRDefault="008A56C2">
      <w:pPr>
        <w:pBdr>
          <w:top w:val="nil"/>
          <w:left w:val="nil"/>
          <w:bottom w:val="nil"/>
          <w:right w:val="nil"/>
          <w:between w:val="nil"/>
        </w:pBdr>
        <w:spacing w:after="0" w:line="240" w:lineRule="auto"/>
        <w:ind w:left="567" w:hanging="567"/>
        <w:jc w:val="both"/>
        <w:rPr>
          <w:rFonts w:ascii="Arial" w:eastAsia="Arial" w:hAnsi="Arial" w:cs="Arial"/>
          <w:sz w:val="16"/>
          <w:szCs w:val="16"/>
        </w:rPr>
      </w:pPr>
    </w:p>
  </w:footnote>
  <w:footnote w:id="9">
    <w:p w14:paraId="42E6D1AB" w14:textId="77777777" w:rsidR="008A56C2" w:rsidRPr="00624D24" w:rsidRDefault="003D4B16">
      <w:pPr>
        <w:tabs>
          <w:tab w:val="left" w:pos="567"/>
        </w:tabs>
        <w:spacing w:after="0" w:line="240" w:lineRule="auto"/>
        <w:ind w:left="567" w:right="100" w:hanging="567"/>
        <w:jc w:val="both"/>
        <w:rPr>
          <w:rFonts w:ascii="Arial" w:eastAsia="Arial" w:hAnsi="Arial" w:cs="Arial"/>
          <w:b/>
          <w:sz w:val="16"/>
          <w:szCs w:val="16"/>
        </w:rPr>
      </w:pPr>
      <w:r w:rsidRPr="00624D24">
        <w:rPr>
          <w:rFonts w:ascii="Arial" w:hAnsi="Arial" w:cs="Arial"/>
          <w:sz w:val="16"/>
          <w:szCs w:val="16"/>
          <w:vertAlign w:val="superscript"/>
        </w:rPr>
        <w:footnoteRef/>
      </w:r>
      <w:r w:rsidRPr="00624D24">
        <w:rPr>
          <w:rFonts w:ascii="Arial" w:eastAsia="Arial" w:hAnsi="Arial" w:cs="Arial"/>
          <w:sz w:val="16"/>
          <w:szCs w:val="16"/>
        </w:rPr>
        <w:t xml:space="preserve"> </w:t>
      </w:r>
      <w:r w:rsidRPr="00624D24">
        <w:rPr>
          <w:rFonts w:ascii="Arial" w:eastAsia="Arial" w:hAnsi="Arial" w:cs="Arial"/>
          <w:sz w:val="16"/>
          <w:szCs w:val="16"/>
        </w:rPr>
        <w:tab/>
      </w:r>
      <w:r w:rsidRPr="00624D24">
        <w:rPr>
          <w:rFonts w:ascii="Arial" w:eastAsia="Arial" w:hAnsi="Arial" w:cs="Arial"/>
          <w:b/>
          <w:sz w:val="16"/>
          <w:szCs w:val="16"/>
        </w:rPr>
        <w:t xml:space="preserve">LEY 29571. CÓDIGO DE PROTECCIÓN Y DEFENSA DEL CONSUMIDOR. </w:t>
      </w:r>
    </w:p>
    <w:p w14:paraId="2C066457" w14:textId="77777777" w:rsidR="008A56C2" w:rsidRPr="00624D24" w:rsidRDefault="003D4B16">
      <w:pPr>
        <w:tabs>
          <w:tab w:val="left" w:pos="567"/>
        </w:tabs>
        <w:spacing w:after="0" w:line="240" w:lineRule="auto"/>
        <w:ind w:left="567" w:right="100" w:hanging="567"/>
        <w:jc w:val="both"/>
        <w:rPr>
          <w:rFonts w:ascii="Arial" w:eastAsia="Arial" w:hAnsi="Arial" w:cs="Arial"/>
          <w:b/>
          <w:sz w:val="16"/>
          <w:szCs w:val="16"/>
        </w:rPr>
      </w:pPr>
      <w:r w:rsidRPr="00624D24">
        <w:rPr>
          <w:rFonts w:ascii="Arial" w:eastAsia="Arial" w:hAnsi="Arial" w:cs="Arial"/>
          <w:b/>
          <w:sz w:val="16"/>
          <w:szCs w:val="16"/>
        </w:rPr>
        <w:tab/>
        <w:t>Artículo 125°. - Competencia de los órganos resolutivos de procedimientos sumarísimos de protección al consumidor.</w:t>
      </w:r>
    </w:p>
    <w:p w14:paraId="0C442192" w14:textId="77777777" w:rsidR="008A56C2" w:rsidRPr="00624D24" w:rsidRDefault="003D4B16">
      <w:pPr>
        <w:widowControl w:val="0"/>
        <w:spacing w:after="0" w:line="240" w:lineRule="auto"/>
        <w:ind w:left="567" w:right="102"/>
        <w:jc w:val="both"/>
        <w:rPr>
          <w:rFonts w:ascii="Arial" w:eastAsia="Arial" w:hAnsi="Arial" w:cs="Arial"/>
          <w:sz w:val="16"/>
          <w:szCs w:val="16"/>
        </w:rPr>
      </w:pPr>
      <w:r w:rsidRPr="00624D24">
        <w:rPr>
          <w:rFonts w:ascii="Arial" w:eastAsia="Arial" w:hAnsi="Arial" w:cs="Arial"/>
          <w:sz w:val="16"/>
          <w:szCs w:val="16"/>
        </w:rPr>
        <w:t>Cada órgano resolutivo de procedimientos sumarísimos de protección al Consumidor es competente para conocer, en primera instancia administrativa, denuncias cuya cuantía, determinada por el valor del producto o servicio materia de controversia, no supere tres (3) Unidades Impositivas Tributarias (UIT); así como aquellas denuncias que versen exclusivamente sobre incumplimientos de acuerdos conciliatorios, falta de atención a reclamos y requerimientos de información, métodos abusivos de cobranza, demora y falta de entrega del producto, con independencia de su cuantía. Asimismo, es competente para conocer los procedimientos por incumplimiento de medida correctiva, incumplimiento de medida cautelar e incumplimiento y liquidación de pago de costas y costos. No puede conocer denuncias que involucren reclamos por productos o sustancias peligrosas, actos de discriminación o trato diferenciado, servicios médicos, actos que afecten intereses colectivos o difusos y los que versen sobre productos o servicios cuya estimación patrimonial supera tres (3) Unidades Impositivas Tributarias (UIT) o son inapreciables en dinero.</w:t>
      </w:r>
    </w:p>
    <w:p w14:paraId="2CC887DA" w14:textId="77777777" w:rsidR="008A56C2" w:rsidRPr="00624D24" w:rsidRDefault="008A56C2">
      <w:pPr>
        <w:widowControl w:val="0"/>
        <w:spacing w:after="0" w:line="240" w:lineRule="auto"/>
        <w:ind w:left="941" w:right="102"/>
        <w:jc w:val="both"/>
        <w:rPr>
          <w:rFonts w:ascii="Arial" w:eastAsia="Arial" w:hAnsi="Arial" w:cs="Arial"/>
          <w:sz w:val="16"/>
          <w:szCs w:val="16"/>
        </w:rPr>
      </w:pPr>
    </w:p>
    <w:p w14:paraId="2410774F" w14:textId="77777777" w:rsidR="008A56C2" w:rsidRPr="00624D24" w:rsidRDefault="003D4B16">
      <w:pPr>
        <w:widowControl w:val="0"/>
        <w:spacing w:after="0" w:line="240" w:lineRule="auto"/>
        <w:ind w:left="567" w:right="102"/>
        <w:jc w:val="both"/>
        <w:rPr>
          <w:rFonts w:ascii="Arial" w:eastAsia="Arial" w:hAnsi="Arial" w:cs="Arial"/>
          <w:sz w:val="16"/>
          <w:szCs w:val="16"/>
        </w:rPr>
      </w:pPr>
      <w:r w:rsidRPr="00624D24">
        <w:rPr>
          <w:rFonts w:ascii="Arial" w:eastAsia="Arial" w:hAnsi="Arial" w:cs="Arial"/>
          <w:sz w:val="16"/>
          <w:szCs w:val="16"/>
        </w:rPr>
        <w:t>La Comisión de Protección al Consumidor del Indecopi o la comisión con facultades desconcentradas en esta materia, según corresponda, constituye la segunda instancia administrativa en este procedimiento sumarísimo, que se tramita bajo las reglas establecidas por el presente subcapítulo y por la directiva que para tal efecto debe aprobar y publicar el Consejo Directivo del Indecopi.</w:t>
      </w:r>
    </w:p>
    <w:p w14:paraId="26BDE59F" w14:textId="77777777" w:rsidR="008A56C2" w:rsidRPr="00624D24" w:rsidRDefault="008A56C2">
      <w:pPr>
        <w:widowControl w:val="0"/>
        <w:spacing w:after="0" w:line="240" w:lineRule="auto"/>
        <w:jc w:val="both"/>
        <w:rPr>
          <w:rFonts w:ascii="Arial" w:eastAsia="Arial" w:hAnsi="Arial" w:cs="Arial"/>
          <w:sz w:val="16"/>
          <w:szCs w:val="16"/>
        </w:rPr>
      </w:pPr>
    </w:p>
    <w:p w14:paraId="5E1EC905" w14:textId="77777777" w:rsidR="008A56C2" w:rsidRPr="00624D24" w:rsidRDefault="003D4B16">
      <w:pPr>
        <w:widowControl w:val="0"/>
        <w:spacing w:after="0" w:line="240" w:lineRule="auto"/>
        <w:ind w:left="567" w:right="102"/>
        <w:jc w:val="both"/>
        <w:rPr>
          <w:rFonts w:ascii="Arial" w:eastAsia="Arial" w:hAnsi="Arial" w:cs="Arial"/>
          <w:sz w:val="16"/>
          <w:szCs w:val="16"/>
        </w:rPr>
      </w:pPr>
      <w:r w:rsidRPr="00624D24">
        <w:rPr>
          <w:rFonts w:ascii="Arial" w:eastAsia="Arial" w:hAnsi="Arial" w:cs="Arial"/>
          <w:sz w:val="16"/>
          <w:szCs w:val="16"/>
        </w:rPr>
        <w:t>La resolución que emita la correspondiente Comisión agota la vía administrativa y puede ser cuestionada mediante el proceso contencioso administrativo.</w:t>
      </w:r>
    </w:p>
    <w:p w14:paraId="5E12B0DD" w14:textId="77777777" w:rsidR="008A56C2" w:rsidRPr="00624D24" w:rsidRDefault="008A56C2">
      <w:pPr>
        <w:widowControl w:val="0"/>
        <w:spacing w:after="0" w:line="240" w:lineRule="auto"/>
        <w:ind w:left="567" w:right="102"/>
        <w:jc w:val="both"/>
        <w:rPr>
          <w:rFonts w:ascii="Arial" w:eastAsia="Arial" w:hAnsi="Arial" w:cs="Arial"/>
          <w:sz w:val="16"/>
          <w:szCs w:val="16"/>
        </w:rPr>
      </w:pPr>
    </w:p>
  </w:footnote>
  <w:footnote w:id="10">
    <w:p w14:paraId="0E17E548" w14:textId="77777777" w:rsidR="008A56C2" w:rsidRPr="00624D24" w:rsidRDefault="003D4B16">
      <w:pPr>
        <w:spacing w:after="0" w:line="240" w:lineRule="auto"/>
        <w:ind w:left="564" w:hanging="564"/>
        <w:jc w:val="both"/>
        <w:rPr>
          <w:rFonts w:ascii="Arial" w:eastAsia="Arial" w:hAnsi="Arial" w:cs="Arial"/>
          <w:sz w:val="16"/>
          <w:szCs w:val="16"/>
        </w:rPr>
      </w:pPr>
      <w:r w:rsidRPr="00624D24">
        <w:rPr>
          <w:rFonts w:ascii="Arial" w:hAnsi="Arial" w:cs="Arial"/>
          <w:sz w:val="16"/>
          <w:szCs w:val="16"/>
          <w:vertAlign w:val="superscript"/>
        </w:rPr>
        <w:footnoteRef/>
      </w:r>
      <w:r w:rsidRPr="00624D24">
        <w:rPr>
          <w:rFonts w:ascii="Arial" w:eastAsia="Arial" w:hAnsi="Arial" w:cs="Arial"/>
          <w:sz w:val="16"/>
          <w:szCs w:val="16"/>
        </w:rPr>
        <w:t xml:space="preserve"> </w:t>
      </w:r>
      <w:r w:rsidRPr="00624D24">
        <w:rPr>
          <w:rFonts w:ascii="Arial" w:eastAsia="Arial" w:hAnsi="Arial" w:cs="Arial"/>
          <w:sz w:val="16"/>
          <w:szCs w:val="16"/>
        </w:rPr>
        <w:tab/>
      </w:r>
      <w:r w:rsidRPr="00624D24">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N° 1158, aprobado por DECRETO SUPREMO N° 026-2015-SA y publicado el 13 de agosto de 2015</w:t>
      </w:r>
    </w:p>
    <w:p w14:paraId="45C3AA36" w14:textId="77777777" w:rsidR="008A56C2" w:rsidRPr="00624D24" w:rsidRDefault="003D4B16">
      <w:pPr>
        <w:spacing w:after="0" w:line="240" w:lineRule="auto"/>
        <w:ind w:left="564"/>
        <w:jc w:val="both"/>
        <w:rPr>
          <w:rFonts w:ascii="Arial" w:eastAsia="Arial" w:hAnsi="Arial" w:cs="Arial"/>
          <w:sz w:val="16"/>
          <w:szCs w:val="16"/>
        </w:rPr>
      </w:pPr>
      <w:r w:rsidRPr="00624D24">
        <w:rPr>
          <w:rFonts w:ascii="Arial" w:eastAsia="Arial" w:hAnsi="Arial" w:cs="Arial"/>
          <w:b/>
          <w:sz w:val="16"/>
          <w:szCs w:val="16"/>
        </w:rPr>
        <w:t>Artículo 9.- Procedimientos asumidos por SUSALUD</w:t>
      </w:r>
    </w:p>
    <w:p w14:paraId="7E65B626" w14:textId="77777777" w:rsidR="008A56C2" w:rsidRPr="00624D24" w:rsidRDefault="003D4B16">
      <w:pPr>
        <w:spacing w:after="0" w:line="240" w:lineRule="auto"/>
        <w:ind w:left="564"/>
        <w:jc w:val="both"/>
        <w:rPr>
          <w:rFonts w:ascii="Arial" w:eastAsia="Arial" w:hAnsi="Arial" w:cs="Arial"/>
          <w:sz w:val="16"/>
          <w:szCs w:val="16"/>
        </w:rPr>
      </w:pPr>
      <w:r w:rsidRPr="00624D24">
        <w:rPr>
          <w:rFonts w:ascii="Arial" w:eastAsia="Arial" w:hAnsi="Arial" w:cs="Arial"/>
          <w:sz w:val="16"/>
          <w:szCs w:val="16"/>
        </w:rPr>
        <w:t>SUSALUD asume competencia sobre todos aquellos actos u omisiones ocurridos a partir de la vigencia de la presente norma, que constituyan presuntas infracciones a las disposiciones relativas a la protección de los derechos de los usuarios en su relación de consumo con las instituciones bajo su ámbito de competencia, así como aquellas previas o derivadas de ésta.</w:t>
      </w:r>
    </w:p>
    <w:p w14:paraId="1F09DC86" w14:textId="77777777" w:rsidR="008A56C2" w:rsidRPr="00624D24" w:rsidRDefault="003D4B16">
      <w:pPr>
        <w:spacing w:after="0" w:line="240" w:lineRule="auto"/>
        <w:ind w:left="564"/>
        <w:jc w:val="both"/>
        <w:rPr>
          <w:rFonts w:ascii="Arial" w:eastAsia="Arial" w:hAnsi="Arial" w:cs="Arial"/>
          <w:sz w:val="16"/>
          <w:szCs w:val="16"/>
        </w:rPr>
      </w:pPr>
      <w:r w:rsidRPr="00624D24">
        <w:rPr>
          <w:rFonts w:ascii="Arial" w:eastAsia="Arial" w:hAnsi="Arial" w:cs="Arial"/>
          <w:sz w:val="16"/>
          <w:szCs w:val="16"/>
        </w:rPr>
        <w:t>INDECOPI mantiene competencia sobre todos aquellos actos u omisiones ocurridos antes de la vigencia de la presente norma, en las materias señaladas en el párrafo precedente, hasta su conclusión en la vía administrativa, arbitral y/o sede judicial.</w:t>
      </w:r>
    </w:p>
    <w:p w14:paraId="585DB8F3" w14:textId="77777777" w:rsidR="008A56C2" w:rsidRPr="00624D24" w:rsidRDefault="008A56C2">
      <w:pPr>
        <w:spacing w:after="0" w:line="240" w:lineRule="auto"/>
        <w:ind w:left="1134" w:hanging="1134"/>
        <w:jc w:val="both"/>
        <w:rPr>
          <w:rFonts w:ascii="Arial" w:eastAsia="Arial" w:hAnsi="Arial" w:cs="Arial"/>
          <w:sz w:val="16"/>
          <w:szCs w:val="16"/>
        </w:rPr>
      </w:pPr>
    </w:p>
  </w:footnote>
  <w:footnote w:id="11">
    <w:p w14:paraId="1E8D2BEE" w14:textId="77777777" w:rsidR="008A56C2" w:rsidRPr="00624D24" w:rsidRDefault="003D4B16">
      <w:pPr>
        <w:pBdr>
          <w:top w:val="nil"/>
          <w:left w:val="nil"/>
          <w:bottom w:val="nil"/>
          <w:right w:val="nil"/>
          <w:between w:val="nil"/>
        </w:pBdr>
        <w:spacing w:after="0" w:line="240" w:lineRule="auto"/>
        <w:ind w:left="567" w:hanging="567"/>
        <w:jc w:val="both"/>
        <w:rPr>
          <w:rFonts w:ascii="Arial" w:eastAsia="Arial" w:hAnsi="Arial" w:cs="Arial"/>
          <w:b/>
          <w:sz w:val="16"/>
          <w:szCs w:val="16"/>
        </w:rPr>
      </w:pPr>
      <w:r w:rsidRPr="00624D24">
        <w:rPr>
          <w:rFonts w:ascii="Arial" w:hAnsi="Arial" w:cs="Arial"/>
          <w:sz w:val="16"/>
          <w:szCs w:val="16"/>
          <w:vertAlign w:val="superscript"/>
        </w:rPr>
        <w:footnoteRef/>
      </w:r>
      <w:r w:rsidRPr="00624D24">
        <w:rPr>
          <w:rFonts w:ascii="Arial" w:eastAsia="Arial" w:hAnsi="Arial" w:cs="Arial"/>
          <w:sz w:val="16"/>
          <w:szCs w:val="16"/>
        </w:rPr>
        <w:t xml:space="preserve"> </w:t>
      </w:r>
      <w:r w:rsidRPr="00624D24">
        <w:rPr>
          <w:rFonts w:ascii="Arial" w:eastAsia="Arial" w:hAnsi="Arial" w:cs="Arial"/>
          <w:sz w:val="16"/>
          <w:szCs w:val="16"/>
        </w:rPr>
        <w:tab/>
      </w:r>
      <w:r w:rsidRPr="00624D24">
        <w:rPr>
          <w:rFonts w:ascii="Arial" w:eastAsia="Arial" w:hAnsi="Arial" w:cs="Arial"/>
          <w:b/>
          <w:sz w:val="16"/>
          <w:szCs w:val="16"/>
        </w:rPr>
        <w:t>DIRECTIVA N° 001-2021/DIR-COD-INDECOPI, DIRECTIVA ÚNICA QUE REGULA LOS PROCEDIMIENTOS DE PROTECCIÓN AL CONSUMIDOR PREVISTOS EN EL CÓDIGO DE PROTECCIÓN Y DEFENSA DEL CONSUMIDOR, aprobada por RESOLUCIÓN 049-2021-PRE/INDECOPI, publicada el 30 de abril de 2021</w:t>
      </w:r>
    </w:p>
    <w:p w14:paraId="28DB0149" w14:textId="77777777" w:rsidR="008A56C2" w:rsidRPr="00624D24" w:rsidRDefault="003D4B16">
      <w:pPr>
        <w:pBdr>
          <w:top w:val="nil"/>
          <w:left w:val="nil"/>
          <w:bottom w:val="nil"/>
          <w:right w:val="nil"/>
          <w:between w:val="nil"/>
        </w:pBdr>
        <w:spacing w:after="0" w:line="240" w:lineRule="auto"/>
        <w:ind w:left="567"/>
        <w:jc w:val="both"/>
        <w:rPr>
          <w:rFonts w:ascii="Arial" w:eastAsia="Arial" w:hAnsi="Arial" w:cs="Arial"/>
          <w:sz w:val="16"/>
          <w:szCs w:val="16"/>
        </w:rPr>
      </w:pPr>
      <w:r w:rsidRPr="00624D24">
        <w:rPr>
          <w:rFonts w:ascii="Arial" w:eastAsia="Arial" w:hAnsi="Arial" w:cs="Arial"/>
          <w:sz w:val="16"/>
          <w:szCs w:val="16"/>
        </w:rPr>
        <w:t>Artículo 6.- Determinación de la cuantía Para la determinación de la cuantía por la cual se tramita una denuncia de parte, se toman en cuenta los siguientes criterios:</w:t>
      </w:r>
    </w:p>
    <w:p w14:paraId="74CD0D5B" w14:textId="77777777" w:rsidR="008A56C2" w:rsidRPr="00624D24" w:rsidRDefault="003D4B16">
      <w:pPr>
        <w:pBdr>
          <w:top w:val="nil"/>
          <w:left w:val="nil"/>
          <w:bottom w:val="nil"/>
          <w:right w:val="nil"/>
          <w:between w:val="nil"/>
        </w:pBdr>
        <w:spacing w:after="0" w:line="240" w:lineRule="auto"/>
        <w:ind w:left="567"/>
        <w:jc w:val="both"/>
        <w:rPr>
          <w:rFonts w:ascii="Arial" w:eastAsia="Arial" w:hAnsi="Arial" w:cs="Arial"/>
          <w:sz w:val="16"/>
          <w:szCs w:val="16"/>
        </w:rPr>
      </w:pPr>
      <w:r w:rsidRPr="00624D24">
        <w:rPr>
          <w:rFonts w:ascii="Arial" w:eastAsia="Arial" w:hAnsi="Arial" w:cs="Arial"/>
          <w:sz w:val="16"/>
          <w:szCs w:val="16"/>
        </w:rPr>
        <w:t>6.1. La cuantía está determinada por el valor del producto o servicio materia de controversia según lo contratado u ofertado, teniendo en cuenta el valor de la Unidad Impositiva Tributaria vigente a la fecha de presentación de la denuncia.</w:t>
      </w:r>
    </w:p>
    <w:p w14:paraId="798652F7" w14:textId="77777777" w:rsidR="008A56C2" w:rsidRPr="00624D24" w:rsidRDefault="003D4B16">
      <w:pPr>
        <w:pBdr>
          <w:top w:val="nil"/>
          <w:left w:val="nil"/>
          <w:bottom w:val="nil"/>
          <w:right w:val="nil"/>
          <w:between w:val="nil"/>
        </w:pBdr>
        <w:spacing w:after="0" w:line="240" w:lineRule="auto"/>
        <w:ind w:left="567"/>
        <w:jc w:val="both"/>
        <w:rPr>
          <w:rFonts w:ascii="Arial" w:eastAsia="Arial" w:hAnsi="Arial" w:cs="Arial"/>
          <w:sz w:val="16"/>
          <w:szCs w:val="16"/>
        </w:rPr>
      </w:pPr>
      <w:r w:rsidRPr="00624D24">
        <w:rPr>
          <w:rFonts w:ascii="Arial" w:eastAsia="Arial" w:hAnsi="Arial" w:cs="Arial"/>
          <w:sz w:val="16"/>
          <w:szCs w:val="16"/>
        </w:rPr>
        <w:t>(…)</w:t>
      </w:r>
    </w:p>
    <w:p w14:paraId="3129D820" w14:textId="77777777" w:rsidR="008A56C2" w:rsidRPr="00624D24" w:rsidRDefault="008A56C2">
      <w:pPr>
        <w:pBdr>
          <w:top w:val="nil"/>
          <w:left w:val="nil"/>
          <w:bottom w:val="nil"/>
          <w:right w:val="nil"/>
          <w:between w:val="nil"/>
        </w:pBdr>
        <w:spacing w:after="0" w:line="240" w:lineRule="auto"/>
        <w:jc w:val="both"/>
        <w:rPr>
          <w:rFonts w:ascii="Arial" w:eastAsia="Arial" w:hAnsi="Arial" w:cs="Arial"/>
          <w:sz w:val="16"/>
          <w:szCs w:val="16"/>
        </w:rPr>
      </w:pPr>
    </w:p>
  </w:footnote>
  <w:footnote w:id="12">
    <w:p w14:paraId="47B87366" w14:textId="77777777" w:rsidR="002B6DA2" w:rsidRPr="002A414E" w:rsidRDefault="002B6DA2" w:rsidP="002B6DA2">
      <w:pPr>
        <w:pStyle w:val="Textonotapie"/>
        <w:ind w:left="567" w:hanging="567"/>
        <w:jc w:val="both"/>
        <w:rPr>
          <w:rFonts w:cs="Arial"/>
          <w:sz w:val="16"/>
          <w:szCs w:val="16"/>
        </w:rPr>
      </w:pPr>
      <w:r w:rsidRPr="002A414E">
        <w:rPr>
          <w:rStyle w:val="Refdenotaalpie"/>
          <w:rFonts w:cs="Arial"/>
          <w:sz w:val="16"/>
          <w:szCs w:val="16"/>
        </w:rPr>
        <w:footnoteRef/>
      </w:r>
      <w:r w:rsidRPr="002A414E">
        <w:rPr>
          <w:rFonts w:cs="Arial"/>
          <w:sz w:val="16"/>
          <w:szCs w:val="16"/>
        </w:rPr>
        <w:t xml:space="preserve">  </w:t>
      </w:r>
      <w:r w:rsidRPr="002A414E">
        <w:rPr>
          <w:rFonts w:cs="Arial"/>
          <w:sz w:val="16"/>
          <w:szCs w:val="16"/>
          <w:vertAlign w:val="superscript"/>
        </w:rPr>
        <w:t xml:space="preserve">    </w:t>
      </w:r>
      <w:r w:rsidRPr="002A414E">
        <w:rPr>
          <w:rFonts w:cs="Arial"/>
          <w:sz w:val="16"/>
          <w:szCs w:val="16"/>
        </w:rPr>
        <w:t xml:space="preserve">      </w:t>
      </w:r>
      <w:r w:rsidRPr="002A414E">
        <w:rPr>
          <w:rFonts w:cs="Arial"/>
          <w:sz w:val="16"/>
          <w:szCs w:val="16"/>
          <w:vertAlign w:val="superscript"/>
        </w:rPr>
        <w:t xml:space="preserve"> </w:t>
      </w:r>
      <w:r w:rsidRPr="002A414E">
        <w:rPr>
          <w:rFonts w:cs="Arial"/>
          <w:sz w:val="16"/>
          <w:szCs w:val="16"/>
        </w:rPr>
        <w:t xml:space="preserve">Veiga Copo, Abel B. (2011). </w:t>
      </w:r>
      <w:r w:rsidRPr="002A414E">
        <w:rPr>
          <w:rFonts w:cs="Arial"/>
          <w:i/>
          <w:iCs/>
          <w:sz w:val="16"/>
          <w:szCs w:val="16"/>
        </w:rPr>
        <w:t>La dimensión temporal en el contrato de seguro</w:t>
      </w:r>
      <w:r w:rsidRPr="002A414E">
        <w:rPr>
          <w:rFonts w:cs="Arial"/>
          <w:sz w:val="16"/>
          <w:szCs w:val="16"/>
        </w:rPr>
        <w:t xml:space="preserve">. Aranzadi, pg. 200. En la misma línea, revisar Nuñez del Prado Simons, Alonso (2020). </w:t>
      </w:r>
      <w:r w:rsidRPr="002A414E">
        <w:rPr>
          <w:rFonts w:cs="Arial"/>
          <w:i/>
          <w:iCs/>
          <w:sz w:val="16"/>
          <w:szCs w:val="16"/>
        </w:rPr>
        <w:t>Derecho de seguros y reaseguro</w:t>
      </w:r>
      <w:r w:rsidRPr="002A414E">
        <w:rPr>
          <w:rFonts w:cs="Arial"/>
          <w:sz w:val="16"/>
          <w:szCs w:val="16"/>
        </w:rPr>
        <w:t>. Fondo Editorial PUCP, pg. 437.</w:t>
      </w:r>
    </w:p>
    <w:p w14:paraId="0A2FE9BF" w14:textId="77777777" w:rsidR="002B6DA2" w:rsidRPr="002A414E" w:rsidRDefault="002B6DA2" w:rsidP="002B6DA2">
      <w:pPr>
        <w:pStyle w:val="Textonotapie"/>
        <w:jc w:val="both"/>
        <w:rPr>
          <w:rFonts w:cs="Arial"/>
          <w:sz w:val="16"/>
          <w:szCs w:val="16"/>
        </w:rPr>
      </w:pPr>
    </w:p>
  </w:footnote>
  <w:footnote w:id="13">
    <w:p w14:paraId="6B27081F" w14:textId="77777777" w:rsidR="002B6DA2" w:rsidRPr="002A414E" w:rsidRDefault="002B6DA2" w:rsidP="002B6DA2">
      <w:pPr>
        <w:pStyle w:val="Prrafodelista"/>
        <w:widowControl w:val="0"/>
        <w:spacing w:after="0" w:line="240" w:lineRule="auto"/>
        <w:ind w:left="567" w:right="7" w:hanging="567"/>
        <w:jc w:val="both"/>
        <w:rPr>
          <w:rFonts w:cs="Arial"/>
          <w:b/>
          <w:bCs/>
          <w:sz w:val="16"/>
          <w:szCs w:val="16"/>
        </w:rPr>
      </w:pPr>
      <w:r w:rsidRPr="002A414E">
        <w:rPr>
          <w:rStyle w:val="Refdenotaalpie"/>
          <w:rFonts w:cs="Arial"/>
          <w:sz w:val="16"/>
          <w:szCs w:val="16"/>
        </w:rPr>
        <w:footnoteRef/>
      </w:r>
      <w:r w:rsidRPr="002A414E">
        <w:rPr>
          <w:rFonts w:cs="Arial"/>
          <w:sz w:val="16"/>
          <w:szCs w:val="16"/>
        </w:rPr>
        <w:t xml:space="preserve">    </w:t>
      </w:r>
      <w:r w:rsidRPr="002A414E">
        <w:rPr>
          <w:rFonts w:cs="Arial"/>
          <w:b/>
          <w:bCs/>
          <w:sz w:val="16"/>
          <w:szCs w:val="16"/>
        </w:rPr>
        <w:t>TEXTO ÚNICO ORDENADO DEL REGLAMENTO NACIONAL DE RESPONSABILIDAD CIVIL Y SEGUROS OBLIGATORIOS POR ACCIDENTES DE TRÁNSITO, aprobado por DECRETO SUPREMO  024-2002-MTC y publicado el 14 de junio de 2002</w:t>
      </w:r>
    </w:p>
    <w:p w14:paraId="536F6EE4" w14:textId="77777777" w:rsidR="002B6DA2" w:rsidRPr="00465D77" w:rsidRDefault="002B6DA2" w:rsidP="002B6DA2">
      <w:pPr>
        <w:pStyle w:val="Textonotapie"/>
        <w:ind w:left="567"/>
        <w:jc w:val="both"/>
        <w:rPr>
          <w:rFonts w:cs="Arial"/>
          <w:b/>
          <w:bCs/>
          <w:sz w:val="16"/>
          <w:szCs w:val="16"/>
        </w:rPr>
      </w:pPr>
      <w:r w:rsidRPr="00465D77">
        <w:rPr>
          <w:rFonts w:cs="Arial"/>
          <w:b/>
          <w:bCs/>
          <w:sz w:val="16"/>
          <w:szCs w:val="16"/>
        </w:rPr>
        <w:t xml:space="preserve">Artículo 5. - Para los fines del presente Reglamento se entenderá por: </w:t>
      </w:r>
    </w:p>
    <w:p w14:paraId="74FE14BD" w14:textId="77777777" w:rsidR="002B6DA2" w:rsidRPr="002A414E" w:rsidRDefault="002B6DA2" w:rsidP="002B6DA2">
      <w:pPr>
        <w:pStyle w:val="Textonotapie"/>
        <w:ind w:left="567"/>
        <w:jc w:val="both"/>
        <w:rPr>
          <w:rFonts w:cs="Arial"/>
          <w:sz w:val="16"/>
          <w:szCs w:val="16"/>
        </w:rPr>
      </w:pPr>
      <w:r w:rsidRPr="00465D77">
        <w:rPr>
          <w:rFonts w:cs="Arial"/>
          <w:sz w:val="16"/>
          <w:szCs w:val="16"/>
        </w:rPr>
        <w:t>Accidente de Tránsito. - Evento súbito, imprevisto y violento (incluyendo incendio y acto terrorista) en el que participa un vehículo automotor en marcha o en reposo (detenido o estacionado) en la vía de uso público, causando daño a personas, sean ocupantes o terceros no ocupantes de vehículo automotor, que pueda ser determinado de una manera cierta.</w:t>
      </w:r>
    </w:p>
  </w:footnote>
  <w:footnote w:id="14">
    <w:p w14:paraId="2D5509FC" w14:textId="77777777" w:rsidR="008A56C2" w:rsidRPr="00624D24" w:rsidRDefault="003D4B16">
      <w:pPr>
        <w:pBdr>
          <w:top w:val="nil"/>
          <w:left w:val="nil"/>
          <w:bottom w:val="nil"/>
          <w:right w:val="nil"/>
          <w:between w:val="nil"/>
        </w:pBdr>
        <w:spacing w:after="0" w:line="240" w:lineRule="auto"/>
        <w:ind w:left="567" w:hanging="567"/>
        <w:jc w:val="both"/>
        <w:rPr>
          <w:rFonts w:ascii="Arial" w:eastAsia="Arial" w:hAnsi="Arial" w:cs="Arial"/>
          <w:b/>
          <w:sz w:val="16"/>
          <w:szCs w:val="16"/>
        </w:rPr>
      </w:pPr>
      <w:r w:rsidRPr="00624D24">
        <w:rPr>
          <w:rFonts w:ascii="Arial" w:hAnsi="Arial" w:cs="Arial"/>
          <w:sz w:val="16"/>
          <w:szCs w:val="16"/>
          <w:vertAlign w:val="superscript"/>
        </w:rPr>
        <w:footnoteRef/>
      </w:r>
      <w:r w:rsidRPr="00624D24">
        <w:rPr>
          <w:rFonts w:ascii="Arial" w:eastAsia="Arial" w:hAnsi="Arial" w:cs="Arial"/>
          <w:b/>
          <w:sz w:val="16"/>
          <w:szCs w:val="16"/>
        </w:rPr>
        <w:t xml:space="preserve"> </w:t>
      </w:r>
      <w:r w:rsidRPr="00624D24">
        <w:rPr>
          <w:rFonts w:ascii="Arial" w:eastAsia="Arial" w:hAnsi="Arial" w:cs="Arial"/>
          <w:b/>
          <w:sz w:val="16"/>
          <w:szCs w:val="16"/>
        </w:rPr>
        <w:tab/>
        <w:t>TEXTO ÚNICO ORDENADO DE LA LEY Nº 27444, LEY DEL PROCEDIMIENTO ADMINISTRATIVO GENERAL, aprobado por DECRETO SUPREMO Nº 004-2019-JUS y publicado el 25 de enero de 2019</w:t>
      </w:r>
    </w:p>
    <w:p w14:paraId="326CD187" w14:textId="77777777" w:rsidR="008A56C2" w:rsidRPr="00624D24" w:rsidRDefault="003D4B16">
      <w:pPr>
        <w:pBdr>
          <w:top w:val="nil"/>
          <w:left w:val="nil"/>
          <w:bottom w:val="nil"/>
          <w:right w:val="nil"/>
          <w:between w:val="nil"/>
        </w:pBdr>
        <w:spacing w:after="0" w:line="240" w:lineRule="auto"/>
        <w:ind w:left="567"/>
        <w:jc w:val="both"/>
        <w:rPr>
          <w:rFonts w:ascii="Arial" w:eastAsia="Arial" w:hAnsi="Arial" w:cs="Arial"/>
          <w:b/>
          <w:sz w:val="16"/>
          <w:szCs w:val="16"/>
        </w:rPr>
      </w:pPr>
      <w:r w:rsidRPr="00624D24">
        <w:rPr>
          <w:rFonts w:ascii="Arial" w:eastAsia="Arial" w:hAnsi="Arial" w:cs="Arial"/>
          <w:b/>
          <w:sz w:val="16"/>
          <w:szCs w:val="16"/>
        </w:rPr>
        <w:t xml:space="preserve">Artículo 94.- Conflicto negativo de competencia </w:t>
      </w:r>
    </w:p>
    <w:p w14:paraId="13AEFEBD" w14:textId="77777777" w:rsidR="008A56C2" w:rsidRPr="00624D24" w:rsidRDefault="003D4B16">
      <w:pPr>
        <w:pBdr>
          <w:top w:val="nil"/>
          <w:left w:val="nil"/>
          <w:bottom w:val="nil"/>
          <w:right w:val="nil"/>
          <w:between w:val="nil"/>
        </w:pBdr>
        <w:spacing w:after="0" w:line="240" w:lineRule="auto"/>
        <w:ind w:left="567"/>
        <w:jc w:val="both"/>
        <w:rPr>
          <w:rFonts w:ascii="Arial" w:eastAsia="Arial" w:hAnsi="Arial" w:cs="Arial"/>
          <w:sz w:val="16"/>
          <w:szCs w:val="16"/>
        </w:rPr>
      </w:pPr>
      <w:r w:rsidRPr="00624D24">
        <w:rPr>
          <w:rFonts w:ascii="Arial" w:eastAsia="Arial" w:hAnsi="Arial" w:cs="Arial"/>
          <w:sz w:val="16"/>
          <w:szCs w:val="16"/>
        </w:rPr>
        <w:t>En caso de suscitarse conflicto negativo de competencia, el expediente es elevado al órgano inmediato superior para que resuelva el conflicto.</w:t>
      </w:r>
    </w:p>
    <w:p w14:paraId="3B6F5235" w14:textId="77777777" w:rsidR="008A56C2" w:rsidRPr="00624D24" w:rsidRDefault="008A56C2">
      <w:pPr>
        <w:pBdr>
          <w:top w:val="nil"/>
          <w:left w:val="nil"/>
          <w:bottom w:val="nil"/>
          <w:right w:val="nil"/>
          <w:between w:val="nil"/>
        </w:pBdr>
        <w:spacing w:after="0" w:line="240" w:lineRule="auto"/>
        <w:ind w:left="567"/>
        <w:jc w:val="both"/>
        <w:rPr>
          <w:rFonts w:ascii="Arial" w:eastAsia="Arial" w:hAnsi="Arial" w:cs="Arial"/>
          <w:sz w:val="16"/>
          <w:szCs w:val="16"/>
        </w:rPr>
      </w:pPr>
    </w:p>
  </w:footnote>
  <w:footnote w:id="15">
    <w:p w14:paraId="38B181E9" w14:textId="77777777" w:rsidR="008A56C2" w:rsidRPr="00624D24" w:rsidRDefault="003D4B16">
      <w:pPr>
        <w:pBdr>
          <w:top w:val="nil"/>
          <w:left w:val="nil"/>
          <w:bottom w:val="nil"/>
          <w:right w:val="nil"/>
          <w:between w:val="nil"/>
        </w:pBdr>
        <w:spacing w:after="0" w:line="240" w:lineRule="auto"/>
        <w:ind w:left="567" w:hanging="567"/>
        <w:jc w:val="both"/>
        <w:rPr>
          <w:rFonts w:ascii="Arial" w:eastAsia="Arial" w:hAnsi="Arial" w:cs="Arial"/>
          <w:sz w:val="16"/>
          <w:szCs w:val="16"/>
        </w:rPr>
      </w:pPr>
      <w:r w:rsidRPr="00624D24">
        <w:rPr>
          <w:rFonts w:ascii="Arial" w:hAnsi="Arial" w:cs="Arial"/>
          <w:sz w:val="16"/>
          <w:szCs w:val="16"/>
          <w:vertAlign w:val="superscript"/>
        </w:rPr>
        <w:footnoteRef/>
      </w:r>
      <w:r w:rsidRPr="00624D24">
        <w:rPr>
          <w:rFonts w:ascii="Arial" w:eastAsia="Arial" w:hAnsi="Arial" w:cs="Arial"/>
          <w:sz w:val="16"/>
          <w:szCs w:val="16"/>
        </w:rPr>
        <w:t xml:space="preserve"> </w:t>
      </w:r>
      <w:r w:rsidRPr="00624D24">
        <w:rPr>
          <w:rFonts w:ascii="Arial" w:eastAsia="Arial" w:hAnsi="Arial" w:cs="Arial"/>
          <w:sz w:val="16"/>
          <w:szCs w:val="16"/>
        </w:rPr>
        <w:tab/>
      </w:r>
      <w:r w:rsidRPr="00624D24">
        <w:rPr>
          <w:rFonts w:ascii="Arial" w:eastAsia="Arial" w:hAnsi="Arial" w:cs="Arial"/>
          <w:b/>
          <w:sz w:val="16"/>
          <w:szCs w:val="16"/>
        </w:rPr>
        <w:t>TEXTO ÚNICO ORDENADO DE LA LEY Nº 27444, LEY DEL PROCEDIMIENTO ADMINISTRATIVO GENERAL, aprobado por DECRETO SUPREMO Nº 004-2019-JUS y publicado el 25 de enero de 2019</w:t>
      </w:r>
    </w:p>
    <w:p w14:paraId="0CD1AC80" w14:textId="77777777" w:rsidR="008A56C2" w:rsidRPr="00624D24" w:rsidRDefault="003D4B16">
      <w:pPr>
        <w:pBdr>
          <w:top w:val="nil"/>
          <w:left w:val="nil"/>
          <w:bottom w:val="nil"/>
          <w:right w:val="nil"/>
          <w:between w:val="nil"/>
        </w:pBdr>
        <w:spacing w:after="0" w:line="240" w:lineRule="auto"/>
        <w:ind w:left="567"/>
        <w:jc w:val="both"/>
        <w:rPr>
          <w:rFonts w:ascii="Arial" w:eastAsia="Arial" w:hAnsi="Arial" w:cs="Arial"/>
          <w:b/>
          <w:sz w:val="16"/>
          <w:szCs w:val="16"/>
        </w:rPr>
      </w:pPr>
      <w:r w:rsidRPr="00624D24">
        <w:rPr>
          <w:rFonts w:ascii="Arial" w:eastAsia="Arial" w:hAnsi="Arial" w:cs="Arial"/>
          <w:b/>
          <w:sz w:val="16"/>
          <w:szCs w:val="16"/>
        </w:rPr>
        <w:t xml:space="preserve">Artículo 97.- Competencia para resolver conflictos </w:t>
      </w:r>
    </w:p>
    <w:p w14:paraId="62D370B5" w14:textId="77777777" w:rsidR="008A56C2" w:rsidRPr="00624D24" w:rsidRDefault="003D4B16">
      <w:pPr>
        <w:pBdr>
          <w:top w:val="nil"/>
          <w:left w:val="nil"/>
          <w:bottom w:val="nil"/>
          <w:right w:val="nil"/>
          <w:between w:val="nil"/>
        </w:pBdr>
        <w:spacing w:after="0" w:line="240" w:lineRule="auto"/>
        <w:ind w:left="1134" w:hanging="567"/>
        <w:jc w:val="both"/>
        <w:rPr>
          <w:rFonts w:ascii="Arial" w:eastAsia="Arial" w:hAnsi="Arial" w:cs="Arial"/>
          <w:sz w:val="16"/>
          <w:szCs w:val="16"/>
        </w:rPr>
      </w:pPr>
      <w:r w:rsidRPr="00624D24">
        <w:rPr>
          <w:rFonts w:ascii="Arial" w:eastAsia="Arial" w:hAnsi="Arial" w:cs="Arial"/>
          <w:sz w:val="16"/>
          <w:szCs w:val="16"/>
        </w:rPr>
        <w:t xml:space="preserve">97.1 </w:t>
      </w:r>
      <w:r w:rsidRPr="00624D24">
        <w:rPr>
          <w:rFonts w:ascii="Arial" w:eastAsia="Arial" w:hAnsi="Arial" w:cs="Arial"/>
          <w:sz w:val="16"/>
          <w:szCs w:val="16"/>
        </w:rPr>
        <w:tab/>
        <w:t xml:space="preserve">Compete resolver los conflictos positivos o negativos de competencia de una misma entidad, al superior jerárquico común, y, si no lo hubiere, al titular de la entidad. </w:t>
      </w:r>
    </w:p>
    <w:p w14:paraId="6497B129" w14:textId="77777777" w:rsidR="008A56C2" w:rsidRPr="00624D24" w:rsidRDefault="003D4B16">
      <w:pPr>
        <w:pBdr>
          <w:top w:val="nil"/>
          <w:left w:val="nil"/>
          <w:bottom w:val="nil"/>
          <w:right w:val="nil"/>
          <w:between w:val="nil"/>
        </w:pBdr>
        <w:spacing w:after="0" w:line="240" w:lineRule="auto"/>
        <w:ind w:left="1134" w:hanging="567"/>
        <w:jc w:val="both"/>
        <w:rPr>
          <w:rFonts w:ascii="Arial" w:eastAsia="Arial" w:hAnsi="Arial" w:cs="Arial"/>
          <w:sz w:val="16"/>
          <w:szCs w:val="16"/>
        </w:rPr>
      </w:pPr>
      <w:r w:rsidRPr="00624D24">
        <w:rPr>
          <w:rFonts w:ascii="Arial" w:eastAsia="Arial" w:hAnsi="Arial" w:cs="Arial"/>
          <w:sz w:val="16"/>
          <w:szCs w:val="16"/>
        </w:rPr>
        <w:t xml:space="preserve">97.2 </w:t>
      </w:r>
      <w:r w:rsidRPr="00624D24">
        <w:rPr>
          <w:rFonts w:ascii="Arial" w:eastAsia="Arial" w:hAnsi="Arial" w:cs="Arial"/>
          <w:sz w:val="16"/>
          <w:szCs w:val="16"/>
        </w:rPr>
        <w:tab/>
        <w:t>Los conflictos de competencia entre autoridades de un mismo Sector son resueltos por el responsable de éste, y los conflictos entre otras autoridades del Poder Ejecutivo son resueltos por la Presidencia del Consejo de Ministros, mediante decisión inmotivada; sin ser llevada por las autoridades en ningún caso a los tribunales.</w:t>
      </w:r>
    </w:p>
    <w:p w14:paraId="2A7450D5" w14:textId="77777777" w:rsidR="008A56C2" w:rsidRPr="00624D24" w:rsidRDefault="003D4B16">
      <w:pPr>
        <w:pBdr>
          <w:top w:val="nil"/>
          <w:left w:val="nil"/>
          <w:bottom w:val="nil"/>
          <w:right w:val="nil"/>
          <w:between w:val="nil"/>
        </w:pBdr>
        <w:spacing w:after="0" w:line="240" w:lineRule="auto"/>
        <w:ind w:left="1134" w:hanging="567"/>
        <w:jc w:val="both"/>
        <w:rPr>
          <w:rFonts w:ascii="Arial" w:eastAsia="Arial" w:hAnsi="Arial" w:cs="Arial"/>
          <w:sz w:val="16"/>
          <w:szCs w:val="16"/>
        </w:rPr>
      </w:pPr>
      <w:r w:rsidRPr="00624D24">
        <w:rPr>
          <w:rFonts w:ascii="Arial" w:eastAsia="Arial" w:hAnsi="Arial" w:cs="Arial"/>
          <w:sz w:val="16"/>
          <w:szCs w:val="16"/>
        </w:rPr>
        <w:t xml:space="preserve">97.3 </w:t>
      </w:r>
      <w:r w:rsidRPr="00624D24">
        <w:rPr>
          <w:rFonts w:ascii="Arial" w:eastAsia="Arial" w:hAnsi="Arial" w:cs="Arial"/>
          <w:sz w:val="16"/>
          <w:szCs w:val="16"/>
        </w:rPr>
        <w:tab/>
        <w:t>Los conflictos de competencia entre otras entidades se resuelven conforme a lo que disponen la Constitución y las leyes.</w:t>
      </w:r>
    </w:p>
    <w:p w14:paraId="4B4DB42D" w14:textId="77777777" w:rsidR="008A56C2" w:rsidRPr="00624D24" w:rsidRDefault="008A56C2">
      <w:pPr>
        <w:pBdr>
          <w:top w:val="nil"/>
          <w:left w:val="nil"/>
          <w:bottom w:val="nil"/>
          <w:right w:val="nil"/>
          <w:between w:val="nil"/>
        </w:pBdr>
        <w:spacing w:after="0" w:line="240" w:lineRule="auto"/>
        <w:ind w:left="1134" w:hanging="567"/>
        <w:jc w:val="both"/>
        <w:rPr>
          <w:rFonts w:ascii="Arial" w:eastAsia="Arial" w:hAnsi="Arial" w:cs="Arial"/>
          <w:sz w:val="16"/>
          <w:szCs w:val="16"/>
        </w:rPr>
      </w:pPr>
    </w:p>
  </w:footnote>
  <w:footnote w:id="16">
    <w:p w14:paraId="7F05F00B" w14:textId="77777777" w:rsidR="008A56C2" w:rsidRPr="00624D24" w:rsidRDefault="003D4B16">
      <w:pPr>
        <w:pBdr>
          <w:top w:val="nil"/>
          <w:left w:val="nil"/>
          <w:bottom w:val="nil"/>
          <w:right w:val="nil"/>
          <w:between w:val="nil"/>
        </w:pBdr>
        <w:spacing w:after="0" w:line="240" w:lineRule="auto"/>
        <w:ind w:left="567" w:hanging="567"/>
        <w:jc w:val="both"/>
        <w:rPr>
          <w:rFonts w:ascii="Arial" w:eastAsia="Arial" w:hAnsi="Arial" w:cs="Arial"/>
          <w:sz w:val="16"/>
          <w:szCs w:val="16"/>
        </w:rPr>
      </w:pPr>
      <w:r w:rsidRPr="00624D24">
        <w:rPr>
          <w:rFonts w:ascii="Arial" w:hAnsi="Arial" w:cs="Arial"/>
          <w:sz w:val="16"/>
          <w:szCs w:val="16"/>
          <w:vertAlign w:val="superscript"/>
        </w:rPr>
        <w:footnoteRef/>
      </w:r>
      <w:r w:rsidRPr="00624D24">
        <w:rPr>
          <w:rFonts w:ascii="Arial" w:eastAsia="Arial" w:hAnsi="Arial" w:cs="Arial"/>
          <w:sz w:val="16"/>
          <w:szCs w:val="16"/>
        </w:rPr>
        <w:t xml:space="preserve"> </w:t>
      </w:r>
      <w:r w:rsidRPr="00624D24">
        <w:rPr>
          <w:rFonts w:ascii="Arial" w:eastAsia="Arial" w:hAnsi="Arial" w:cs="Arial"/>
          <w:sz w:val="16"/>
          <w:szCs w:val="16"/>
        </w:rPr>
        <w:tab/>
      </w:r>
      <w:r w:rsidRPr="00624D24">
        <w:rPr>
          <w:rFonts w:ascii="Arial" w:eastAsia="Arial" w:hAnsi="Arial" w:cs="Arial"/>
          <w:b/>
          <w:sz w:val="16"/>
          <w:szCs w:val="16"/>
        </w:rPr>
        <w:t>DECRETO LEGISLATIVO N° 1033, LEY DE ORGANIZACIÓN Y FUNCIONES DEL INDECOPI, publicado el 25 de junio de 2008</w:t>
      </w:r>
    </w:p>
    <w:p w14:paraId="21D6E410" w14:textId="77777777" w:rsidR="008A56C2" w:rsidRPr="00624D24" w:rsidRDefault="003D4B16">
      <w:pPr>
        <w:pBdr>
          <w:top w:val="nil"/>
          <w:left w:val="nil"/>
          <w:bottom w:val="nil"/>
          <w:right w:val="nil"/>
          <w:between w:val="nil"/>
        </w:pBdr>
        <w:spacing w:after="0" w:line="240" w:lineRule="auto"/>
        <w:ind w:left="567"/>
        <w:jc w:val="both"/>
        <w:rPr>
          <w:rFonts w:ascii="Arial" w:eastAsia="Arial" w:hAnsi="Arial" w:cs="Arial"/>
          <w:b/>
          <w:sz w:val="16"/>
          <w:szCs w:val="16"/>
        </w:rPr>
      </w:pPr>
      <w:r w:rsidRPr="00624D24">
        <w:rPr>
          <w:rFonts w:ascii="Arial" w:eastAsia="Arial" w:hAnsi="Arial" w:cs="Arial"/>
          <w:b/>
          <w:sz w:val="16"/>
          <w:szCs w:val="16"/>
        </w:rPr>
        <w:t>Artículo 17.- La Sala Plena del Tribunal</w:t>
      </w:r>
    </w:p>
    <w:p w14:paraId="4BF7FC46" w14:textId="77777777" w:rsidR="008A56C2" w:rsidRPr="00624D24" w:rsidRDefault="003D4B16">
      <w:pPr>
        <w:pBdr>
          <w:top w:val="nil"/>
          <w:left w:val="nil"/>
          <w:bottom w:val="nil"/>
          <w:right w:val="nil"/>
          <w:between w:val="nil"/>
        </w:pBdr>
        <w:spacing w:after="0" w:line="240" w:lineRule="auto"/>
        <w:ind w:left="567"/>
        <w:jc w:val="both"/>
        <w:rPr>
          <w:rFonts w:ascii="Arial" w:eastAsia="Arial" w:hAnsi="Arial" w:cs="Arial"/>
          <w:sz w:val="16"/>
          <w:szCs w:val="16"/>
        </w:rPr>
      </w:pPr>
      <w:r w:rsidRPr="00624D24">
        <w:rPr>
          <w:rFonts w:ascii="Arial" w:eastAsia="Arial" w:hAnsi="Arial" w:cs="Arial"/>
          <w:sz w:val="16"/>
          <w:szCs w:val="16"/>
        </w:rPr>
        <w:t>(…)</w:t>
      </w:r>
    </w:p>
    <w:p w14:paraId="0395E7B2" w14:textId="77777777" w:rsidR="008A56C2" w:rsidRPr="00624D24" w:rsidRDefault="003D4B16">
      <w:pPr>
        <w:pBdr>
          <w:top w:val="nil"/>
          <w:left w:val="nil"/>
          <w:bottom w:val="nil"/>
          <w:right w:val="nil"/>
          <w:between w:val="nil"/>
        </w:pBdr>
        <w:spacing w:after="0" w:line="240" w:lineRule="auto"/>
        <w:ind w:left="1134" w:hanging="567"/>
        <w:jc w:val="both"/>
        <w:rPr>
          <w:rFonts w:ascii="Arial" w:eastAsia="Arial" w:hAnsi="Arial" w:cs="Arial"/>
          <w:sz w:val="16"/>
          <w:szCs w:val="16"/>
        </w:rPr>
      </w:pPr>
      <w:r w:rsidRPr="00624D24">
        <w:rPr>
          <w:rFonts w:ascii="Arial" w:eastAsia="Arial" w:hAnsi="Arial" w:cs="Arial"/>
          <w:sz w:val="16"/>
          <w:szCs w:val="16"/>
        </w:rPr>
        <w:t xml:space="preserve">17.6 </w:t>
      </w:r>
      <w:r w:rsidRPr="00624D24">
        <w:rPr>
          <w:rFonts w:ascii="Arial" w:eastAsia="Arial" w:hAnsi="Arial" w:cs="Arial"/>
          <w:sz w:val="16"/>
          <w:szCs w:val="16"/>
        </w:rPr>
        <w:tab/>
        <w:t xml:space="preserve">La Sala Plena del Tribunal se reunirá para: </w:t>
      </w:r>
    </w:p>
    <w:p w14:paraId="28E6381C" w14:textId="77777777" w:rsidR="008A56C2" w:rsidRPr="00624D24" w:rsidRDefault="003D4B16">
      <w:pPr>
        <w:pBdr>
          <w:top w:val="nil"/>
          <w:left w:val="nil"/>
          <w:bottom w:val="nil"/>
          <w:right w:val="nil"/>
          <w:between w:val="nil"/>
        </w:pBdr>
        <w:spacing w:after="0" w:line="240" w:lineRule="auto"/>
        <w:ind w:left="1134"/>
        <w:jc w:val="both"/>
        <w:rPr>
          <w:rFonts w:ascii="Arial" w:eastAsia="Arial" w:hAnsi="Arial" w:cs="Arial"/>
          <w:sz w:val="16"/>
          <w:szCs w:val="16"/>
        </w:rPr>
      </w:pPr>
      <w:r w:rsidRPr="00624D24">
        <w:rPr>
          <w:rFonts w:ascii="Arial" w:eastAsia="Arial" w:hAnsi="Arial" w:cs="Arial"/>
          <w:sz w:val="16"/>
          <w:szCs w:val="16"/>
        </w:rPr>
        <w:t xml:space="preserve">(…) </w:t>
      </w:r>
    </w:p>
    <w:p w14:paraId="2303569A" w14:textId="77777777" w:rsidR="008A56C2" w:rsidRPr="00624D24" w:rsidRDefault="003D4B16">
      <w:pPr>
        <w:pBdr>
          <w:top w:val="nil"/>
          <w:left w:val="nil"/>
          <w:bottom w:val="nil"/>
          <w:right w:val="nil"/>
          <w:between w:val="nil"/>
        </w:pBdr>
        <w:spacing w:after="0" w:line="240" w:lineRule="auto"/>
        <w:ind w:left="1134"/>
        <w:jc w:val="both"/>
        <w:rPr>
          <w:rFonts w:ascii="Arial" w:eastAsia="Arial" w:hAnsi="Arial" w:cs="Arial"/>
          <w:sz w:val="16"/>
          <w:szCs w:val="16"/>
        </w:rPr>
      </w:pPr>
      <w:r w:rsidRPr="00624D24">
        <w:rPr>
          <w:rFonts w:ascii="Arial" w:eastAsia="Arial" w:hAnsi="Arial" w:cs="Arial"/>
          <w:sz w:val="16"/>
          <w:szCs w:val="16"/>
        </w:rPr>
        <w:t>b) Resolver las contiendas de competencia que surjan entre los órganos resolutivos;</w:t>
      </w:r>
    </w:p>
    <w:p w14:paraId="521E0FE9" w14:textId="77777777" w:rsidR="008A56C2" w:rsidRPr="00624D24" w:rsidRDefault="003D4B16">
      <w:pPr>
        <w:pBdr>
          <w:top w:val="nil"/>
          <w:left w:val="nil"/>
          <w:bottom w:val="nil"/>
          <w:right w:val="nil"/>
          <w:between w:val="nil"/>
        </w:pBdr>
        <w:spacing w:after="0" w:line="240" w:lineRule="auto"/>
        <w:ind w:left="1134"/>
        <w:jc w:val="both"/>
        <w:rPr>
          <w:rFonts w:ascii="Arial" w:eastAsia="Arial" w:hAnsi="Arial" w:cs="Arial"/>
          <w:sz w:val="16"/>
          <w:szCs w:val="16"/>
        </w:rPr>
      </w:pPr>
      <w:r w:rsidRPr="00624D24">
        <w:rPr>
          <w:rFonts w:ascii="Arial" w:eastAsia="Arial" w:hAnsi="Arial" w:cs="Arial"/>
          <w:sz w:val="16"/>
          <w:szCs w:val="16"/>
        </w:rPr>
        <w:t>(…)</w:t>
      </w:r>
    </w:p>
    <w:p w14:paraId="66553FCC" w14:textId="77777777" w:rsidR="008A56C2" w:rsidRPr="00624D24" w:rsidRDefault="008A56C2">
      <w:pPr>
        <w:pBdr>
          <w:top w:val="nil"/>
          <w:left w:val="nil"/>
          <w:bottom w:val="nil"/>
          <w:right w:val="nil"/>
          <w:between w:val="nil"/>
        </w:pBdr>
        <w:spacing w:after="0" w:line="240" w:lineRule="auto"/>
        <w:ind w:left="1134"/>
        <w:jc w:val="both"/>
        <w:rPr>
          <w:rFonts w:ascii="Arial" w:eastAsia="Arial" w:hAnsi="Arial" w:cs="Arial"/>
          <w:sz w:val="16"/>
          <w:szCs w:val="16"/>
        </w:rPr>
      </w:pPr>
    </w:p>
  </w:footnote>
  <w:footnote w:id="17">
    <w:p w14:paraId="6F7D735C" w14:textId="77777777" w:rsidR="008A56C2" w:rsidRPr="00624D24" w:rsidRDefault="003D4B16">
      <w:pPr>
        <w:spacing w:after="0" w:line="240" w:lineRule="auto"/>
        <w:ind w:left="567" w:hanging="567"/>
        <w:jc w:val="both"/>
        <w:rPr>
          <w:rFonts w:ascii="Arial" w:eastAsia="Arial" w:hAnsi="Arial" w:cs="Arial"/>
          <w:b/>
          <w:sz w:val="16"/>
          <w:szCs w:val="16"/>
        </w:rPr>
      </w:pPr>
      <w:r w:rsidRPr="00624D24">
        <w:rPr>
          <w:rFonts w:ascii="Arial" w:hAnsi="Arial" w:cs="Arial"/>
          <w:sz w:val="16"/>
          <w:szCs w:val="16"/>
          <w:vertAlign w:val="superscript"/>
        </w:rPr>
        <w:footnoteRef/>
      </w:r>
      <w:r w:rsidRPr="00624D24">
        <w:rPr>
          <w:rFonts w:ascii="Arial" w:eastAsia="Arial" w:hAnsi="Arial" w:cs="Arial"/>
          <w:sz w:val="16"/>
          <w:szCs w:val="16"/>
        </w:rPr>
        <w:t xml:space="preserve"> </w:t>
      </w:r>
      <w:r w:rsidRPr="00624D24">
        <w:rPr>
          <w:rFonts w:ascii="Arial" w:eastAsia="Arial" w:hAnsi="Arial" w:cs="Arial"/>
          <w:sz w:val="16"/>
          <w:szCs w:val="16"/>
        </w:rPr>
        <w:tab/>
      </w:r>
      <w:r w:rsidRPr="00624D24">
        <w:rPr>
          <w:rFonts w:ascii="Arial" w:eastAsia="Arial" w:hAnsi="Arial" w:cs="Arial"/>
          <w:b/>
          <w:sz w:val="16"/>
          <w:szCs w:val="16"/>
        </w:rPr>
        <w:t>RESOLUCION Nº 000063-2021-PRE/INDECOPI, RESOLUCIÓN QUE APRUEBA EL TEXTO INTEGRADO DEL REGLAMENTO DE ORGANIZACIÓN Y FUNCIONES DEL INDECOPI, publicado el 5 de junio de 2021.</w:t>
      </w:r>
    </w:p>
    <w:p w14:paraId="3ABF9319" w14:textId="77777777" w:rsidR="008A56C2" w:rsidRPr="00624D24" w:rsidRDefault="003D4B16">
      <w:pPr>
        <w:pBdr>
          <w:top w:val="nil"/>
          <w:left w:val="nil"/>
          <w:bottom w:val="nil"/>
          <w:right w:val="nil"/>
          <w:between w:val="nil"/>
        </w:pBdr>
        <w:spacing w:after="0" w:line="240" w:lineRule="auto"/>
        <w:ind w:left="567"/>
        <w:jc w:val="both"/>
        <w:rPr>
          <w:rFonts w:ascii="Arial" w:eastAsia="Arial" w:hAnsi="Arial" w:cs="Arial"/>
          <w:b/>
          <w:sz w:val="16"/>
          <w:szCs w:val="16"/>
        </w:rPr>
      </w:pPr>
      <w:r w:rsidRPr="00624D24">
        <w:rPr>
          <w:rFonts w:ascii="Arial" w:eastAsia="Arial" w:hAnsi="Arial" w:cs="Arial"/>
          <w:b/>
          <w:sz w:val="16"/>
          <w:szCs w:val="16"/>
        </w:rPr>
        <w:t xml:space="preserve">Artículo 19.- Funciones del Tribunal de Defensa de la Competencia y de la Propiedad Intelectual. Son funciones del Tribunal de Defensa de la Competencia y de la Propiedad Intelectual, en Sala Plena las siguientes: </w:t>
      </w:r>
    </w:p>
    <w:p w14:paraId="627AF787" w14:textId="77777777" w:rsidR="008A56C2" w:rsidRPr="00624D24" w:rsidRDefault="003D4B16">
      <w:pPr>
        <w:pBdr>
          <w:top w:val="nil"/>
          <w:left w:val="nil"/>
          <w:bottom w:val="nil"/>
          <w:right w:val="nil"/>
          <w:between w:val="nil"/>
        </w:pBdr>
        <w:spacing w:after="0" w:line="240" w:lineRule="auto"/>
        <w:ind w:left="567"/>
        <w:jc w:val="both"/>
        <w:rPr>
          <w:rFonts w:ascii="Arial" w:eastAsia="Arial" w:hAnsi="Arial" w:cs="Arial"/>
          <w:sz w:val="16"/>
          <w:szCs w:val="16"/>
        </w:rPr>
      </w:pPr>
      <w:r w:rsidRPr="00624D24">
        <w:rPr>
          <w:rFonts w:ascii="Arial" w:eastAsia="Arial" w:hAnsi="Arial" w:cs="Arial"/>
          <w:sz w:val="16"/>
          <w:szCs w:val="16"/>
        </w:rPr>
        <w:t xml:space="preserve">a) Conocer y resolver las contiendas o conflictos de competencia que se planteen, con ocasión del desarrollo de funciones de los diversos órganos resolutivos del INDECOPI, de jerarquía inferior. </w:t>
      </w:r>
    </w:p>
    <w:p w14:paraId="2276E0E5" w14:textId="77777777" w:rsidR="008A56C2" w:rsidRPr="00624D24" w:rsidRDefault="003D4B16">
      <w:pPr>
        <w:pBdr>
          <w:top w:val="nil"/>
          <w:left w:val="nil"/>
          <w:bottom w:val="nil"/>
          <w:right w:val="nil"/>
          <w:between w:val="nil"/>
        </w:pBdr>
        <w:spacing w:after="0" w:line="240" w:lineRule="auto"/>
        <w:ind w:left="567"/>
        <w:jc w:val="both"/>
        <w:rPr>
          <w:rFonts w:ascii="Arial" w:eastAsia="Arial" w:hAnsi="Arial" w:cs="Arial"/>
          <w:sz w:val="16"/>
          <w:szCs w:val="16"/>
        </w:rPr>
      </w:pPr>
      <w:r w:rsidRPr="00624D24">
        <w:rPr>
          <w:rFonts w:ascii="Arial" w:eastAsia="Arial" w:hAnsi="Arial" w:cs="Arial"/>
          <w:sz w:val="16"/>
          <w:szCs w:val="16"/>
        </w:rPr>
        <w:t>b) Dictar directivas de carácter procesal aplicables a los procedimientos que se siguen ante el INDECOPI.</w:t>
      </w:r>
    </w:p>
    <w:p w14:paraId="459E656B" w14:textId="77777777" w:rsidR="008A56C2" w:rsidRPr="00624D24" w:rsidRDefault="003D4B16">
      <w:pPr>
        <w:pBdr>
          <w:top w:val="nil"/>
          <w:left w:val="nil"/>
          <w:bottom w:val="nil"/>
          <w:right w:val="nil"/>
          <w:between w:val="nil"/>
        </w:pBdr>
        <w:spacing w:after="0" w:line="240" w:lineRule="auto"/>
        <w:ind w:left="567"/>
        <w:jc w:val="both"/>
        <w:rPr>
          <w:rFonts w:ascii="Arial" w:eastAsia="Arial" w:hAnsi="Arial" w:cs="Arial"/>
          <w:sz w:val="16"/>
          <w:szCs w:val="16"/>
        </w:rPr>
      </w:pPr>
      <w:r w:rsidRPr="00624D24">
        <w:rPr>
          <w:rFonts w:ascii="Arial" w:eastAsia="Arial" w:hAnsi="Arial" w:cs="Arial"/>
          <w:sz w:val="16"/>
          <w:szCs w:val="16"/>
        </w:rPr>
        <w:t xml:space="preserve">c) Dictar directivas para la determinación de competencia entre los distintos órganos resolutivos. </w:t>
      </w:r>
    </w:p>
    <w:p w14:paraId="68A5847F" w14:textId="77777777" w:rsidR="008A56C2" w:rsidRPr="00624D24" w:rsidRDefault="003D4B16">
      <w:pPr>
        <w:pBdr>
          <w:top w:val="nil"/>
          <w:left w:val="nil"/>
          <w:bottom w:val="nil"/>
          <w:right w:val="nil"/>
          <w:between w:val="nil"/>
        </w:pBdr>
        <w:spacing w:after="0" w:line="240" w:lineRule="auto"/>
        <w:ind w:left="567"/>
        <w:jc w:val="both"/>
        <w:rPr>
          <w:rFonts w:ascii="Arial" w:eastAsia="Arial" w:hAnsi="Arial" w:cs="Arial"/>
          <w:sz w:val="16"/>
          <w:szCs w:val="16"/>
        </w:rPr>
      </w:pPr>
      <w:r w:rsidRPr="00624D24">
        <w:rPr>
          <w:rFonts w:ascii="Arial" w:eastAsia="Arial" w:hAnsi="Arial" w:cs="Arial"/>
          <w:sz w:val="16"/>
          <w:szCs w:val="16"/>
        </w:rPr>
        <w:t xml:space="preserve">d) Elegir al/a la Presidente/a y Vicepresidente/a del Tribunal de Defensa de la Competencia y de la Propiedad Intelectual. </w:t>
      </w:r>
    </w:p>
    <w:p w14:paraId="30D8F90B" w14:textId="77777777" w:rsidR="008A56C2" w:rsidRPr="00624D24" w:rsidRDefault="003D4B16">
      <w:pPr>
        <w:pBdr>
          <w:top w:val="nil"/>
          <w:left w:val="nil"/>
          <w:bottom w:val="nil"/>
          <w:right w:val="nil"/>
          <w:between w:val="nil"/>
        </w:pBdr>
        <w:spacing w:after="0" w:line="240" w:lineRule="auto"/>
        <w:ind w:left="567"/>
        <w:jc w:val="both"/>
        <w:rPr>
          <w:rFonts w:ascii="Arial" w:eastAsia="Arial" w:hAnsi="Arial" w:cs="Arial"/>
          <w:sz w:val="16"/>
          <w:szCs w:val="16"/>
        </w:rPr>
      </w:pPr>
      <w:r w:rsidRPr="00624D24">
        <w:rPr>
          <w:rFonts w:ascii="Arial" w:eastAsia="Arial" w:hAnsi="Arial" w:cs="Arial"/>
          <w:sz w:val="16"/>
          <w:szCs w:val="16"/>
        </w:rPr>
        <w:t>e) Proponer a la Presidencia Ejecutiva que gestione ante las autoridades pertinentes del Gobierno la adopción de las medidas legales o reglamentarias que juzgue necesarias.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A919D" w14:textId="77777777" w:rsidR="008A56C2" w:rsidRDefault="003D4B16">
    <w:pPr>
      <w:tabs>
        <w:tab w:val="center" w:pos="4252"/>
        <w:tab w:val="right" w:pos="8504"/>
      </w:tabs>
      <w:spacing w:after="0" w:line="240" w:lineRule="auto"/>
      <w:jc w:val="right"/>
      <w:rPr>
        <w:sz w:val="15"/>
        <w:szCs w:val="15"/>
      </w:rPr>
    </w:pPr>
    <w:r>
      <w:rPr>
        <w:rFonts w:ascii="Arial Narrow" w:eastAsia="Arial Narrow" w:hAnsi="Arial Narrow" w:cs="Arial Narrow"/>
        <w:b/>
        <w:i/>
        <w:sz w:val="15"/>
        <w:szCs w:val="15"/>
      </w:rPr>
      <w:t>COMISIÓN DE PROTECCIÓN AL CONSUMIDOR 1</w:t>
    </w:r>
    <w:r>
      <w:rPr>
        <w:noProof/>
      </w:rPr>
      <w:drawing>
        <wp:anchor distT="0" distB="0" distL="114300" distR="114300" simplePos="0" relativeHeight="251658240" behindDoc="0" locked="0" layoutInCell="1" hidden="0" allowOverlap="1" wp14:anchorId="18B994B3" wp14:editId="228A499B">
          <wp:simplePos x="0" y="0"/>
          <wp:positionH relativeFrom="column">
            <wp:posOffset>1</wp:posOffset>
          </wp:positionH>
          <wp:positionV relativeFrom="paragraph">
            <wp:posOffset>8890</wp:posOffset>
          </wp:positionV>
          <wp:extent cx="3429000" cy="514350"/>
          <wp:effectExtent l="0" t="0" r="0" b="0"/>
          <wp:wrapSquare wrapText="bothSides" distT="0" distB="0" distL="114300" distR="114300"/>
          <wp:docPr id="2" name="image1.jpg" descr="membrete"/>
          <wp:cNvGraphicFramePr/>
          <a:graphic xmlns:a="http://schemas.openxmlformats.org/drawingml/2006/main">
            <a:graphicData uri="http://schemas.openxmlformats.org/drawingml/2006/picture">
              <pic:pic xmlns:pic="http://schemas.openxmlformats.org/drawingml/2006/picture">
                <pic:nvPicPr>
                  <pic:cNvPr id="0" name="image1.jpg" descr="membrete"/>
                  <pic:cNvPicPr preferRelativeResize="0"/>
                </pic:nvPicPr>
                <pic:blipFill>
                  <a:blip r:embed="rId1"/>
                  <a:srcRect/>
                  <a:stretch>
                    <a:fillRect/>
                  </a:stretch>
                </pic:blipFill>
                <pic:spPr>
                  <a:xfrm>
                    <a:off x="0" y="0"/>
                    <a:ext cx="3429000" cy="514350"/>
                  </a:xfrm>
                  <a:prstGeom prst="rect">
                    <a:avLst/>
                  </a:prstGeom>
                  <a:ln/>
                </pic:spPr>
              </pic:pic>
            </a:graphicData>
          </a:graphic>
        </wp:anchor>
      </w:drawing>
    </w:r>
  </w:p>
  <w:p w14:paraId="009116CB" w14:textId="77777777" w:rsidR="008A56C2" w:rsidRDefault="003D4B16">
    <w:pPr>
      <w:tabs>
        <w:tab w:val="center" w:pos="4252"/>
        <w:tab w:val="right" w:pos="8504"/>
      </w:tabs>
      <w:spacing w:after="0" w:line="240" w:lineRule="auto"/>
      <w:jc w:val="right"/>
      <w:rPr>
        <w:sz w:val="15"/>
        <w:szCs w:val="15"/>
      </w:rPr>
    </w:pPr>
    <w:r>
      <w:rPr>
        <w:rFonts w:ascii="Arial Narrow" w:eastAsia="Arial Narrow" w:hAnsi="Arial Narrow" w:cs="Arial Narrow"/>
        <w:b/>
        <w:i/>
        <w:sz w:val="15"/>
        <w:szCs w:val="15"/>
      </w:rPr>
      <w:t>SEDE CENTRAL</w:t>
    </w:r>
  </w:p>
  <w:p w14:paraId="59242CCE" w14:textId="77777777" w:rsidR="008A56C2" w:rsidRDefault="008A56C2">
    <w:pPr>
      <w:tabs>
        <w:tab w:val="center" w:pos="4252"/>
        <w:tab w:val="right" w:pos="8504"/>
      </w:tabs>
      <w:spacing w:after="0" w:line="240" w:lineRule="auto"/>
      <w:jc w:val="right"/>
      <w:rPr>
        <w:sz w:val="15"/>
        <w:szCs w:val="15"/>
      </w:rPr>
    </w:pPr>
  </w:p>
  <w:p w14:paraId="5BD7CA7B" w14:textId="77777777" w:rsidR="008A56C2" w:rsidRDefault="003D4B16">
    <w:pPr>
      <w:tabs>
        <w:tab w:val="center" w:pos="4252"/>
        <w:tab w:val="right" w:pos="8504"/>
      </w:tabs>
      <w:spacing w:after="0" w:line="240" w:lineRule="auto"/>
      <w:jc w:val="right"/>
      <w:rPr>
        <w:rFonts w:ascii="Arial Narrow" w:eastAsia="Arial Narrow" w:hAnsi="Arial Narrow" w:cs="Arial Narrow"/>
        <w:b/>
        <w:i/>
        <w:sz w:val="15"/>
        <w:szCs w:val="15"/>
      </w:rPr>
    </w:pPr>
    <w:r>
      <w:rPr>
        <w:rFonts w:ascii="Arial Narrow" w:eastAsia="Arial Narrow" w:hAnsi="Arial Narrow" w:cs="Arial Narrow"/>
        <w:b/>
        <w:i/>
        <w:sz w:val="15"/>
        <w:szCs w:val="15"/>
      </w:rPr>
      <w:t xml:space="preserve">EXPEDIENTE N° </w:t>
    </w:r>
    <w:r w:rsidRPr="0033320A">
      <w:rPr>
        <w:rFonts w:ascii="Arial Narrow" w:eastAsia="Arial Narrow" w:hAnsi="Arial Narrow" w:cs="Arial Narrow"/>
        <w:b/>
        <w:i/>
        <w:sz w:val="15"/>
        <w:szCs w:val="15"/>
        <w:highlight w:val="magenta"/>
      </w:rPr>
      <w:t>0839-2024/CC1</w:t>
    </w:r>
  </w:p>
  <w:p w14:paraId="007FA85B" w14:textId="77777777" w:rsidR="008A56C2" w:rsidRDefault="008A56C2">
    <w:pPr>
      <w:pBdr>
        <w:top w:val="nil"/>
        <w:left w:val="nil"/>
        <w:bottom w:val="nil"/>
        <w:right w:val="nil"/>
        <w:between w:val="nil"/>
      </w:pBdr>
      <w:tabs>
        <w:tab w:val="center" w:pos="4419"/>
        <w:tab w:val="right" w:pos="8838"/>
      </w:tabs>
      <w:spacing w:after="0" w:line="240" w:lineRule="auto"/>
    </w:pPr>
  </w:p>
  <w:p w14:paraId="3C6A4C1A" w14:textId="77777777" w:rsidR="008A56C2" w:rsidRDefault="008A56C2">
    <w:pPr>
      <w:pBdr>
        <w:top w:val="nil"/>
        <w:left w:val="nil"/>
        <w:bottom w:val="nil"/>
        <w:right w:val="nil"/>
        <w:between w:val="nil"/>
      </w:pBdr>
      <w:tabs>
        <w:tab w:val="center" w:pos="4419"/>
        <w:tab w:val="right" w:pos="8838"/>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B6FFC"/>
    <w:multiLevelType w:val="multilevel"/>
    <w:tmpl w:val="C244426C"/>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9D17F2"/>
    <w:multiLevelType w:val="multilevel"/>
    <w:tmpl w:val="C526BA14"/>
    <w:lvl w:ilvl="0">
      <w:start w:val="2"/>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B1E083F"/>
    <w:multiLevelType w:val="multilevel"/>
    <w:tmpl w:val="0DFA6C26"/>
    <w:lvl w:ilvl="0">
      <w:start w:val="12"/>
      <w:numFmt w:val="decimal"/>
      <w:lvlText w:val="%1."/>
      <w:lvlJc w:val="left"/>
      <w:pPr>
        <w:ind w:left="1287" w:hanging="360"/>
      </w:pPr>
      <w:rPr>
        <w:rFonts w:ascii="Arial" w:eastAsia="Arial" w:hAnsi="Arial" w:cs="Arial"/>
        <w:b w:val="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62B7311"/>
    <w:multiLevelType w:val="multilevel"/>
    <w:tmpl w:val="52F63254"/>
    <w:lvl w:ilvl="0">
      <w:start w:val="1"/>
      <w:numFmt w:val="upperRoman"/>
      <w:lvlText w:val="%1."/>
      <w:lvlJc w:val="left"/>
      <w:pPr>
        <w:ind w:left="1080" w:firstLine="360"/>
      </w:pPr>
    </w:lvl>
    <w:lvl w:ilvl="1">
      <w:start w:val="1"/>
      <w:numFmt w:val="decimal"/>
      <w:lvlText w:val="%2."/>
      <w:lvlJc w:val="left"/>
      <w:pPr>
        <w:ind w:left="-1080" w:firstLine="1080"/>
      </w:pPr>
      <w:rPr>
        <w:rFonts w:ascii="Arial" w:eastAsia="Arial" w:hAnsi="Arial" w:cs="Arial"/>
        <w:b w:val="0"/>
      </w:rPr>
    </w:lvl>
    <w:lvl w:ilvl="2">
      <w:start w:val="1"/>
      <w:numFmt w:val="lowerRoman"/>
      <w:lvlText w:val="%3)"/>
      <w:lvlJc w:val="left"/>
      <w:pPr>
        <w:ind w:left="2700" w:firstLine="1980"/>
      </w:pPr>
    </w:lvl>
    <w:lvl w:ilvl="3">
      <w:start w:val="1"/>
      <w:numFmt w:val="decimal"/>
      <w:lvlText w:val="%4."/>
      <w:lvlJc w:val="left"/>
      <w:pPr>
        <w:ind w:left="2880" w:firstLine="2520"/>
      </w:pPr>
    </w:lvl>
    <w:lvl w:ilvl="4">
      <w:start w:val="1"/>
      <w:numFmt w:val="lowerRoman"/>
      <w:lvlText w:val="(%5)"/>
      <w:lvlJc w:val="left"/>
      <w:pPr>
        <w:ind w:left="3960" w:firstLine="3240"/>
      </w:pPr>
      <w:rPr>
        <w:b w:val="0"/>
        <w:i w:val="0"/>
      </w:r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333E099F"/>
    <w:multiLevelType w:val="multilevel"/>
    <w:tmpl w:val="9E606FBC"/>
    <w:lvl w:ilvl="0">
      <w:numFmt w:val="bullet"/>
      <w:lvlText w:val="-"/>
      <w:lvlJc w:val="left"/>
      <w:pPr>
        <w:ind w:left="499" w:hanging="284"/>
      </w:pPr>
      <w:rPr>
        <w:rFonts w:ascii="Arial MT" w:eastAsia="Arial MT" w:hAnsi="Arial MT" w:cs="Arial MT"/>
        <w:sz w:val="16"/>
        <w:szCs w:val="16"/>
      </w:rPr>
    </w:lvl>
    <w:lvl w:ilvl="1">
      <w:numFmt w:val="bullet"/>
      <w:lvlText w:val="•"/>
      <w:lvlJc w:val="left"/>
      <w:pPr>
        <w:ind w:left="751" w:hanging="284"/>
      </w:pPr>
    </w:lvl>
    <w:lvl w:ilvl="2">
      <w:numFmt w:val="bullet"/>
      <w:lvlText w:val="•"/>
      <w:lvlJc w:val="left"/>
      <w:pPr>
        <w:ind w:left="1002" w:hanging="283"/>
      </w:pPr>
    </w:lvl>
    <w:lvl w:ilvl="3">
      <w:numFmt w:val="bullet"/>
      <w:lvlText w:val="•"/>
      <w:lvlJc w:val="left"/>
      <w:pPr>
        <w:ind w:left="1253" w:hanging="284"/>
      </w:pPr>
    </w:lvl>
    <w:lvl w:ilvl="4">
      <w:numFmt w:val="bullet"/>
      <w:lvlText w:val="•"/>
      <w:lvlJc w:val="left"/>
      <w:pPr>
        <w:ind w:left="1504" w:hanging="284"/>
      </w:pPr>
    </w:lvl>
    <w:lvl w:ilvl="5">
      <w:numFmt w:val="bullet"/>
      <w:lvlText w:val="•"/>
      <w:lvlJc w:val="left"/>
      <w:pPr>
        <w:ind w:left="1755" w:hanging="284"/>
      </w:pPr>
    </w:lvl>
    <w:lvl w:ilvl="6">
      <w:numFmt w:val="bullet"/>
      <w:lvlText w:val="•"/>
      <w:lvlJc w:val="left"/>
      <w:pPr>
        <w:ind w:left="2006" w:hanging="284"/>
      </w:pPr>
    </w:lvl>
    <w:lvl w:ilvl="7">
      <w:numFmt w:val="bullet"/>
      <w:lvlText w:val="•"/>
      <w:lvlJc w:val="left"/>
      <w:pPr>
        <w:ind w:left="2257" w:hanging="284"/>
      </w:pPr>
    </w:lvl>
    <w:lvl w:ilvl="8">
      <w:numFmt w:val="bullet"/>
      <w:lvlText w:val="•"/>
      <w:lvlJc w:val="left"/>
      <w:pPr>
        <w:ind w:left="2508" w:hanging="284"/>
      </w:pPr>
    </w:lvl>
  </w:abstractNum>
  <w:abstractNum w:abstractNumId="5" w15:restartNumberingAfterBreak="0">
    <w:nsid w:val="4DA56CC5"/>
    <w:multiLevelType w:val="multilevel"/>
    <w:tmpl w:val="FB266E34"/>
    <w:lvl w:ilvl="0">
      <w:start w:val="1"/>
      <w:numFmt w:val="lowerRoman"/>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6" w15:restartNumberingAfterBreak="0">
    <w:nsid w:val="5DF41F87"/>
    <w:multiLevelType w:val="multilevel"/>
    <w:tmpl w:val="459C00DC"/>
    <w:lvl w:ilvl="0">
      <w:start w:val="1"/>
      <w:numFmt w:val="upperRoman"/>
      <w:lvlText w:val="%1."/>
      <w:lvlJc w:val="left"/>
      <w:pPr>
        <w:ind w:left="1080" w:firstLine="360"/>
      </w:pPr>
    </w:lvl>
    <w:lvl w:ilvl="1">
      <w:start w:val="13"/>
      <w:numFmt w:val="decimal"/>
      <w:lvlText w:val="%2."/>
      <w:lvlJc w:val="left"/>
      <w:pPr>
        <w:ind w:left="4733" w:firstLine="1080"/>
      </w:pPr>
      <w:rPr>
        <w:rFonts w:ascii="Arial" w:eastAsia="Arial" w:hAnsi="Arial" w:cs="Arial"/>
        <w:b w:val="0"/>
        <w:color w:val="000000"/>
      </w:rPr>
    </w:lvl>
    <w:lvl w:ilvl="2">
      <w:start w:val="1"/>
      <w:numFmt w:val="lowerRoman"/>
      <w:lvlText w:val="%3)"/>
      <w:lvlJc w:val="left"/>
      <w:pPr>
        <w:ind w:left="2700" w:firstLine="1980"/>
      </w:pPr>
    </w:lvl>
    <w:lvl w:ilvl="3">
      <w:start w:val="1"/>
      <w:numFmt w:val="decimal"/>
      <w:lvlText w:val="%4."/>
      <w:lvlJc w:val="left"/>
      <w:pPr>
        <w:ind w:left="2880" w:firstLine="2520"/>
      </w:pPr>
    </w:lvl>
    <w:lvl w:ilvl="4">
      <w:start w:val="1"/>
      <w:numFmt w:val="lowerRoman"/>
      <w:lvlText w:val="(%5)"/>
      <w:lvlJc w:val="left"/>
      <w:pPr>
        <w:ind w:left="3960" w:firstLine="3240"/>
      </w:pPr>
      <w:rPr>
        <w:b w:val="0"/>
        <w:i w:val="0"/>
      </w:r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5FB901F5"/>
    <w:multiLevelType w:val="multilevel"/>
    <w:tmpl w:val="8C76F7D6"/>
    <w:lvl w:ilvl="0">
      <w:numFmt w:val="bullet"/>
      <w:lvlText w:val="-"/>
      <w:lvlJc w:val="left"/>
      <w:pPr>
        <w:ind w:left="280" w:hanging="142"/>
      </w:pPr>
      <w:rPr>
        <w:rFonts w:ascii="Arial MT" w:eastAsia="Arial MT" w:hAnsi="Arial MT" w:cs="Arial MT"/>
        <w:sz w:val="16"/>
        <w:szCs w:val="16"/>
      </w:rPr>
    </w:lvl>
    <w:lvl w:ilvl="1">
      <w:numFmt w:val="bullet"/>
      <w:lvlText w:val="•"/>
      <w:lvlJc w:val="left"/>
      <w:pPr>
        <w:ind w:left="552" w:hanging="142"/>
      </w:pPr>
    </w:lvl>
    <w:lvl w:ilvl="2">
      <w:numFmt w:val="bullet"/>
      <w:lvlText w:val="•"/>
      <w:lvlJc w:val="left"/>
      <w:pPr>
        <w:ind w:left="825" w:hanging="142"/>
      </w:pPr>
    </w:lvl>
    <w:lvl w:ilvl="3">
      <w:numFmt w:val="bullet"/>
      <w:lvlText w:val="•"/>
      <w:lvlJc w:val="left"/>
      <w:pPr>
        <w:ind w:left="1098" w:hanging="142"/>
      </w:pPr>
    </w:lvl>
    <w:lvl w:ilvl="4">
      <w:numFmt w:val="bullet"/>
      <w:lvlText w:val="•"/>
      <w:lvlJc w:val="left"/>
      <w:pPr>
        <w:ind w:left="1370" w:hanging="142"/>
      </w:pPr>
    </w:lvl>
    <w:lvl w:ilvl="5">
      <w:numFmt w:val="bullet"/>
      <w:lvlText w:val="•"/>
      <w:lvlJc w:val="left"/>
      <w:pPr>
        <w:ind w:left="1643" w:hanging="141"/>
      </w:pPr>
    </w:lvl>
    <w:lvl w:ilvl="6">
      <w:numFmt w:val="bullet"/>
      <w:lvlText w:val="•"/>
      <w:lvlJc w:val="left"/>
      <w:pPr>
        <w:ind w:left="1916" w:hanging="142"/>
      </w:pPr>
    </w:lvl>
    <w:lvl w:ilvl="7">
      <w:numFmt w:val="bullet"/>
      <w:lvlText w:val="•"/>
      <w:lvlJc w:val="left"/>
      <w:pPr>
        <w:ind w:left="2188" w:hanging="141"/>
      </w:pPr>
    </w:lvl>
    <w:lvl w:ilvl="8">
      <w:numFmt w:val="bullet"/>
      <w:lvlText w:val="•"/>
      <w:lvlJc w:val="left"/>
      <w:pPr>
        <w:ind w:left="2461" w:hanging="142"/>
      </w:pPr>
    </w:lvl>
  </w:abstractNum>
  <w:abstractNum w:abstractNumId="8" w15:restartNumberingAfterBreak="0">
    <w:nsid w:val="6D632FBF"/>
    <w:multiLevelType w:val="multilevel"/>
    <w:tmpl w:val="CD863D60"/>
    <w:lvl w:ilvl="0">
      <w:numFmt w:val="bullet"/>
      <w:lvlText w:val="-"/>
      <w:lvlJc w:val="left"/>
      <w:pPr>
        <w:ind w:left="280" w:hanging="176"/>
      </w:pPr>
      <w:rPr>
        <w:rFonts w:ascii="Arial MT" w:eastAsia="Arial MT" w:hAnsi="Arial MT" w:cs="Arial MT"/>
        <w:sz w:val="16"/>
        <w:szCs w:val="16"/>
      </w:rPr>
    </w:lvl>
    <w:lvl w:ilvl="1">
      <w:numFmt w:val="bullet"/>
      <w:lvlText w:val="•"/>
      <w:lvlJc w:val="left"/>
      <w:pPr>
        <w:ind w:left="552" w:hanging="176"/>
      </w:pPr>
    </w:lvl>
    <w:lvl w:ilvl="2">
      <w:numFmt w:val="bullet"/>
      <w:lvlText w:val="•"/>
      <w:lvlJc w:val="left"/>
      <w:pPr>
        <w:ind w:left="825" w:hanging="176"/>
      </w:pPr>
    </w:lvl>
    <w:lvl w:ilvl="3">
      <w:numFmt w:val="bullet"/>
      <w:lvlText w:val="•"/>
      <w:lvlJc w:val="left"/>
      <w:pPr>
        <w:ind w:left="1098" w:hanging="176"/>
      </w:pPr>
    </w:lvl>
    <w:lvl w:ilvl="4">
      <w:numFmt w:val="bullet"/>
      <w:lvlText w:val="•"/>
      <w:lvlJc w:val="left"/>
      <w:pPr>
        <w:ind w:left="1370" w:hanging="176"/>
      </w:pPr>
    </w:lvl>
    <w:lvl w:ilvl="5">
      <w:numFmt w:val="bullet"/>
      <w:lvlText w:val="•"/>
      <w:lvlJc w:val="left"/>
      <w:pPr>
        <w:ind w:left="1643" w:hanging="175"/>
      </w:pPr>
    </w:lvl>
    <w:lvl w:ilvl="6">
      <w:numFmt w:val="bullet"/>
      <w:lvlText w:val="•"/>
      <w:lvlJc w:val="left"/>
      <w:pPr>
        <w:ind w:left="1916" w:hanging="176"/>
      </w:pPr>
    </w:lvl>
    <w:lvl w:ilvl="7">
      <w:numFmt w:val="bullet"/>
      <w:lvlText w:val="•"/>
      <w:lvlJc w:val="left"/>
      <w:pPr>
        <w:ind w:left="2188" w:hanging="175"/>
      </w:pPr>
    </w:lvl>
    <w:lvl w:ilvl="8">
      <w:numFmt w:val="bullet"/>
      <w:lvlText w:val="•"/>
      <w:lvlJc w:val="left"/>
      <w:pPr>
        <w:ind w:left="2461" w:hanging="176"/>
      </w:pPr>
    </w:lvl>
  </w:abstractNum>
  <w:abstractNum w:abstractNumId="9" w15:restartNumberingAfterBreak="0">
    <w:nsid w:val="7D6B5350"/>
    <w:multiLevelType w:val="multilevel"/>
    <w:tmpl w:val="C91E3622"/>
    <w:lvl w:ilvl="0">
      <w:numFmt w:val="bullet"/>
      <w:lvlText w:val="-"/>
      <w:lvlJc w:val="left"/>
      <w:pPr>
        <w:ind w:left="280" w:hanging="176"/>
      </w:pPr>
      <w:rPr>
        <w:rFonts w:ascii="Arial MT" w:eastAsia="Arial MT" w:hAnsi="Arial MT" w:cs="Arial MT"/>
        <w:sz w:val="16"/>
        <w:szCs w:val="16"/>
      </w:rPr>
    </w:lvl>
    <w:lvl w:ilvl="1">
      <w:numFmt w:val="bullet"/>
      <w:lvlText w:val="•"/>
      <w:lvlJc w:val="left"/>
      <w:pPr>
        <w:ind w:left="552" w:hanging="176"/>
      </w:pPr>
    </w:lvl>
    <w:lvl w:ilvl="2">
      <w:numFmt w:val="bullet"/>
      <w:lvlText w:val="•"/>
      <w:lvlJc w:val="left"/>
      <w:pPr>
        <w:ind w:left="825" w:hanging="176"/>
      </w:pPr>
    </w:lvl>
    <w:lvl w:ilvl="3">
      <w:numFmt w:val="bullet"/>
      <w:lvlText w:val="•"/>
      <w:lvlJc w:val="left"/>
      <w:pPr>
        <w:ind w:left="1098" w:hanging="176"/>
      </w:pPr>
    </w:lvl>
    <w:lvl w:ilvl="4">
      <w:numFmt w:val="bullet"/>
      <w:lvlText w:val="•"/>
      <w:lvlJc w:val="left"/>
      <w:pPr>
        <w:ind w:left="1370" w:hanging="176"/>
      </w:pPr>
    </w:lvl>
    <w:lvl w:ilvl="5">
      <w:numFmt w:val="bullet"/>
      <w:lvlText w:val="•"/>
      <w:lvlJc w:val="left"/>
      <w:pPr>
        <w:ind w:left="1643" w:hanging="175"/>
      </w:pPr>
    </w:lvl>
    <w:lvl w:ilvl="6">
      <w:numFmt w:val="bullet"/>
      <w:lvlText w:val="•"/>
      <w:lvlJc w:val="left"/>
      <w:pPr>
        <w:ind w:left="1916" w:hanging="176"/>
      </w:pPr>
    </w:lvl>
    <w:lvl w:ilvl="7">
      <w:numFmt w:val="bullet"/>
      <w:lvlText w:val="•"/>
      <w:lvlJc w:val="left"/>
      <w:pPr>
        <w:ind w:left="2188" w:hanging="175"/>
      </w:pPr>
    </w:lvl>
    <w:lvl w:ilvl="8">
      <w:numFmt w:val="bullet"/>
      <w:lvlText w:val="•"/>
      <w:lvlJc w:val="left"/>
      <w:pPr>
        <w:ind w:left="2461" w:hanging="176"/>
      </w:pPr>
    </w:lvl>
  </w:abstractNum>
  <w:num w:numId="1" w16cid:durableId="530999373">
    <w:abstractNumId w:val="4"/>
  </w:num>
  <w:num w:numId="2" w16cid:durableId="1699160153">
    <w:abstractNumId w:val="8"/>
  </w:num>
  <w:num w:numId="3" w16cid:durableId="231279108">
    <w:abstractNumId w:val="9"/>
  </w:num>
  <w:num w:numId="4" w16cid:durableId="310015993">
    <w:abstractNumId w:val="2"/>
  </w:num>
  <w:num w:numId="5" w16cid:durableId="210533846">
    <w:abstractNumId w:val="6"/>
  </w:num>
  <w:num w:numId="6" w16cid:durableId="1625115653">
    <w:abstractNumId w:val="5"/>
  </w:num>
  <w:num w:numId="7" w16cid:durableId="1007252883">
    <w:abstractNumId w:val="0"/>
  </w:num>
  <w:num w:numId="8" w16cid:durableId="1096442799">
    <w:abstractNumId w:val="1"/>
  </w:num>
  <w:num w:numId="9" w16cid:durableId="227351444">
    <w:abstractNumId w:val="3"/>
  </w:num>
  <w:num w:numId="10" w16cid:durableId="115579773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poyo Legal CC1">
    <w15:presenceInfo w15:providerId="AD" w15:userId="S::apoyolegalcc1@indecopi.gob.pe::b532e808-37ba-4043-826e-ec5480e2128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6C2"/>
    <w:rsid w:val="00041971"/>
    <w:rsid w:val="00050A83"/>
    <w:rsid w:val="00052930"/>
    <w:rsid w:val="00060983"/>
    <w:rsid w:val="0006445F"/>
    <w:rsid w:val="00074F28"/>
    <w:rsid w:val="001222B2"/>
    <w:rsid w:val="00124DF1"/>
    <w:rsid w:val="001640B6"/>
    <w:rsid w:val="0017148C"/>
    <w:rsid w:val="00173D93"/>
    <w:rsid w:val="001A13CC"/>
    <w:rsid w:val="001C6839"/>
    <w:rsid w:val="001F08D0"/>
    <w:rsid w:val="00224626"/>
    <w:rsid w:val="0022783D"/>
    <w:rsid w:val="002432A6"/>
    <w:rsid w:val="00250E06"/>
    <w:rsid w:val="00266647"/>
    <w:rsid w:val="002B6DA2"/>
    <w:rsid w:val="00331412"/>
    <w:rsid w:val="0033320A"/>
    <w:rsid w:val="00382ACA"/>
    <w:rsid w:val="003A412E"/>
    <w:rsid w:val="003D4B16"/>
    <w:rsid w:val="00405FF5"/>
    <w:rsid w:val="004325D7"/>
    <w:rsid w:val="00447D7F"/>
    <w:rsid w:val="004515C8"/>
    <w:rsid w:val="00456019"/>
    <w:rsid w:val="004A7751"/>
    <w:rsid w:val="004B1F2A"/>
    <w:rsid w:val="004C3FED"/>
    <w:rsid w:val="004D2E3A"/>
    <w:rsid w:val="00516BDF"/>
    <w:rsid w:val="00563BF5"/>
    <w:rsid w:val="00565D85"/>
    <w:rsid w:val="00573811"/>
    <w:rsid w:val="00591F83"/>
    <w:rsid w:val="005954F2"/>
    <w:rsid w:val="005A3620"/>
    <w:rsid w:val="006126F3"/>
    <w:rsid w:val="00624D24"/>
    <w:rsid w:val="00624E7A"/>
    <w:rsid w:val="00637930"/>
    <w:rsid w:val="006448E5"/>
    <w:rsid w:val="00677F33"/>
    <w:rsid w:val="00690020"/>
    <w:rsid w:val="00693205"/>
    <w:rsid w:val="006D24A3"/>
    <w:rsid w:val="006D77DF"/>
    <w:rsid w:val="006E1D18"/>
    <w:rsid w:val="00755D0F"/>
    <w:rsid w:val="007741C0"/>
    <w:rsid w:val="00784010"/>
    <w:rsid w:val="00797981"/>
    <w:rsid w:val="007F7B14"/>
    <w:rsid w:val="00834112"/>
    <w:rsid w:val="008A56C2"/>
    <w:rsid w:val="008B50D8"/>
    <w:rsid w:val="008C0606"/>
    <w:rsid w:val="008D1415"/>
    <w:rsid w:val="00900969"/>
    <w:rsid w:val="00910CE3"/>
    <w:rsid w:val="009676B0"/>
    <w:rsid w:val="009847D8"/>
    <w:rsid w:val="009C45FA"/>
    <w:rsid w:val="009D3E6D"/>
    <w:rsid w:val="009D445A"/>
    <w:rsid w:val="00AC7AC3"/>
    <w:rsid w:val="00B145B6"/>
    <w:rsid w:val="00B23BDF"/>
    <w:rsid w:val="00B54D29"/>
    <w:rsid w:val="00B55829"/>
    <w:rsid w:val="00BA3650"/>
    <w:rsid w:val="00BF0212"/>
    <w:rsid w:val="00C10236"/>
    <w:rsid w:val="00C3728F"/>
    <w:rsid w:val="00CD5D0F"/>
    <w:rsid w:val="00D3316B"/>
    <w:rsid w:val="00D916E1"/>
    <w:rsid w:val="00DA3A33"/>
    <w:rsid w:val="00DC2BC6"/>
    <w:rsid w:val="00DE5549"/>
    <w:rsid w:val="00DF00F6"/>
    <w:rsid w:val="00E03F3D"/>
    <w:rsid w:val="00E3454A"/>
    <w:rsid w:val="00E43F67"/>
    <w:rsid w:val="00E45CF8"/>
    <w:rsid w:val="00E909A4"/>
    <w:rsid w:val="00ED77D7"/>
    <w:rsid w:val="00F12F25"/>
    <w:rsid w:val="00FA76F6"/>
    <w:rsid w:val="00FC4FDA"/>
    <w:rsid w:val="00FE77A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55861"/>
  <w15:docId w15:val="{37661369-7103-4B06-BAF6-0EDE04C75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2AC1"/>
    <w:rPr>
      <w:color w:val="000000"/>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1D3E4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D3E48"/>
    <w:rPr>
      <w:rFonts w:ascii="Calibri" w:eastAsia="Calibri" w:hAnsi="Calibri" w:cs="Calibri"/>
      <w:color w:val="000000"/>
      <w:lang w:eastAsia="es-PE"/>
    </w:rPr>
  </w:style>
  <w:style w:type="paragraph" w:styleId="Piedepgina">
    <w:name w:val="footer"/>
    <w:basedOn w:val="Normal"/>
    <w:link w:val="PiedepginaCar"/>
    <w:uiPriority w:val="99"/>
    <w:unhideWhenUsed/>
    <w:rsid w:val="001D3E4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D3E48"/>
    <w:rPr>
      <w:rFonts w:ascii="Calibri" w:eastAsia="Calibri" w:hAnsi="Calibri" w:cs="Calibri"/>
      <w:color w:val="000000"/>
      <w:lang w:eastAsia="es-PE"/>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1D3E48"/>
    <w:pPr>
      <w:ind w:left="720"/>
      <w:contextualSpacing/>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Ca1, Car,C"/>
    <w:basedOn w:val="Normal"/>
    <w:link w:val="TextonotapieCar"/>
    <w:uiPriority w:val="99"/>
    <w:unhideWhenUsed/>
    <w:qFormat/>
    <w:rsid w:val="001D3E4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1D3E48"/>
    <w:rPr>
      <w:rFonts w:ascii="Calibri" w:eastAsia="Calibri" w:hAnsi="Calibri" w:cs="Calibri"/>
      <w:color w:val="000000"/>
      <w:sz w:val="20"/>
      <w:szCs w:val="20"/>
      <w:lang w:eastAsia="es-PE"/>
    </w:r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Texto nota pie1,Car21,C1,Ca Ca"/>
    <w:basedOn w:val="Fuentedeprrafopredeter"/>
    <w:link w:val="Texto1"/>
    <w:unhideWhenUsed/>
    <w:qFormat/>
    <w:rsid w:val="001D3E48"/>
    <w:rPr>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D3E48"/>
    <w:rPr>
      <w:rFonts w:ascii="Calibri" w:eastAsia="Calibri" w:hAnsi="Calibri" w:cs="Calibri"/>
      <w:color w:val="000000"/>
      <w:lang w:eastAsia="es-PE"/>
    </w:rPr>
  </w:style>
  <w:style w:type="paragraph" w:styleId="Sinespaciado">
    <w:name w:val="No Spacing"/>
    <w:uiPriority w:val="1"/>
    <w:qFormat/>
    <w:rsid w:val="001D3E48"/>
    <w:pPr>
      <w:spacing w:after="0" w:line="240" w:lineRule="auto"/>
    </w:pPr>
    <w:rPr>
      <w:color w:val="000000"/>
    </w:rPr>
  </w:style>
  <w:style w:type="character" w:customStyle="1" w:styleId="normaltextrun">
    <w:name w:val="normaltextrun"/>
    <w:basedOn w:val="Fuentedeprrafopredeter"/>
    <w:rsid w:val="001D3E48"/>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1D3E48"/>
    <w:pPr>
      <w:spacing w:after="0" w:line="240" w:lineRule="auto"/>
    </w:pPr>
    <w:rPr>
      <w:rFonts w:asciiTheme="minorHAnsi" w:eastAsiaTheme="minorHAnsi" w:hAnsiTheme="minorHAnsi" w:cstheme="minorBidi"/>
      <w:color w:val="auto"/>
      <w:vertAlign w:val="superscript"/>
      <w:lang w:eastAsia="en-US"/>
    </w:rPr>
  </w:style>
  <w:style w:type="table" w:customStyle="1" w:styleId="NormalTable0">
    <w:name w:val="Normal Table0"/>
    <w:uiPriority w:val="2"/>
    <w:semiHidden/>
    <w:unhideWhenUsed/>
    <w:qFormat/>
    <w:rsid w:val="001D3E4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styleId="Hipervnculo">
    <w:name w:val="Hyperlink"/>
    <w:basedOn w:val="Fuentedeprrafopredeter"/>
    <w:uiPriority w:val="99"/>
    <w:unhideWhenUsed/>
    <w:rsid w:val="001D3E48"/>
    <w:rPr>
      <w:color w:val="0563C1" w:themeColor="hyperlink"/>
      <w:u w:val="single"/>
    </w:rPr>
  </w:style>
  <w:style w:type="paragraph" w:customStyle="1" w:styleId="Default">
    <w:name w:val="Default"/>
    <w:rsid w:val="00567634"/>
    <w:pPr>
      <w:autoSpaceDE w:val="0"/>
      <w:autoSpaceDN w:val="0"/>
      <w:adjustRightInd w:val="0"/>
      <w:spacing w:after="0" w:line="240" w:lineRule="auto"/>
    </w:pPr>
    <w:rPr>
      <w:rFonts w:ascii="Times New Roman" w:hAnsi="Times New Roman" w:cs="Times New Roman"/>
      <w:color w:val="000000"/>
      <w:sz w:val="24"/>
      <w:szCs w:val="24"/>
    </w:rPr>
  </w:style>
  <w:style w:type="paragraph" w:styleId="Revisin">
    <w:name w:val="Revision"/>
    <w:hidden/>
    <w:uiPriority w:val="99"/>
    <w:semiHidden/>
    <w:rsid w:val="00761826"/>
    <w:pPr>
      <w:spacing w:after="0" w:line="240" w:lineRule="auto"/>
    </w:pPr>
    <w:rPr>
      <w:color w:val="000000"/>
    </w:rPr>
  </w:style>
  <w:style w:type="character" w:styleId="Refdecomentario">
    <w:name w:val="annotation reference"/>
    <w:basedOn w:val="Fuentedeprrafopredeter"/>
    <w:uiPriority w:val="99"/>
    <w:semiHidden/>
    <w:unhideWhenUsed/>
    <w:rsid w:val="00761826"/>
    <w:rPr>
      <w:sz w:val="16"/>
      <w:szCs w:val="16"/>
    </w:rPr>
  </w:style>
  <w:style w:type="paragraph" w:styleId="Textocomentario">
    <w:name w:val="annotation text"/>
    <w:basedOn w:val="Normal"/>
    <w:link w:val="TextocomentarioCar"/>
    <w:uiPriority w:val="99"/>
    <w:unhideWhenUsed/>
    <w:rsid w:val="00761826"/>
    <w:pPr>
      <w:spacing w:line="240" w:lineRule="auto"/>
    </w:pPr>
    <w:rPr>
      <w:sz w:val="20"/>
      <w:szCs w:val="20"/>
    </w:rPr>
  </w:style>
  <w:style w:type="character" w:customStyle="1" w:styleId="TextocomentarioCar">
    <w:name w:val="Texto comentario Car"/>
    <w:basedOn w:val="Fuentedeprrafopredeter"/>
    <w:link w:val="Textocomentario"/>
    <w:uiPriority w:val="99"/>
    <w:rsid w:val="00761826"/>
    <w:rPr>
      <w:rFonts w:ascii="Calibri" w:eastAsia="Calibri" w:hAnsi="Calibri" w:cs="Calibri"/>
      <w:color w:val="000000"/>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761826"/>
    <w:rPr>
      <w:b/>
      <w:bCs/>
    </w:rPr>
  </w:style>
  <w:style w:type="character" w:customStyle="1" w:styleId="AsuntodelcomentarioCar">
    <w:name w:val="Asunto del comentario Car"/>
    <w:basedOn w:val="TextocomentarioCar"/>
    <w:link w:val="Asuntodelcomentario"/>
    <w:uiPriority w:val="99"/>
    <w:semiHidden/>
    <w:rsid w:val="00761826"/>
    <w:rPr>
      <w:rFonts w:ascii="Calibri" w:eastAsia="Calibri" w:hAnsi="Calibri" w:cs="Calibri"/>
      <w:b/>
      <w:bCs/>
      <w:color w:val="000000"/>
      <w:sz w:val="20"/>
      <w:szCs w:val="20"/>
      <w:lang w:eastAsia="es-PE"/>
    </w:rPr>
  </w:style>
  <w:style w:type="character" w:styleId="Mencinsinresolver">
    <w:name w:val="Unresolved Mention"/>
    <w:basedOn w:val="Fuentedeprrafopredeter"/>
    <w:uiPriority w:val="99"/>
    <w:semiHidden/>
    <w:unhideWhenUsed/>
    <w:rsid w:val="007849AF"/>
    <w:rPr>
      <w:color w:val="605E5C"/>
      <w:shd w:val="clear" w:color="auto" w:fill="E1DFDD"/>
    </w:rPr>
  </w:style>
  <w:style w:type="table" w:styleId="Tablaconcuadrcula">
    <w:name w:val="Table Grid"/>
    <w:basedOn w:val="Tablanormal"/>
    <w:uiPriority w:val="39"/>
    <w:rsid w:val="00FD0B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3368D6"/>
    <w:rPr>
      <w:color w:val="954F72" w:themeColor="followedHyperlink"/>
      <w:u w:val="singl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table" w:customStyle="1" w:styleId="a0">
    <w:basedOn w:val="TableNormal"/>
    <w:pPr>
      <w:widowControl w:val="0"/>
      <w:spacing w:after="0" w:line="240" w:lineRule="auto"/>
    </w:pPr>
    <w:tblPr>
      <w:tblStyleRowBandSize w:val="1"/>
      <w:tblStyleColBandSize w:val="1"/>
    </w:tblPr>
  </w:style>
  <w:style w:type="character" w:styleId="Textoennegrita">
    <w:name w:val="Strong"/>
    <w:basedOn w:val="Fuentedeprrafopredeter"/>
    <w:uiPriority w:val="22"/>
    <w:qFormat/>
    <w:rsid w:val="002B6D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hyperlink" Target="http://www.indecopi.gob.p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z6+ZExFwrZn26/hzQ7RMWr7g1Q==">CgMxLjAyCGguZ2pkZ3hzMgloLjMwajB6bGwyCWguMWZvYjl0ZTIJaC4zem55c2g3MgloLjJldDkycDAyCGgudHlqY3d0OAByITFtN1hjV0EzUmlEczZmUEtSdjc2clFFV0VNY2Mya0JzNw==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11</Pages>
  <Words>3290</Words>
  <Characters>16881</Characters>
  <Application>Microsoft Office Word</Application>
  <DocSecurity>0</DocSecurity>
  <Lines>392</Lines>
  <Paragraphs>126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Miguel Rodrigo Salerno Boggio</dc:creator>
  <cp:lastModifiedBy>Apoyo Legal CC1</cp:lastModifiedBy>
  <cp:revision>86</cp:revision>
  <dcterms:created xsi:type="dcterms:W3CDTF">2024-05-03T14:30:00Z</dcterms:created>
  <dcterms:modified xsi:type="dcterms:W3CDTF">2026-01-20T17:11:00Z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0x010100FA902DF5F15BEC4A96254BD29D6B1FE6</vt:lpwstr>
  </property>
  <property fmtid="{D5CDD505-2E9C-101B-9397-08002B2CF9AE}" pid="3" name="_dlc_DocIdItemGuid">
    <vt:lpwstr>9d5dd890-dd41-4516-9dbc-1c1f881c7040</vt:lpwstr>
  </property>
</Properties>
</file>