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C36F5D" w14:textId="286BAEBB" w:rsidR="002F0AC5" w:rsidRPr="00DA05A5" w:rsidRDefault="002F0AC5" w:rsidP="008E6F31">
      <w:pPr>
        <w:tabs>
          <w:tab w:val="left" w:pos="1985"/>
          <w:tab w:val="left" w:pos="2520"/>
        </w:tabs>
        <w:jc w:val="both"/>
        <w:rPr>
          <w:rFonts w:ascii="Arial Narrow" w:hAnsi="Arial Narrow" w:cs="Arial"/>
          <w:b/>
          <w:bCs/>
          <w:sz w:val="22"/>
          <w:szCs w:val="22"/>
          <w:lang w:val="es-PE"/>
        </w:rPr>
      </w:pPr>
      <w:r w:rsidRPr="00DA05A5">
        <w:rPr>
          <w:rFonts w:ascii="Arial Narrow" w:hAnsi="Arial Narrow" w:cs="Arial"/>
          <w:b/>
          <w:bCs/>
          <w:sz w:val="22"/>
          <w:szCs w:val="22"/>
          <w:lang w:val="es-PE"/>
        </w:rPr>
        <w:t>EXPEDIENTE Nº</w:t>
      </w:r>
      <w:r w:rsidRPr="00DA05A5">
        <w:rPr>
          <w:rFonts w:ascii="Arial Narrow" w:hAnsi="Arial Narrow" w:cs="Arial"/>
          <w:b/>
          <w:bCs/>
          <w:sz w:val="22"/>
          <w:szCs w:val="22"/>
          <w:lang w:val="es-PE"/>
        </w:rPr>
        <w:tab/>
        <w:t>:</w:t>
      </w:r>
      <w:r w:rsidRPr="00DA05A5">
        <w:rPr>
          <w:rFonts w:ascii="Arial Narrow" w:hAnsi="Arial Narrow" w:cs="Arial"/>
          <w:b/>
          <w:bCs/>
          <w:sz w:val="22"/>
          <w:szCs w:val="22"/>
          <w:lang w:val="es-PE"/>
        </w:rPr>
        <w:tab/>
      </w:r>
      <w:r w:rsidR="00727DAB">
        <w:rPr>
          <w:rFonts w:ascii="Arial Narrow" w:hAnsi="Arial Narrow" w:cs="Arial"/>
          <w:b/>
          <w:bCs/>
          <w:sz w:val="22"/>
          <w:szCs w:val="22"/>
          <w:lang w:val="es-PE"/>
        </w:rPr>
        <w:t>0</w:t>
      </w:r>
      <w:r w:rsidR="00647B48">
        <w:rPr>
          <w:rFonts w:ascii="Arial Narrow" w:hAnsi="Arial Narrow" w:cs="Arial"/>
          <w:b/>
          <w:bCs/>
          <w:sz w:val="22"/>
          <w:szCs w:val="22"/>
          <w:lang w:val="es-PE"/>
        </w:rPr>
        <w:t>634</w:t>
      </w:r>
      <w:r w:rsidR="0050234F" w:rsidRPr="00DA05A5">
        <w:rPr>
          <w:rFonts w:ascii="Arial Narrow" w:hAnsi="Arial Narrow" w:cs="Arial"/>
          <w:b/>
          <w:bCs/>
          <w:sz w:val="22"/>
          <w:szCs w:val="22"/>
          <w:lang w:val="es-PE"/>
        </w:rPr>
        <w:t>-</w:t>
      </w:r>
      <w:r w:rsidRPr="00DA05A5">
        <w:rPr>
          <w:rFonts w:ascii="Arial Narrow" w:hAnsi="Arial Narrow" w:cs="Arial"/>
          <w:b/>
          <w:bCs/>
          <w:sz w:val="22"/>
          <w:szCs w:val="22"/>
          <w:lang w:val="es-PE"/>
        </w:rPr>
        <w:t>20</w:t>
      </w:r>
      <w:r w:rsidR="001610D1" w:rsidRPr="00DA05A5">
        <w:rPr>
          <w:rFonts w:ascii="Arial Narrow" w:hAnsi="Arial Narrow" w:cs="Arial"/>
          <w:b/>
          <w:bCs/>
          <w:sz w:val="22"/>
          <w:szCs w:val="22"/>
          <w:lang w:val="es-PE"/>
        </w:rPr>
        <w:t>2</w:t>
      </w:r>
      <w:r w:rsidR="00647B48">
        <w:rPr>
          <w:rFonts w:ascii="Arial Narrow" w:hAnsi="Arial Narrow" w:cs="Arial"/>
          <w:b/>
          <w:bCs/>
          <w:sz w:val="22"/>
          <w:szCs w:val="22"/>
          <w:lang w:val="es-PE"/>
        </w:rPr>
        <w:t>4</w:t>
      </w:r>
      <w:r w:rsidRPr="00DA05A5">
        <w:rPr>
          <w:rFonts w:ascii="Arial Narrow" w:hAnsi="Arial Narrow" w:cs="Arial"/>
          <w:b/>
          <w:bCs/>
          <w:sz w:val="22"/>
          <w:szCs w:val="22"/>
          <w:lang w:val="es-PE"/>
        </w:rPr>
        <w:t>/CC1</w:t>
      </w:r>
    </w:p>
    <w:p w14:paraId="6393F583" w14:textId="6DB5A459" w:rsidR="002F0AC5" w:rsidRPr="00DA05A5" w:rsidRDefault="002F0AC5" w:rsidP="008E6F31">
      <w:pPr>
        <w:tabs>
          <w:tab w:val="left" w:pos="1985"/>
          <w:tab w:val="left" w:pos="2520"/>
        </w:tabs>
        <w:ind w:left="2520" w:hanging="2520"/>
        <w:jc w:val="both"/>
        <w:rPr>
          <w:rFonts w:ascii="Arial Narrow" w:hAnsi="Arial Narrow" w:cs="Arial"/>
          <w:b/>
          <w:sz w:val="22"/>
          <w:szCs w:val="22"/>
        </w:rPr>
      </w:pPr>
      <w:r w:rsidRPr="00DA05A5">
        <w:rPr>
          <w:rFonts w:ascii="Arial Narrow" w:hAnsi="Arial Narrow" w:cs="Arial"/>
          <w:b/>
          <w:bCs/>
          <w:sz w:val="22"/>
          <w:szCs w:val="22"/>
          <w:lang w:val="es-PE"/>
        </w:rPr>
        <w:t>DENUNCIANTE</w:t>
      </w:r>
      <w:r w:rsidRPr="00DA05A5">
        <w:rPr>
          <w:rFonts w:ascii="Arial Narrow" w:hAnsi="Arial Narrow" w:cs="Arial"/>
          <w:b/>
          <w:bCs/>
          <w:sz w:val="22"/>
          <w:szCs w:val="22"/>
          <w:lang w:val="es-PE"/>
        </w:rPr>
        <w:tab/>
        <w:t>:</w:t>
      </w:r>
      <w:r w:rsidRPr="00DA05A5">
        <w:rPr>
          <w:rFonts w:ascii="Arial Narrow" w:hAnsi="Arial Narrow" w:cs="Arial"/>
          <w:b/>
          <w:bCs/>
          <w:sz w:val="22"/>
          <w:szCs w:val="22"/>
          <w:lang w:val="es-PE"/>
        </w:rPr>
        <w:tab/>
      </w:r>
      <w:r w:rsidR="00647B48">
        <w:rPr>
          <w:rFonts w:ascii="Arial Narrow" w:hAnsi="Arial Narrow" w:cs="Arial"/>
          <w:b/>
          <w:sz w:val="22"/>
          <w:szCs w:val="22"/>
        </w:rPr>
        <w:t>GRAND HOUSE S.A.C.</w:t>
      </w:r>
      <w:r w:rsidR="0050234F" w:rsidRPr="00DA05A5">
        <w:rPr>
          <w:rFonts w:ascii="Arial Narrow" w:hAnsi="Arial Narrow" w:cs="Arial"/>
          <w:b/>
          <w:sz w:val="22"/>
          <w:szCs w:val="22"/>
        </w:rPr>
        <w:t xml:space="preserve"> </w:t>
      </w:r>
    </w:p>
    <w:p w14:paraId="3E3E7B4E" w14:textId="6C6EDCD2" w:rsidR="002F0AC5" w:rsidRPr="00DA05A5" w:rsidRDefault="002F0AC5" w:rsidP="008E6F31">
      <w:pPr>
        <w:tabs>
          <w:tab w:val="left" w:pos="1985"/>
          <w:tab w:val="left" w:pos="2520"/>
        </w:tabs>
        <w:ind w:left="2520" w:hanging="2520"/>
        <w:jc w:val="both"/>
        <w:rPr>
          <w:rFonts w:ascii="Arial Narrow" w:hAnsi="Arial Narrow" w:cs="Arial"/>
          <w:b/>
          <w:bCs/>
          <w:sz w:val="22"/>
          <w:szCs w:val="22"/>
          <w:lang w:val="es-PE"/>
        </w:rPr>
      </w:pPr>
      <w:r w:rsidRPr="00DA05A5">
        <w:rPr>
          <w:rFonts w:ascii="Arial Narrow" w:hAnsi="Arial Narrow" w:cs="Arial"/>
          <w:b/>
          <w:bCs/>
          <w:sz w:val="22"/>
          <w:szCs w:val="22"/>
          <w:lang w:val="es-PE"/>
        </w:rPr>
        <w:t>DENUNCIADO</w:t>
      </w:r>
      <w:r w:rsidRPr="00DA05A5">
        <w:rPr>
          <w:rFonts w:ascii="Arial Narrow" w:hAnsi="Arial Narrow" w:cs="Arial"/>
          <w:b/>
          <w:bCs/>
          <w:sz w:val="22"/>
          <w:szCs w:val="22"/>
          <w:lang w:val="es-PE"/>
        </w:rPr>
        <w:tab/>
        <w:t>:</w:t>
      </w:r>
      <w:r w:rsidRPr="00DA05A5">
        <w:rPr>
          <w:rFonts w:ascii="Arial Narrow" w:hAnsi="Arial Narrow" w:cs="Arial"/>
          <w:b/>
          <w:bCs/>
          <w:sz w:val="22"/>
          <w:szCs w:val="22"/>
          <w:lang w:val="es-PE"/>
        </w:rPr>
        <w:tab/>
      </w:r>
      <w:r w:rsidR="00647B48">
        <w:rPr>
          <w:rFonts w:ascii="Arial Narrow" w:hAnsi="Arial Narrow" w:cs="Arial"/>
          <w:b/>
          <w:bCs/>
          <w:sz w:val="22"/>
          <w:szCs w:val="22"/>
          <w:lang w:val="es-PE"/>
        </w:rPr>
        <w:t>TIENDAS POR DEPARTAMENTO RIPLEY</w:t>
      </w:r>
      <w:r w:rsidR="0024117D" w:rsidRPr="00DA05A5">
        <w:rPr>
          <w:rFonts w:ascii="Arial Narrow" w:hAnsi="Arial Narrow" w:cs="Arial"/>
          <w:b/>
          <w:bCs/>
          <w:sz w:val="22"/>
          <w:szCs w:val="22"/>
          <w:lang w:val="es-PE"/>
        </w:rPr>
        <w:t xml:space="preserve"> S.</w:t>
      </w:r>
      <w:r w:rsidR="00A53DB2">
        <w:rPr>
          <w:rFonts w:ascii="Arial Narrow" w:hAnsi="Arial Narrow" w:cs="Arial"/>
          <w:b/>
          <w:bCs/>
          <w:sz w:val="22"/>
          <w:szCs w:val="22"/>
          <w:lang w:val="es-PE"/>
        </w:rPr>
        <w:t>A.</w:t>
      </w:r>
      <w:r w:rsidR="00647B48">
        <w:rPr>
          <w:rFonts w:ascii="Arial Narrow" w:hAnsi="Arial Narrow" w:cs="Arial"/>
          <w:b/>
          <w:bCs/>
          <w:sz w:val="22"/>
          <w:szCs w:val="22"/>
          <w:lang w:val="es-PE"/>
        </w:rPr>
        <w:t>C</w:t>
      </w:r>
      <w:r w:rsidR="00EA7590" w:rsidRPr="00DA05A5">
        <w:rPr>
          <w:rFonts w:ascii="Arial Narrow" w:hAnsi="Arial Narrow" w:cs="Arial"/>
          <w:b/>
          <w:bCs/>
          <w:sz w:val="22"/>
          <w:szCs w:val="22"/>
          <w:lang w:val="es-PE"/>
        </w:rPr>
        <w:t>.</w:t>
      </w:r>
      <w:r w:rsidR="00E453D5" w:rsidRPr="00DA05A5">
        <w:rPr>
          <w:rFonts w:ascii="Arial Narrow" w:hAnsi="Arial Narrow" w:cs="Arial"/>
          <w:b/>
          <w:bCs/>
          <w:sz w:val="22"/>
          <w:szCs w:val="22"/>
          <w:lang w:val="es-PE"/>
        </w:rPr>
        <w:t xml:space="preserve"> </w:t>
      </w:r>
    </w:p>
    <w:p w14:paraId="7E0D3B92" w14:textId="196CD87E" w:rsidR="002F0AC5" w:rsidRPr="00DA05A5" w:rsidRDefault="002F0AC5" w:rsidP="008E6F31">
      <w:pPr>
        <w:tabs>
          <w:tab w:val="left" w:pos="1985"/>
          <w:tab w:val="left" w:pos="2520"/>
        </w:tabs>
        <w:jc w:val="both"/>
        <w:rPr>
          <w:rFonts w:ascii="Arial Narrow" w:hAnsi="Arial Narrow" w:cs="Arial"/>
          <w:b/>
          <w:bCs/>
          <w:sz w:val="22"/>
          <w:szCs w:val="22"/>
          <w:lang w:val="es-PE"/>
        </w:rPr>
      </w:pPr>
      <w:r w:rsidRPr="00DA05A5">
        <w:rPr>
          <w:rFonts w:ascii="Arial Narrow" w:hAnsi="Arial Narrow" w:cs="Arial"/>
          <w:b/>
          <w:bCs/>
          <w:sz w:val="22"/>
          <w:szCs w:val="22"/>
          <w:lang w:val="es-PE"/>
        </w:rPr>
        <w:t>RESOLUCIÓN Nº</w:t>
      </w:r>
      <w:r w:rsidRPr="00DA05A5">
        <w:rPr>
          <w:rFonts w:ascii="Arial Narrow" w:hAnsi="Arial Narrow" w:cs="Arial"/>
          <w:b/>
          <w:bCs/>
          <w:sz w:val="22"/>
          <w:szCs w:val="22"/>
          <w:lang w:val="es-PE"/>
        </w:rPr>
        <w:tab/>
        <w:t>:</w:t>
      </w:r>
      <w:r w:rsidRPr="00DA05A5">
        <w:rPr>
          <w:rFonts w:ascii="Arial Narrow" w:hAnsi="Arial Narrow" w:cs="Arial"/>
          <w:b/>
          <w:bCs/>
          <w:sz w:val="22"/>
          <w:szCs w:val="22"/>
          <w:lang w:val="es-PE"/>
        </w:rPr>
        <w:tab/>
      </w:r>
      <w:r w:rsidR="00647B48">
        <w:rPr>
          <w:rFonts w:ascii="Arial Narrow" w:hAnsi="Arial Narrow" w:cs="Arial"/>
          <w:b/>
          <w:bCs/>
          <w:sz w:val="22"/>
          <w:szCs w:val="22"/>
          <w:lang w:val="es-PE"/>
        </w:rPr>
        <w:t>2</w:t>
      </w:r>
    </w:p>
    <w:p w14:paraId="5CB340E1" w14:textId="77777777" w:rsidR="002F0AC5" w:rsidRPr="00DA05A5" w:rsidRDefault="002F0AC5" w:rsidP="008E6F31">
      <w:pPr>
        <w:jc w:val="both"/>
        <w:rPr>
          <w:rFonts w:ascii="Arial Narrow" w:hAnsi="Arial Narrow" w:cs="Arial"/>
          <w:sz w:val="22"/>
          <w:szCs w:val="22"/>
          <w:lang w:val="es-PE"/>
        </w:rPr>
      </w:pPr>
    </w:p>
    <w:p w14:paraId="63CCE6DB" w14:textId="691878A6" w:rsidR="002F0AC5" w:rsidRPr="00DA05A5" w:rsidRDefault="002F0AC5" w:rsidP="008E6F31">
      <w:pPr>
        <w:jc w:val="both"/>
        <w:rPr>
          <w:rFonts w:ascii="Arial Narrow" w:hAnsi="Arial Narrow" w:cs="Arial"/>
          <w:sz w:val="22"/>
          <w:szCs w:val="22"/>
          <w:lang w:val="es-PE"/>
        </w:rPr>
      </w:pPr>
      <w:r w:rsidRPr="00DA05A5">
        <w:rPr>
          <w:rFonts w:ascii="Arial Narrow" w:hAnsi="Arial Narrow" w:cs="Arial"/>
          <w:sz w:val="22"/>
          <w:szCs w:val="22"/>
          <w:lang w:val="es-PE"/>
        </w:rPr>
        <w:t xml:space="preserve">Lima, </w:t>
      </w:r>
      <w:r w:rsidR="00573F46">
        <w:rPr>
          <w:rFonts w:ascii="Arial Narrow" w:hAnsi="Arial Narrow" w:cs="Arial"/>
          <w:sz w:val="22"/>
          <w:szCs w:val="22"/>
          <w:lang w:val="es-PE"/>
        </w:rPr>
        <w:t>20 de junio</w:t>
      </w:r>
      <w:r w:rsidRPr="00DA05A5">
        <w:rPr>
          <w:rFonts w:ascii="Arial Narrow" w:hAnsi="Arial Narrow" w:cs="Arial"/>
          <w:sz w:val="22"/>
          <w:szCs w:val="22"/>
          <w:lang w:val="es-PE"/>
        </w:rPr>
        <w:t xml:space="preserve"> de 202</w:t>
      </w:r>
      <w:r w:rsidR="0015752F" w:rsidRPr="00DA05A5">
        <w:rPr>
          <w:rFonts w:ascii="Arial Narrow" w:hAnsi="Arial Narrow" w:cs="Arial"/>
          <w:sz w:val="22"/>
          <w:szCs w:val="22"/>
          <w:lang w:val="es-PE"/>
        </w:rPr>
        <w:t>4</w:t>
      </w:r>
    </w:p>
    <w:p w14:paraId="46C147B5" w14:textId="77777777" w:rsidR="002F0AC5" w:rsidRPr="00DA05A5" w:rsidRDefault="002F0AC5" w:rsidP="008E6F31">
      <w:pPr>
        <w:tabs>
          <w:tab w:val="left" w:pos="-720"/>
          <w:tab w:val="left" w:pos="0"/>
        </w:tabs>
        <w:suppressAutoHyphens/>
        <w:jc w:val="both"/>
        <w:rPr>
          <w:rFonts w:ascii="Arial Narrow" w:hAnsi="Arial Narrow" w:cs="Arial"/>
          <w:b/>
          <w:spacing w:val="-3"/>
          <w:sz w:val="22"/>
          <w:szCs w:val="22"/>
          <w:lang w:val="es-PE"/>
        </w:rPr>
      </w:pPr>
    </w:p>
    <w:p w14:paraId="228DED14" w14:textId="1E60414B" w:rsidR="002F0AC5" w:rsidRPr="00DA05A5" w:rsidRDefault="002F0AC5" w:rsidP="008E6F31">
      <w:pPr>
        <w:tabs>
          <w:tab w:val="left" w:pos="-720"/>
          <w:tab w:val="left" w:pos="0"/>
        </w:tabs>
        <w:suppressAutoHyphens/>
        <w:jc w:val="both"/>
        <w:rPr>
          <w:rFonts w:ascii="Arial Narrow" w:hAnsi="Arial Narrow" w:cs="Arial"/>
          <w:spacing w:val="-3"/>
          <w:sz w:val="22"/>
          <w:szCs w:val="22"/>
        </w:rPr>
      </w:pPr>
      <w:r w:rsidRPr="00DA05A5">
        <w:rPr>
          <w:rFonts w:ascii="Arial Narrow" w:hAnsi="Arial Narrow" w:cs="Arial"/>
          <w:b/>
          <w:spacing w:val="-3"/>
          <w:sz w:val="22"/>
          <w:szCs w:val="22"/>
        </w:rPr>
        <w:t>VISTO</w:t>
      </w:r>
      <w:r w:rsidR="00866C54" w:rsidRPr="00DA05A5">
        <w:rPr>
          <w:rFonts w:ascii="Arial Narrow" w:hAnsi="Arial Narrow" w:cs="Arial"/>
          <w:b/>
          <w:spacing w:val="-3"/>
          <w:sz w:val="22"/>
          <w:szCs w:val="22"/>
        </w:rPr>
        <w:t>S</w:t>
      </w:r>
      <w:r w:rsidRPr="00DA05A5">
        <w:rPr>
          <w:rFonts w:ascii="Arial Narrow" w:hAnsi="Arial Narrow" w:cs="Arial"/>
          <w:b/>
          <w:spacing w:val="-3"/>
          <w:sz w:val="22"/>
          <w:szCs w:val="22"/>
        </w:rPr>
        <w:t>:</w:t>
      </w:r>
      <w:r w:rsidRPr="00DA05A5">
        <w:rPr>
          <w:rFonts w:ascii="Arial Narrow" w:hAnsi="Arial Narrow" w:cs="Arial"/>
          <w:spacing w:val="-3"/>
          <w:sz w:val="22"/>
          <w:szCs w:val="22"/>
        </w:rPr>
        <w:t xml:space="preserve"> </w:t>
      </w:r>
      <w:r w:rsidR="00BA05B0">
        <w:rPr>
          <w:rFonts w:ascii="Arial Narrow" w:hAnsi="Arial Narrow" w:cs="Arial"/>
          <w:spacing w:val="-3"/>
          <w:sz w:val="22"/>
          <w:szCs w:val="22"/>
        </w:rPr>
        <w:t>el estado del expediente</w:t>
      </w:r>
      <w:r w:rsidR="00573F46">
        <w:rPr>
          <w:rFonts w:ascii="Arial Narrow" w:hAnsi="Arial Narrow" w:cs="Arial"/>
          <w:spacing w:val="-3"/>
          <w:sz w:val="22"/>
          <w:szCs w:val="22"/>
        </w:rPr>
        <w:t>.</w:t>
      </w:r>
    </w:p>
    <w:p w14:paraId="1617820D" w14:textId="77777777" w:rsidR="00866C54" w:rsidRPr="00DA05A5" w:rsidRDefault="00866C54" w:rsidP="008E6F31">
      <w:pPr>
        <w:tabs>
          <w:tab w:val="left" w:pos="-720"/>
          <w:tab w:val="left" w:pos="0"/>
        </w:tabs>
        <w:suppressAutoHyphens/>
        <w:jc w:val="both"/>
        <w:rPr>
          <w:rFonts w:ascii="Arial Narrow" w:hAnsi="Arial Narrow" w:cs="Arial"/>
          <w:spacing w:val="-3"/>
          <w:sz w:val="22"/>
          <w:szCs w:val="22"/>
        </w:rPr>
      </w:pPr>
    </w:p>
    <w:p w14:paraId="39CCE152" w14:textId="77777777" w:rsidR="002F0AC5" w:rsidRDefault="002F0AC5" w:rsidP="008E6F31">
      <w:pPr>
        <w:tabs>
          <w:tab w:val="left" w:pos="-720"/>
          <w:tab w:val="left" w:pos="0"/>
        </w:tabs>
        <w:suppressAutoHyphens/>
        <w:jc w:val="both"/>
        <w:rPr>
          <w:rFonts w:ascii="Arial Narrow" w:eastAsia="Calibri" w:hAnsi="Arial Narrow" w:cs="Arial"/>
          <w:b/>
          <w:spacing w:val="-3"/>
          <w:sz w:val="22"/>
          <w:szCs w:val="22"/>
          <w:lang w:val="es-PE" w:eastAsia="en-US"/>
        </w:rPr>
      </w:pPr>
      <w:r w:rsidRPr="00DA05A5">
        <w:rPr>
          <w:rFonts w:ascii="Arial Narrow" w:eastAsia="Calibri" w:hAnsi="Arial Narrow" w:cs="Arial"/>
          <w:b/>
          <w:spacing w:val="-3"/>
          <w:sz w:val="22"/>
          <w:szCs w:val="22"/>
          <w:lang w:val="es-PE" w:eastAsia="en-US"/>
        </w:rPr>
        <w:t>CONSIDERANDO:</w:t>
      </w:r>
    </w:p>
    <w:p w14:paraId="59B6C3D1" w14:textId="77777777" w:rsidR="003533B2" w:rsidRDefault="003533B2" w:rsidP="008E6F31">
      <w:pPr>
        <w:tabs>
          <w:tab w:val="left" w:pos="-720"/>
          <w:tab w:val="left" w:pos="0"/>
        </w:tabs>
        <w:suppressAutoHyphens/>
        <w:jc w:val="both"/>
        <w:rPr>
          <w:rFonts w:ascii="Arial Narrow" w:eastAsia="Calibri" w:hAnsi="Arial Narrow" w:cs="Arial"/>
          <w:b/>
          <w:spacing w:val="-3"/>
          <w:sz w:val="22"/>
          <w:szCs w:val="22"/>
          <w:lang w:val="es-PE" w:eastAsia="en-US"/>
        </w:rPr>
      </w:pPr>
    </w:p>
    <w:p w14:paraId="312874F5" w14:textId="158CEEA9" w:rsidR="003533B2" w:rsidRDefault="003533B2" w:rsidP="008E6F31">
      <w:pPr>
        <w:tabs>
          <w:tab w:val="left" w:pos="-720"/>
          <w:tab w:val="left" w:pos="0"/>
        </w:tabs>
        <w:suppressAutoHyphens/>
        <w:jc w:val="both"/>
        <w:rPr>
          <w:rFonts w:ascii="Arial Narrow" w:hAnsi="Arial Narrow"/>
          <w:b/>
          <w:bCs/>
          <w:i/>
          <w:iCs/>
          <w:spacing w:val="-3"/>
          <w:sz w:val="22"/>
          <w:szCs w:val="22"/>
          <w:u w:val="single"/>
        </w:rPr>
      </w:pPr>
      <w:r>
        <w:rPr>
          <w:rFonts w:ascii="Arial Narrow" w:hAnsi="Arial Narrow"/>
          <w:b/>
          <w:bCs/>
          <w:i/>
          <w:iCs/>
          <w:spacing w:val="-3"/>
          <w:sz w:val="22"/>
          <w:szCs w:val="22"/>
          <w:u w:val="single"/>
        </w:rPr>
        <w:t xml:space="preserve">Sobre </w:t>
      </w:r>
      <w:r w:rsidR="00352521">
        <w:rPr>
          <w:rFonts w:ascii="Arial Narrow" w:hAnsi="Arial Narrow"/>
          <w:b/>
          <w:bCs/>
          <w:i/>
          <w:iCs/>
          <w:spacing w:val="-3"/>
          <w:sz w:val="22"/>
          <w:szCs w:val="22"/>
          <w:u w:val="single"/>
        </w:rPr>
        <w:t xml:space="preserve">convalidación de </w:t>
      </w:r>
      <w:r>
        <w:rPr>
          <w:rFonts w:ascii="Arial Narrow" w:hAnsi="Arial Narrow"/>
          <w:b/>
          <w:bCs/>
          <w:i/>
          <w:iCs/>
          <w:spacing w:val="-3"/>
          <w:sz w:val="22"/>
          <w:szCs w:val="22"/>
          <w:u w:val="single"/>
        </w:rPr>
        <w:t xml:space="preserve">la resolución N° </w:t>
      </w:r>
      <w:r w:rsidR="00647B48">
        <w:rPr>
          <w:rFonts w:ascii="Arial Narrow" w:hAnsi="Arial Narrow"/>
          <w:b/>
          <w:bCs/>
          <w:i/>
          <w:iCs/>
          <w:spacing w:val="-3"/>
          <w:sz w:val="22"/>
          <w:szCs w:val="22"/>
          <w:u w:val="single"/>
        </w:rPr>
        <w:t>1</w:t>
      </w:r>
      <w:r>
        <w:rPr>
          <w:rFonts w:ascii="Arial Narrow" w:hAnsi="Arial Narrow"/>
          <w:b/>
          <w:bCs/>
          <w:i/>
          <w:iCs/>
          <w:spacing w:val="-3"/>
          <w:sz w:val="22"/>
          <w:szCs w:val="22"/>
          <w:u w:val="single"/>
        </w:rPr>
        <w:t xml:space="preserve"> del </w:t>
      </w:r>
      <w:r w:rsidR="00647B48">
        <w:rPr>
          <w:rFonts w:ascii="Arial Narrow" w:hAnsi="Arial Narrow"/>
          <w:b/>
          <w:bCs/>
          <w:i/>
          <w:iCs/>
          <w:spacing w:val="-3"/>
          <w:sz w:val="22"/>
          <w:szCs w:val="22"/>
          <w:u w:val="single"/>
        </w:rPr>
        <w:t>4 de junio de 2024</w:t>
      </w:r>
    </w:p>
    <w:p w14:paraId="378D8391" w14:textId="77777777" w:rsidR="00352521" w:rsidRDefault="00352521" w:rsidP="008E6F31">
      <w:pPr>
        <w:tabs>
          <w:tab w:val="left" w:pos="-720"/>
          <w:tab w:val="left" w:pos="0"/>
        </w:tabs>
        <w:suppressAutoHyphens/>
        <w:jc w:val="both"/>
        <w:rPr>
          <w:rFonts w:ascii="Arial Narrow" w:hAnsi="Arial Narrow"/>
          <w:b/>
          <w:bCs/>
          <w:i/>
          <w:iCs/>
          <w:spacing w:val="-3"/>
          <w:sz w:val="22"/>
          <w:szCs w:val="22"/>
          <w:u w:val="single"/>
        </w:rPr>
      </w:pPr>
    </w:p>
    <w:p w14:paraId="0ADF83A3" w14:textId="08A5CEC1" w:rsidR="00DC4A58" w:rsidRDefault="00352521" w:rsidP="008E6F31">
      <w:pPr>
        <w:pStyle w:val="Default"/>
        <w:numPr>
          <w:ilvl w:val="0"/>
          <w:numId w:val="7"/>
        </w:numPr>
        <w:ind w:left="567" w:hanging="567"/>
        <w:jc w:val="both"/>
        <w:rPr>
          <w:rFonts w:ascii="Arial Narrow" w:hAnsi="Arial Narrow"/>
          <w:sz w:val="22"/>
          <w:szCs w:val="22"/>
        </w:rPr>
      </w:pPr>
      <w:r w:rsidRPr="00352521">
        <w:rPr>
          <w:rFonts w:ascii="Arial Narrow" w:hAnsi="Arial Narrow"/>
          <w:spacing w:val="-3"/>
          <w:sz w:val="22"/>
          <w:szCs w:val="22"/>
        </w:rPr>
        <w:t xml:space="preserve">que, </w:t>
      </w:r>
      <w:r w:rsidRPr="00352521">
        <w:rPr>
          <w:rFonts w:ascii="Arial Narrow" w:hAnsi="Arial Narrow"/>
          <w:sz w:val="22"/>
          <w:szCs w:val="22"/>
        </w:rPr>
        <w:t>el artículo 10° del Texto Único Ordenado de la Ley del Procedimiento Administrativo General, aprobado mediante Decreto Supremo N° 004-2019-JUS (en adelante, el TUO de la LPAG) establece los supuestos en que podrá considerarse un acto administrativo como nulo</w:t>
      </w:r>
      <w:r w:rsidR="00413893">
        <w:rPr>
          <w:rStyle w:val="Refdenotaalpie"/>
          <w:rFonts w:ascii="Arial Narrow" w:hAnsi="Arial Narrow"/>
          <w:sz w:val="22"/>
          <w:szCs w:val="22"/>
        </w:rPr>
        <w:footnoteReference w:id="1"/>
      </w:r>
      <w:r w:rsidRPr="00352521">
        <w:rPr>
          <w:rFonts w:ascii="Arial Narrow" w:hAnsi="Arial Narrow"/>
          <w:sz w:val="22"/>
          <w:szCs w:val="22"/>
        </w:rPr>
        <w:t>, encontrándose entre sus causales de nulidad el defecto u omisión de sus requisitos de validez</w:t>
      </w:r>
      <w:r w:rsidR="00413893">
        <w:rPr>
          <w:rStyle w:val="Refdenotaalpie"/>
          <w:rFonts w:ascii="Arial Narrow" w:hAnsi="Arial Narrow"/>
          <w:sz w:val="22"/>
          <w:szCs w:val="22"/>
        </w:rPr>
        <w:footnoteReference w:id="2"/>
      </w:r>
      <w:r w:rsidRPr="00352521">
        <w:rPr>
          <w:rFonts w:ascii="Arial Narrow" w:hAnsi="Arial Narrow"/>
          <w:sz w:val="22"/>
          <w:szCs w:val="22"/>
        </w:rPr>
        <w:t xml:space="preserve">, uno de los cuales es que se respete el procedimiento regular, esto es, el debido procedimiento que garantiza el derecho de las </w:t>
      </w:r>
      <w:r w:rsidRPr="00DC4A58">
        <w:rPr>
          <w:rFonts w:ascii="Arial Narrow" w:hAnsi="Arial Narrow"/>
          <w:sz w:val="22"/>
          <w:szCs w:val="22"/>
        </w:rPr>
        <w:t>partes a exponer sus argumentos, a ofrecer y producir pruebas, y a obtener una decisión motivada y fundada en derecho</w:t>
      </w:r>
      <w:r w:rsidR="00413893">
        <w:rPr>
          <w:rStyle w:val="Refdenotaalpie"/>
          <w:rFonts w:ascii="Arial Narrow" w:hAnsi="Arial Narrow"/>
          <w:sz w:val="22"/>
          <w:szCs w:val="22"/>
        </w:rPr>
        <w:footnoteReference w:id="3"/>
      </w:r>
      <w:r w:rsidRPr="00DC4A58">
        <w:rPr>
          <w:rFonts w:ascii="Arial Narrow" w:hAnsi="Arial Narrow"/>
          <w:sz w:val="22"/>
          <w:szCs w:val="22"/>
        </w:rPr>
        <w:t>;</w:t>
      </w:r>
    </w:p>
    <w:p w14:paraId="42BBA871" w14:textId="77777777" w:rsidR="00DC4A58" w:rsidRDefault="00DC4A58" w:rsidP="008E6F31">
      <w:pPr>
        <w:pStyle w:val="Default"/>
        <w:ind w:left="567"/>
        <w:jc w:val="both"/>
        <w:rPr>
          <w:rFonts w:ascii="Arial Narrow" w:hAnsi="Arial Narrow"/>
          <w:sz w:val="22"/>
          <w:szCs w:val="22"/>
        </w:rPr>
      </w:pPr>
    </w:p>
    <w:p w14:paraId="0B79D5EB" w14:textId="77777777" w:rsidR="00DC4A58" w:rsidRDefault="00352521" w:rsidP="008E6F31">
      <w:pPr>
        <w:pStyle w:val="Default"/>
        <w:numPr>
          <w:ilvl w:val="0"/>
          <w:numId w:val="7"/>
        </w:numPr>
        <w:ind w:left="567" w:hanging="567"/>
        <w:jc w:val="both"/>
        <w:rPr>
          <w:rFonts w:ascii="Arial Narrow" w:hAnsi="Arial Narrow"/>
          <w:sz w:val="22"/>
          <w:szCs w:val="22"/>
        </w:rPr>
      </w:pPr>
      <w:r w:rsidRPr="00DC4A58">
        <w:rPr>
          <w:rFonts w:ascii="Arial Narrow" w:hAnsi="Arial Narrow"/>
          <w:sz w:val="22"/>
          <w:szCs w:val="22"/>
        </w:rPr>
        <w:lastRenderedPageBreak/>
        <w:t>que, sin perjuicio de lo anterior, el artículo 14 del TUO de la LPAG establece que cuando el vicio del acto administrativo por el incumplimiento a sus elementos de validez no sea trascendente, prevalece la conservación del acto, procediéndose a su enmienda por la propia autoridad emisora. Asimismo, el numeral 14.2 establece como actos administrativos afectados por vicios no trascendentes aquel emitido con infracción a las formalidades no esenciales del procedimiento, considerando como tales aquellas cuya realización correcta no hubiera impedido o cambiado el sentido de la decisión final en aspectos importantes, o cuyo incumplimiento no afectare el debido proceso del administrado;</w:t>
      </w:r>
    </w:p>
    <w:p w14:paraId="5C104F4B" w14:textId="77777777" w:rsidR="00DC4A58" w:rsidRDefault="00DC4A58" w:rsidP="008E6F31">
      <w:pPr>
        <w:pStyle w:val="Prrafodelista"/>
        <w:rPr>
          <w:rFonts w:ascii="Arial Narrow" w:hAnsi="Arial Narrow"/>
          <w:sz w:val="22"/>
          <w:szCs w:val="22"/>
        </w:rPr>
      </w:pPr>
    </w:p>
    <w:p w14:paraId="3853D971" w14:textId="77777777" w:rsidR="00DC4A58" w:rsidRDefault="00352521" w:rsidP="008E6F31">
      <w:pPr>
        <w:pStyle w:val="Default"/>
        <w:numPr>
          <w:ilvl w:val="0"/>
          <w:numId w:val="7"/>
        </w:numPr>
        <w:ind w:left="567" w:hanging="567"/>
        <w:jc w:val="both"/>
        <w:rPr>
          <w:rFonts w:ascii="Arial Narrow" w:hAnsi="Arial Narrow"/>
          <w:sz w:val="22"/>
          <w:szCs w:val="22"/>
        </w:rPr>
      </w:pPr>
      <w:r w:rsidRPr="00DC4A58">
        <w:rPr>
          <w:rFonts w:ascii="Arial Narrow" w:hAnsi="Arial Narrow"/>
          <w:sz w:val="22"/>
          <w:szCs w:val="22"/>
        </w:rPr>
        <w:t>que, los numerales 4.1 y 4.2 del artículo 4 del TUO de la LPAG establece que los actos administrativos deberán expresarse por escrito, salvo que, por la naturaleza y circunstancias del caso, el ordenamiento jurídico haya previsto otra forma. Asimismo, el acto escrito indica la fecha y lugar en que es emitido, denominación del órgano del cual emana, nombre y firma de la autoridad interviniente;</w:t>
      </w:r>
    </w:p>
    <w:p w14:paraId="03C98445" w14:textId="77777777" w:rsidR="00DC4A58" w:rsidRDefault="00DC4A58" w:rsidP="008E6F31">
      <w:pPr>
        <w:pStyle w:val="Prrafodelista"/>
        <w:rPr>
          <w:rFonts w:ascii="Arial Narrow" w:hAnsi="Arial Narrow"/>
          <w:sz w:val="22"/>
          <w:szCs w:val="22"/>
        </w:rPr>
      </w:pPr>
    </w:p>
    <w:p w14:paraId="3C6C6393" w14:textId="68A69948" w:rsidR="00787326" w:rsidRPr="00787326" w:rsidRDefault="00352521" w:rsidP="00787326">
      <w:pPr>
        <w:pStyle w:val="Default"/>
        <w:numPr>
          <w:ilvl w:val="0"/>
          <w:numId w:val="7"/>
        </w:numPr>
        <w:ind w:left="567" w:hanging="567"/>
        <w:jc w:val="both"/>
        <w:rPr>
          <w:rFonts w:ascii="Arial Narrow" w:hAnsi="Arial Narrow"/>
          <w:sz w:val="22"/>
          <w:szCs w:val="22"/>
        </w:rPr>
      </w:pPr>
      <w:r w:rsidRPr="00DC4A58">
        <w:rPr>
          <w:rFonts w:ascii="Arial Narrow" w:hAnsi="Arial Narrow"/>
          <w:sz w:val="22"/>
          <w:szCs w:val="22"/>
        </w:rPr>
        <w:t xml:space="preserve">que, mediante Resolución N° </w:t>
      </w:r>
      <w:r w:rsidR="00647B48">
        <w:rPr>
          <w:rFonts w:ascii="Arial Narrow" w:hAnsi="Arial Narrow"/>
          <w:sz w:val="22"/>
          <w:szCs w:val="22"/>
        </w:rPr>
        <w:t>1 del 4 de junio</w:t>
      </w:r>
      <w:r w:rsidRPr="00DC4A58">
        <w:rPr>
          <w:rFonts w:ascii="Arial Narrow" w:hAnsi="Arial Narrow"/>
          <w:sz w:val="22"/>
          <w:szCs w:val="22"/>
        </w:rPr>
        <w:t xml:space="preserve"> de 202</w:t>
      </w:r>
      <w:r w:rsidR="00DC4A58">
        <w:rPr>
          <w:rFonts w:ascii="Arial Narrow" w:hAnsi="Arial Narrow"/>
          <w:sz w:val="22"/>
          <w:szCs w:val="22"/>
        </w:rPr>
        <w:t>4</w:t>
      </w:r>
      <w:r w:rsidRPr="00DC4A58">
        <w:rPr>
          <w:rFonts w:ascii="Arial Narrow" w:hAnsi="Arial Narrow"/>
          <w:sz w:val="22"/>
          <w:szCs w:val="22"/>
        </w:rPr>
        <w:t>, la cual fue notificada a la parte</w:t>
      </w:r>
      <w:r w:rsidR="00647B48">
        <w:rPr>
          <w:rFonts w:ascii="Arial Narrow" w:hAnsi="Arial Narrow"/>
          <w:sz w:val="22"/>
          <w:szCs w:val="22"/>
        </w:rPr>
        <w:t xml:space="preserve"> denunciante</w:t>
      </w:r>
      <w:r w:rsidRPr="00DC4A58">
        <w:rPr>
          <w:rFonts w:ascii="Arial Narrow" w:hAnsi="Arial Narrow"/>
          <w:sz w:val="22"/>
          <w:szCs w:val="22"/>
        </w:rPr>
        <w:t xml:space="preserve"> el </w:t>
      </w:r>
      <w:r w:rsidR="00647B48">
        <w:rPr>
          <w:rFonts w:ascii="Arial Narrow" w:hAnsi="Arial Narrow"/>
          <w:sz w:val="22"/>
          <w:szCs w:val="22"/>
        </w:rPr>
        <w:t>5 de junio</w:t>
      </w:r>
      <w:r w:rsidRPr="00DC4A58">
        <w:rPr>
          <w:rFonts w:ascii="Arial Narrow" w:hAnsi="Arial Narrow"/>
          <w:sz w:val="22"/>
          <w:szCs w:val="22"/>
        </w:rPr>
        <w:t xml:space="preserve"> de 202</w:t>
      </w:r>
      <w:r w:rsidR="00DC4A58">
        <w:rPr>
          <w:rFonts w:ascii="Arial Narrow" w:hAnsi="Arial Narrow"/>
          <w:sz w:val="22"/>
          <w:szCs w:val="22"/>
        </w:rPr>
        <w:t>4</w:t>
      </w:r>
      <w:r w:rsidRPr="00DC4A58">
        <w:rPr>
          <w:rFonts w:ascii="Arial Narrow" w:hAnsi="Arial Narrow"/>
          <w:sz w:val="22"/>
          <w:szCs w:val="22"/>
        </w:rPr>
        <w:t xml:space="preserve">, la Secretaría Técnica </w:t>
      </w:r>
      <w:r w:rsidR="00647B48">
        <w:rPr>
          <w:rFonts w:ascii="Arial Narrow" w:hAnsi="Arial Narrow"/>
          <w:sz w:val="22"/>
          <w:szCs w:val="22"/>
        </w:rPr>
        <w:t>concedió el recurso de apelación interpuesto por Grand House</w:t>
      </w:r>
      <w:r w:rsidR="00F661F8">
        <w:rPr>
          <w:rFonts w:ascii="Arial Narrow" w:hAnsi="Arial Narrow"/>
          <w:sz w:val="22"/>
          <w:szCs w:val="22"/>
        </w:rPr>
        <w:t xml:space="preserve"> S.A.C. contra la Resolución Final N° 0915-2024/CC1</w:t>
      </w:r>
      <w:r w:rsidRPr="00DC4A58">
        <w:rPr>
          <w:rFonts w:ascii="Arial Narrow" w:hAnsi="Arial Narrow"/>
          <w:sz w:val="22"/>
          <w:szCs w:val="22"/>
        </w:rPr>
        <w:t xml:space="preserve">; sin embargo, dicho acto fue emitido y notificado sin haber sido suscrito, lo cual resulta </w:t>
      </w:r>
      <w:r w:rsidR="00647B48">
        <w:rPr>
          <w:rFonts w:ascii="Arial Narrow" w:hAnsi="Arial Narrow"/>
          <w:sz w:val="22"/>
          <w:szCs w:val="22"/>
        </w:rPr>
        <w:t>incongruente</w:t>
      </w:r>
      <w:r w:rsidRPr="00DC4A58">
        <w:rPr>
          <w:rFonts w:ascii="Arial Narrow" w:hAnsi="Arial Narrow"/>
          <w:sz w:val="22"/>
          <w:szCs w:val="22"/>
        </w:rPr>
        <w:t xml:space="preserve"> con lo dispuesto en el artículo 4 del TUO de la LPAG;</w:t>
      </w:r>
    </w:p>
    <w:p w14:paraId="4B01C4D2" w14:textId="77777777" w:rsidR="00DC4A58" w:rsidRDefault="00DC4A58" w:rsidP="008E6F31">
      <w:pPr>
        <w:pStyle w:val="Prrafodelista"/>
        <w:rPr>
          <w:rFonts w:ascii="Arial Narrow" w:hAnsi="Arial Narrow"/>
          <w:sz w:val="22"/>
          <w:szCs w:val="22"/>
        </w:rPr>
      </w:pPr>
    </w:p>
    <w:p w14:paraId="432B4D61" w14:textId="055B0604" w:rsidR="00352521" w:rsidRPr="00DC4A58" w:rsidRDefault="00352521" w:rsidP="008E6F31">
      <w:pPr>
        <w:pStyle w:val="Default"/>
        <w:numPr>
          <w:ilvl w:val="0"/>
          <w:numId w:val="7"/>
        </w:numPr>
        <w:ind w:left="567" w:hanging="567"/>
        <w:jc w:val="both"/>
        <w:rPr>
          <w:rFonts w:ascii="Arial Narrow" w:hAnsi="Arial Narrow"/>
          <w:sz w:val="22"/>
          <w:szCs w:val="22"/>
        </w:rPr>
      </w:pPr>
      <w:r w:rsidRPr="00DC4A58">
        <w:rPr>
          <w:rFonts w:ascii="Arial Narrow" w:hAnsi="Arial Narrow"/>
          <w:sz w:val="22"/>
          <w:szCs w:val="22"/>
        </w:rPr>
        <w:t xml:space="preserve">que, sin perjuicio de lo anterior, se advierte que dicho acto se encuentra afectado por un vicio </w:t>
      </w:r>
      <w:r w:rsidRPr="00647B48">
        <w:rPr>
          <w:rFonts w:ascii="Arial Narrow" w:hAnsi="Arial Narrow"/>
          <w:sz w:val="22"/>
          <w:szCs w:val="22"/>
          <w:u w:val="single"/>
        </w:rPr>
        <w:t>no</w:t>
      </w:r>
      <w:r w:rsidRPr="00DC4A58">
        <w:rPr>
          <w:rFonts w:ascii="Arial Narrow" w:hAnsi="Arial Narrow"/>
          <w:sz w:val="22"/>
          <w:szCs w:val="22"/>
        </w:rPr>
        <w:t xml:space="preserve"> transcendente en la medida que, en atención a lo dispuesto por el numeral 14.2 del artículo 14 del TUO de la LPAG: </w:t>
      </w:r>
    </w:p>
    <w:p w14:paraId="6F445DF3" w14:textId="77777777" w:rsidR="00352521" w:rsidRPr="00352521" w:rsidRDefault="00352521" w:rsidP="008E6F31">
      <w:pPr>
        <w:pStyle w:val="Default"/>
        <w:jc w:val="both"/>
        <w:rPr>
          <w:rFonts w:ascii="Arial Narrow" w:hAnsi="Arial Narrow"/>
          <w:sz w:val="22"/>
          <w:szCs w:val="22"/>
        </w:rPr>
      </w:pPr>
    </w:p>
    <w:p w14:paraId="546702A5" w14:textId="60BA4E87" w:rsidR="00DC4A58" w:rsidRDefault="00352521" w:rsidP="008E6F31">
      <w:pPr>
        <w:pStyle w:val="Default"/>
        <w:numPr>
          <w:ilvl w:val="0"/>
          <w:numId w:val="26"/>
        </w:numPr>
        <w:spacing w:after="14"/>
        <w:ind w:left="993" w:hanging="360"/>
        <w:jc w:val="both"/>
        <w:rPr>
          <w:rFonts w:ascii="Arial Narrow" w:hAnsi="Arial Narrow"/>
          <w:sz w:val="22"/>
          <w:szCs w:val="22"/>
        </w:rPr>
      </w:pPr>
      <w:r w:rsidRPr="00352521">
        <w:rPr>
          <w:rFonts w:ascii="Arial Narrow" w:hAnsi="Arial Narrow"/>
          <w:sz w:val="22"/>
          <w:szCs w:val="22"/>
        </w:rPr>
        <w:t>La correcta realización del acto administrativo, esto es, la emisión de la Resolución N°</w:t>
      </w:r>
      <w:r w:rsidR="00647B48">
        <w:rPr>
          <w:rFonts w:ascii="Arial Narrow" w:hAnsi="Arial Narrow"/>
          <w:sz w:val="22"/>
          <w:szCs w:val="22"/>
        </w:rPr>
        <w:t xml:space="preserve"> 1</w:t>
      </w:r>
      <w:r w:rsidRPr="00352521">
        <w:rPr>
          <w:rFonts w:ascii="Arial Narrow" w:hAnsi="Arial Narrow"/>
          <w:sz w:val="22"/>
          <w:szCs w:val="22"/>
        </w:rPr>
        <w:t xml:space="preserve"> del </w:t>
      </w:r>
      <w:r w:rsidR="00647B48">
        <w:rPr>
          <w:rFonts w:ascii="Arial Narrow" w:hAnsi="Arial Narrow"/>
          <w:sz w:val="22"/>
          <w:szCs w:val="22"/>
        </w:rPr>
        <w:t>4 de juni</w:t>
      </w:r>
      <w:r w:rsidR="00DC4A58">
        <w:rPr>
          <w:rFonts w:ascii="Arial Narrow" w:hAnsi="Arial Narrow"/>
          <w:sz w:val="22"/>
          <w:szCs w:val="22"/>
        </w:rPr>
        <w:t>o</w:t>
      </w:r>
      <w:r w:rsidRPr="00352521">
        <w:rPr>
          <w:rFonts w:ascii="Arial Narrow" w:hAnsi="Arial Narrow"/>
          <w:sz w:val="22"/>
          <w:szCs w:val="22"/>
        </w:rPr>
        <w:t xml:space="preserve"> de 202</w:t>
      </w:r>
      <w:r w:rsidR="00DC4A58">
        <w:rPr>
          <w:rFonts w:ascii="Arial Narrow" w:hAnsi="Arial Narrow"/>
          <w:sz w:val="22"/>
          <w:szCs w:val="22"/>
        </w:rPr>
        <w:t>4</w:t>
      </w:r>
      <w:r w:rsidRPr="00352521">
        <w:rPr>
          <w:rFonts w:ascii="Arial Narrow" w:hAnsi="Arial Narrow"/>
          <w:sz w:val="22"/>
          <w:szCs w:val="22"/>
        </w:rPr>
        <w:t xml:space="preserve"> debidamente suscrita, en ningún caso hubiese impedido o cambiado el sentido de </w:t>
      </w:r>
      <w:r w:rsidR="00647B48">
        <w:rPr>
          <w:rFonts w:ascii="Arial Narrow" w:hAnsi="Arial Narrow"/>
          <w:sz w:val="22"/>
          <w:szCs w:val="22"/>
        </w:rPr>
        <w:t>la</w:t>
      </w:r>
      <w:r w:rsidRPr="00352521">
        <w:rPr>
          <w:rFonts w:ascii="Arial Narrow" w:hAnsi="Arial Narrow"/>
          <w:sz w:val="22"/>
          <w:szCs w:val="22"/>
        </w:rPr>
        <w:t xml:space="preserve"> decisión</w:t>
      </w:r>
      <w:r w:rsidR="00915938">
        <w:rPr>
          <w:rFonts w:ascii="Arial Narrow" w:hAnsi="Arial Narrow"/>
          <w:sz w:val="22"/>
          <w:szCs w:val="22"/>
        </w:rPr>
        <w:t>.</w:t>
      </w:r>
    </w:p>
    <w:p w14:paraId="5B28E163" w14:textId="77777777" w:rsidR="00DC4A58" w:rsidRDefault="00DC4A58" w:rsidP="008E6F31">
      <w:pPr>
        <w:pStyle w:val="Default"/>
        <w:spacing w:after="14"/>
        <w:ind w:left="993"/>
        <w:jc w:val="both"/>
        <w:rPr>
          <w:rFonts w:ascii="Arial Narrow" w:hAnsi="Arial Narrow"/>
          <w:sz w:val="22"/>
          <w:szCs w:val="22"/>
        </w:rPr>
      </w:pPr>
    </w:p>
    <w:p w14:paraId="34D61CF3" w14:textId="4CBB9A67" w:rsidR="00DC4A58" w:rsidRDefault="00352521" w:rsidP="008E6F31">
      <w:pPr>
        <w:pStyle w:val="Default"/>
        <w:numPr>
          <w:ilvl w:val="0"/>
          <w:numId w:val="26"/>
        </w:numPr>
        <w:spacing w:after="14"/>
        <w:ind w:left="993" w:hanging="360"/>
        <w:jc w:val="both"/>
        <w:rPr>
          <w:rFonts w:ascii="Arial Narrow" w:hAnsi="Arial Narrow"/>
          <w:sz w:val="22"/>
          <w:szCs w:val="22"/>
        </w:rPr>
      </w:pPr>
      <w:r w:rsidRPr="00DC4A58">
        <w:rPr>
          <w:rFonts w:ascii="Arial Narrow" w:hAnsi="Arial Narrow"/>
          <w:sz w:val="22"/>
          <w:szCs w:val="22"/>
        </w:rPr>
        <w:t xml:space="preserve">La emisión de la Resolución N° </w:t>
      </w:r>
      <w:r w:rsidR="00647B48">
        <w:rPr>
          <w:rFonts w:ascii="Arial Narrow" w:hAnsi="Arial Narrow"/>
          <w:sz w:val="22"/>
          <w:szCs w:val="22"/>
        </w:rPr>
        <w:t>1</w:t>
      </w:r>
      <w:r w:rsidRPr="00DC4A58">
        <w:rPr>
          <w:rFonts w:ascii="Arial Narrow" w:hAnsi="Arial Narrow"/>
          <w:sz w:val="22"/>
          <w:szCs w:val="22"/>
        </w:rPr>
        <w:t xml:space="preserve"> del </w:t>
      </w:r>
      <w:r w:rsidR="00647B48">
        <w:rPr>
          <w:rFonts w:ascii="Arial Narrow" w:hAnsi="Arial Narrow"/>
          <w:sz w:val="22"/>
          <w:szCs w:val="22"/>
        </w:rPr>
        <w:t>4 de junio</w:t>
      </w:r>
      <w:r w:rsidRPr="00DC4A58">
        <w:rPr>
          <w:rFonts w:ascii="Arial Narrow" w:hAnsi="Arial Narrow"/>
          <w:sz w:val="22"/>
          <w:szCs w:val="22"/>
        </w:rPr>
        <w:t xml:space="preserve"> de 202</w:t>
      </w:r>
      <w:r w:rsidR="00DC4A58">
        <w:rPr>
          <w:rFonts w:ascii="Arial Narrow" w:hAnsi="Arial Narrow"/>
          <w:sz w:val="22"/>
          <w:szCs w:val="22"/>
        </w:rPr>
        <w:t>4</w:t>
      </w:r>
      <w:r w:rsidRPr="00DC4A58">
        <w:rPr>
          <w:rFonts w:ascii="Arial Narrow" w:hAnsi="Arial Narrow"/>
          <w:sz w:val="22"/>
          <w:szCs w:val="22"/>
        </w:rPr>
        <w:t xml:space="preserve"> sin firma, no ha afectado el debido proceso del administrado, en la medida que no ha impedido que el </w:t>
      </w:r>
      <w:r w:rsidR="00647B48">
        <w:rPr>
          <w:rFonts w:ascii="Arial Narrow" w:hAnsi="Arial Narrow"/>
          <w:sz w:val="22"/>
          <w:szCs w:val="22"/>
        </w:rPr>
        <w:t>denunciante</w:t>
      </w:r>
      <w:r w:rsidRPr="00DC4A58">
        <w:rPr>
          <w:rFonts w:ascii="Arial Narrow" w:hAnsi="Arial Narrow"/>
          <w:sz w:val="22"/>
          <w:szCs w:val="22"/>
        </w:rPr>
        <w:t xml:space="preserve"> conozca</w:t>
      </w:r>
      <w:r w:rsidR="00915938">
        <w:rPr>
          <w:rFonts w:ascii="Arial Narrow" w:hAnsi="Arial Narrow"/>
          <w:sz w:val="22"/>
          <w:szCs w:val="22"/>
        </w:rPr>
        <w:t xml:space="preserve"> lo resuelto en dicho acto administrativo</w:t>
      </w:r>
      <w:r w:rsidRPr="00DC4A58">
        <w:rPr>
          <w:rFonts w:ascii="Arial Narrow" w:hAnsi="Arial Narrow"/>
          <w:sz w:val="22"/>
          <w:szCs w:val="22"/>
        </w:rPr>
        <w:t>. Lo anterior, puede corroborarse de</w:t>
      </w:r>
      <w:r w:rsidR="00647B48">
        <w:rPr>
          <w:rFonts w:ascii="Arial Narrow" w:hAnsi="Arial Narrow"/>
          <w:sz w:val="22"/>
          <w:szCs w:val="22"/>
        </w:rPr>
        <w:t xml:space="preserve"> la constancia de recepción de notificación de fecha 5 de junio de 2024.</w:t>
      </w:r>
    </w:p>
    <w:p w14:paraId="6E9DC34D" w14:textId="77777777" w:rsidR="00D004D5" w:rsidRDefault="00D004D5" w:rsidP="00915938">
      <w:pPr>
        <w:pStyle w:val="Default"/>
        <w:spacing w:after="14"/>
        <w:jc w:val="both"/>
        <w:rPr>
          <w:rFonts w:ascii="Arial Narrow" w:hAnsi="Arial Narrow"/>
          <w:sz w:val="22"/>
          <w:szCs w:val="22"/>
        </w:rPr>
      </w:pPr>
    </w:p>
    <w:p w14:paraId="78AAF923" w14:textId="069CEBA3" w:rsidR="00352521" w:rsidRPr="00DC4A58" w:rsidRDefault="00352521" w:rsidP="008E6F31">
      <w:pPr>
        <w:pStyle w:val="Default"/>
        <w:numPr>
          <w:ilvl w:val="0"/>
          <w:numId w:val="7"/>
        </w:numPr>
        <w:spacing w:after="14"/>
        <w:ind w:left="567" w:hanging="567"/>
        <w:jc w:val="both"/>
        <w:rPr>
          <w:rFonts w:ascii="Arial Narrow" w:hAnsi="Arial Narrow"/>
          <w:sz w:val="22"/>
          <w:szCs w:val="22"/>
        </w:rPr>
      </w:pPr>
      <w:r w:rsidRPr="00DC4A58">
        <w:rPr>
          <w:rFonts w:ascii="Arial Narrow" w:hAnsi="Arial Narrow"/>
          <w:sz w:val="22"/>
          <w:szCs w:val="22"/>
        </w:rPr>
        <w:t xml:space="preserve">que, en atención a lo anteriormente señalado, al estar afectado por un vicio no transcendente, corresponde conservar la Resolución N° </w:t>
      </w:r>
      <w:r w:rsidR="00647B48">
        <w:rPr>
          <w:rFonts w:ascii="Arial Narrow" w:hAnsi="Arial Narrow"/>
          <w:sz w:val="22"/>
          <w:szCs w:val="22"/>
        </w:rPr>
        <w:t xml:space="preserve">1 del </w:t>
      </w:r>
      <w:r w:rsidR="000B53F4">
        <w:rPr>
          <w:rFonts w:ascii="Arial Narrow" w:hAnsi="Arial Narrow"/>
          <w:sz w:val="22"/>
          <w:szCs w:val="22"/>
        </w:rPr>
        <w:t>4 de junio</w:t>
      </w:r>
      <w:r w:rsidR="000B53F4" w:rsidRPr="00DC4A58">
        <w:rPr>
          <w:rFonts w:ascii="Arial Narrow" w:hAnsi="Arial Narrow"/>
          <w:sz w:val="22"/>
          <w:szCs w:val="22"/>
        </w:rPr>
        <w:t xml:space="preserve"> de 202</w:t>
      </w:r>
      <w:r w:rsidR="000B53F4">
        <w:rPr>
          <w:rFonts w:ascii="Arial Narrow" w:hAnsi="Arial Narrow"/>
          <w:sz w:val="22"/>
          <w:szCs w:val="22"/>
        </w:rPr>
        <w:t>4</w:t>
      </w:r>
      <w:r w:rsidR="004102AE">
        <w:rPr>
          <w:rFonts w:ascii="Arial Narrow" w:hAnsi="Arial Narrow"/>
          <w:sz w:val="22"/>
          <w:szCs w:val="22"/>
        </w:rPr>
        <w:t>.</w:t>
      </w:r>
    </w:p>
    <w:p w14:paraId="6600CE92" w14:textId="77777777" w:rsidR="00B641F2" w:rsidRDefault="00B641F2" w:rsidP="008E6F31">
      <w:pPr>
        <w:rPr>
          <w:rFonts w:ascii="Arial Narrow" w:hAnsi="Arial Narrow" w:cs="Arial"/>
          <w:spacing w:val="-3"/>
          <w:sz w:val="22"/>
          <w:szCs w:val="22"/>
        </w:rPr>
      </w:pPr>
    </w:p>
    <w:p w14:paraId="49E76556" w14:textId="789BF089" w:rsidR="00866C54" w:rsidRPr="00B641F2" w:rsidRDefault="00866C54" w:rsidP="008E6F31">
      <w:pPr>
        <w:tabs>
          <w:tab w:val="left" w:pos="-720"/>
          <w:tab w:val="left" w:pos="0"/>
        </w:tabs>
        <w:suppressAutoHyphens/>
        <w:jc w:val="both"/>
        <w:rPr>
          <w:rFonts w:ascii="Arial Narrow" w:hAnsi="Arial Narrow" w:cs="Arial"/>
          <w:b/>
          <w:spacing w:val="-3"/>
          <w:sz w:val="22"/>
          <w:szCs w:val="22"/>
        </w:rPr>
      </w:pPr>
      <w:r w:rsidRPr="00B641F2">
        <w:rPr>
          <w:rFonts w:ascii="Arial Narrow" w:hAnsi="Arial Narrow" w:cs="Arial"/>
          <w:b/>
          <w:spacing w:val="-3"/>
          <w:sz w:val="22"/>
          <w:szCs w:val="22"/>
        </w:rPr>
        <w:t>SE HA RESUELTO:</w:t>
      </w:r>
    </w:p>
    <w:p w14:paraId="4D2767C9" w14:textId="77777777" w:rsidR="00866C54" w:rsidRPr="00B641F2" w:rsidRDefault="00866C54" w:rsidP="008E6F31">
      <w:pPr>
        <w:tabs>
          <w:tab w:val="left" w:pos="-720"/>
          <w:tab w:val="left" w:pos="0"/>
        </w:tabs>
        <w:suppressAutoHyphens/>
        <w:jc w:val="both"/>
        <w:rPr>
          <w:rFonts w:ascii="Arial Narrow" w:hAnsi="Arial Narrow" w:cs="Arial"/>
          <w:spacing w:val="-3"/>
          <w:sz w:val="22"/>
          <w:szCs w:val="22"/>
        </w:rPr>
      </w:pPr>
    </w:p>
    <w:p w14:paraId="18CCDA90" w14:textId="5A007C02" w:rsidR="006E220B" w:rsidRDefault="00A20EDA" w:rsidP="006E220B">
      <w:pPr>
        <w:pStyle w:val="Default"/>
        <w:numPr>
          <w:ilvl w:val="0"/>
          <w:numId w:val="8"/>
        </w:numPr>
        <w:ind w:left="567" w:hanging="567"/>
        <w:jc w:val="both"/>
        <w:rPr>
          <w:rFonts w:ascii="Arial Narrow" w:hAnsi="Arial Narrow"/>
          <w:sz w:val="22"/>
          <w:szCs w:val="22"/>
        </w:rPr>
      </w:pPr>
      <w:r>
        <w:rPr>
          <w:rFonts w:ascii="Arial Narrow" w:hAnsi="Arial Narrow"/>
          <w:sz w:val="22"/>
          <w:szCs w:val="22"/>
        </w:rPr>
        <w:t>d</w:t>
      </w:r>
      <w:r w:rsidRPr="00A20EDA">
        <w:rPr>
          <w:rFonts w:ascii="Arial Narrow" w:hAnsi="Arial Narrow"/>
          <w:sz w:val="22"/>
          <w:szCs w:val="22"/>
        </w:rPr>
        <w:t xml:space="preserve">eclarar la conservación de la Resolución </w:t>
      </w:r>
      <w:r w:rsidR="00647B48" w:rsidRPr="00647B48">
        <w:rPr>
          <w:rFonts w:ascii="Arial Narrow" w:hAnsi="Arial Narrow"/>
          <w:sz w:val="22"/>
          <w:szCs w:val="22"/>
        </w:rPr>
        <w:t xml:space="preserve">N° 1 del </w:t>
      </w:r>
      <w:r w:rsidR="000B53F4">
        <w:rPr>
          <w:rFonts w:ascii="Arial Narrow" w:hAnsi="Arial Narrow"/>
          <w:sz w:val="22"/>
          <w:szCs w:val="22"/>
        </w:rPr>
        <w:t>4 de junio</w:t>
      </w:r>
      <w:r w:rsidR="000B53F4" w:rsidRPr="00DC4A58">
        <w:rPr>
          <w:rFonts w:ascii="Arial Narrow" w:hAnsi="Arial Narrow"/>
          <w:sz w:val="22"/>
          <w:szCs w:val="22"/>
        </w:rPr>
        <w:t xml:space="preserve"> de 202</w:t>
      </w:r>
      <w:r w:rsidR="000B53F4">
        <w:rPr>
          <w:rFonts w:ascii="Arial Narrow" w:hAnsi="Arial Narrow"/>
          <w:sz w:val="22"/>
          <w:szCs w:val="22"/>
        </w:rPr>
        <w:t>4</w:t>
      </w:r>
      <w:r w:rsidRPr="00A20EDA">
        <w:rPr>
          <w:rFonts w:ascii="Arial Narrow" w:hAnsi="Arial Narrow"/>
          <w:sz w:val="22"/>
          <w:szCs w:val="22"/>
        </w:rPr>
        <w:t>, conforme a lo establecido en el artículo 14 del Texto Único Ordenado de la Ley del Procedimiento Administrativo General, aprobado mediante Decreto Supremo N° 004-2019-JUS</w:t>
      </w:r>
      <w:r>
        <w:rPr>
          <w:rFonts w:ascii="Arial Narrow" w:hAnsi="Arial Narrow"/>
          <w:sz w:val="22"/>
          <w:szCs w:val="22"/>
        </w:rPr>
        <w:t>;</w:t>
      </w:r>
    </w:p>
    <w:p w14:paraId="7560531A" w14:textId="77777777" w:rsidR="006E220B" w:rsidRDefault="006E220B" w:rsidP="006E220B">
      <w:pPr>
        <w:pStyle w:val="Default"/>
        <w:ind w:left="567"/>
        <w:jc w:val="both"/>
        <w:rPr>
          <w:rFonts w:ascii="Arial Narrow" w:hAnsi="Arial Narrow"/>
          <w:sz w:val="22"/>
          <w:szCs w:val="22"/>
        </w:rPr>
      </w:pPr>
    </w:p>
    <w:p w14:paraId="3F245F6C" w14:textId="7E33AA78" w:rsidR="0024117D" w:rsidRPr="00B641F2" w:rsidRDefault="0024117D" w:rsidP="008E6F31">
      <w:pPr>
        <w:numPr>
          <w:ilvl w:val="0"/>
          <w:numId w:val="8"/>
        </w:numPr>
        <w:tabs>
          <w:tab w:val="left" w:pos="-720"/>
          <w:tab w:val="left" w:pos="0"/>
        </w:tabs>
        <w:suppressAutoHyphens/>
        <w:ind w:left="567" w:hanging="567"/>
        <w:jc w:val="both"/>
        <w:rPr>
          <w:rFonts w:ascii="Arial Narrow" w:hAnsi="Arial Narrow"/>
          <w:sz w:val="22"/>
          <w:szCs w:val="22"/>
        </w:rPr>
      </w:pPr>
      <w:r w:rsidRPr="00B641F2">
        <w:rPr>
          <w:rFonts w:ascii="Arial Narrow" w:hAnsi="Arial Narrow"/>
          <w:sz w:val="22"/>
          <w:szCs w:val="22"/>
        </w:rPr>
        <w:t>requerir a</w:t>
      </w:r>
      <w:r w:rsidR="00647B48">
        <w:rPr>
          <w:rFonts w:ascii="Arial Narrow" w:hAnsi="Arial Narrow"/>
          <w:sz w:val="22"/>
          <w:szCs w:val="22"/>
        </w:rPr>
        <w:t xml:space="preserve"> Grand House S.A.C.</w:t>
      </w:r>
      <w:r w:rsidR="00A53DB2">
        <w:rPr>
          <w:rFonts w:ascii="Arial Narrow" w:hAnsi="Arial Narrow"/>
          <w:sz w:val="22"/>
          <w:szCs w:val="22"/>
        </w:rPr>
        <w:t xml:space="preserve"> </w:t>
      </w:r>
      <w:r w:rsidRPr="00B641F2">
        <w:rPr>
          <w:rFonts w:ascii="Arial Narrow" w:hAnsi="Arial Narrow"/>
          <w:sz w:val="22"/>
          <w:szCs w:val="22"/>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w:t>
      </w:r>
      <w:r w:rsidRPr="00B641F2">
        <w:rPr>
          <w:rFonts w:ascii="Arial Narrow" w:hAnsi="Arial Narrow"/>
          <w:bCs/>
          <w:sz w:val="22"/>
          <w:szCs w:val="22"/>
        </w:rPr>
        <w:t xml:space="preserve">Texto Único Ordenado de la Ley del Procedimiento Administrativo General, aprobado mediante Decreto Supremo N° 004-2019-JUS, </w:t>
      </w:r>
      <w:r w:rsidRPr="00B641F2">
        <w:rPr>
          <w:rFonts w:ascii="Arial Narrow" w:hAnsi="Arial Narrow"/>
          <w:bCs/>
          <w:sz w:val="22"/>
          <w:szCs w:val="22"/>
        </w:rPr>
        <w:lastRenderedPageBreak/>
        <w:t>bajo apercibimiento de rehacer el acto de notificación y notificarle conforme al numeral 1 del artículo 20 del citado cuerpo normativo</w:t>
      </w:r>
      <w:r w:rsidRPr="00B641F2">
        <w:rPr>
          <w:rFonts w:ascii="Arial Narrow" w:hAnsi="Arial Narrow"/>
          <w:sz w:val="22"/>
          <w:szCs w:val="22"/>
          <w:vertAlign w:val="superscript"/>
        </w:rPr>
        <w:footnoteReference w:id="4"/>
      </w:r>
      <w:r w:rsidRPr="00B641F2">
        <w:rPr>
          <w:rFonts w:ascii="Arial Narrow" w:hAnsi="Arial Narrow"/>
          <w:sz w:val="22"/>
          <w:szCs w:val="22"/>
        </w:rPr>
        <w:t>.</w:t>
      </w:r>
    </w:p>
    <w:p w14:paraId="716CF372" w14:textId="77777777" w:rsidR="0015752F" w:rsidRDefault="0015752F" w:rsidP="008E6F31">
      <w:pPr>
        <w:jc w:val="both"/>
        <w:rPr>
          <w:rFonts w:ascii="Arial Narrow" w:eastAsia="Calibri" w:hAnsi="Arial Narrow" w:cs="Arial"/>
          <w:color w:val="000000"/>
          <w:sz w:val="22"/>
          <w:szCs w:val="22"/>
          <w:lang w:val="es-PE" w:eastAsia="en-US"/>
        </w:rPr>
      </w:pPr>
    </w:p>
    <w:p w14:paraId="34C07385" w14:textId="77777777" w:rsidR="00DA05A5" w:rsidRDefault="00DA05A5" w:rsidP="008E6F31">
      <w:pPr>
        <w:jc w:val="both"/>
        <w:rPr>
          <w:rFonts w:ascii="Arial Narrow" w:eastAsia="Calibri" w:hAnsi="Arial Narrow" w:cs="Arial"/>
          <w:color w:val="000000"/>
          <w:sz w:val="22"/>
          <w:szCs w:val="22"/>
          <w:lang w:val="es-PE" w:eastAsia="en-US"/>
        </w:rPr>
      </w:pPr>
    </w:p>
    <w:p w14:paraId="7433543A" w14:textId="77777777" w:rsidR="001B23B8" w:rsidRDefault="001B23B8" w:rsidP="008E6F31">
      <w:pPr>
        <w:jc w:val="both"/>
        <w:rPr>
          <w:rFonts w:ascii="Arial Narrow" w:eastAsia="Calibri" w:hAnsi="Arial Narrow" w:cs="Arial"/>
          <w:color w:val="000000"/>
          <w:sz w:val="22"/>
          <w:szCs w:val="22"/>
          <w:lang w:val="es-PE" w:eastAsia="en-US"/>
        </w:rPr>
      </w:pPr>
    </w:p>
    <w:p w14:paraId="3AC33C26" w14:textId="77777777" w:rsidR="00A20EDA" w:rsidRPr="00B641F2" w:rsidRDefault="00A20EDA" w:rsidP="008E6F31">
      <w:pPr>
        <w:jc w:val="both"/>
        <w:rPr>
          <w:rFonts w:ascii="Arial Narrow" w:eastAsia="Calibri" w:hAnsi="Arial Narrow" w:cs="Arial"/>
          <w:color w:val="000000"/>
          <w:sz w:val="22"/>
          <w:szCs w:val="22"/>
          <w:lang w:val="es-PE" w:eastAsia="en-US"/>
        </w:rPr>
      </w:pPr>
    </w:p>
    <w:p w14:paraId="16E193E4" w14:textId="77777777" w:rsidR="00A42CA3" w:rsidRPr="00B641F2" w:rsidRDefault="00A42CA3" w:rsidP="008E6F31">
      <w:pPr>
        <w:jc w:val="both"/>
        <w:rPr>
          <w:rFonts w:ascii="Arial Narrow" w:eastAsia="Calibri" w:hAnsi="Arial Narrow" w:cs="Arial"/>
          <w:color w:val="000000"/>
          <w:sz w:val="22"/>
          <w:szCs w:val="22"/>
          <w:lang w:val="es-PE" w:eastAsia="en-US"/>
        </w:rPr>
      </w:pPr>
    </w:p>
    <w:p w14:paraId="1FC418CB" w14:textId="00C49C1F" w:rsidR="002F0AC5" w:rsidRPr="00B641F2" w:rsidRDefault="00A60E0C" w:rsidP="008E6F31">
      <w:pPr>
        <w:tabs>
          <w:tab w:val="left" w:pos="0"/>
        </w:tabs>
        <w:jc w:val="center"/>
        <w:rPr>
          <w:rFonts w:ascii="Arial Narrow" w:hAnsi="Arial Narrow" w:cs="Arial"/>
          <w:b/>
          <w:caps/>
          <w:noProof/>
          <w:spacing w:val="-3"/>
          <w:sz w:val="22"/>
          <w:szCs w:val="22"/>
        </w:rPr>
      </w:pPr>
      <w:r>
        <w:rPr>
          <w:rFonts w:ascii="Arial Narrow" w:hAnsi="Arial Narrow" w:cs="Arial"/>
          <w:b/>
          <w:caps/>
          <w:noProof/>
          <w:spacing w:val="-3"/>
          <w:sz w:val="22"/>
          <w:szCs w:val="22"/>
        </w:rPr>
        <w:t>EVELING ROA QUISPE</w:t>
      </w:r>
    </w:p>
    <w:p w14:paraId="40F7EAA1" w14:textId="6C4347DC" w:rsidR="002F0AC5" w:rsidRPr="00B641F2" w:rsidRDefault="00A60E0C" w:rsidP="008E6F31">
      <w:pPr>
        <w:tabs>
          <w:tab w:val="left" w:pos="0"/>
        </w:tabs>
        <w:jc w:val="center"/>
        <w:rPr>
          <w:rFonts w:ascii="Arial Narrow" w:hAnsi="Arial Narrow" w:cs="Arial"/>
          <w:b/>
          <w:noProof/>
          <w:spacing w:val="-3"/>
          <w:sz w:val="22"/>
          <w:szCs w:val="22"/>
        </w:rPr>
      </w:pPr>
      <w:r>
        <w:rPr>
          <w:rFonts w:ascii="Arial Narrow" w:hAnsi="Arial Narrow" w:cs="Arial"/>
          <w:b/>
          <w:noProof/>
          <w:spacing w:val="-3"/>
          <w:sz w:val="22"/>
          <w:szCs w:val="22"/>
        </w:rPr>
        <w:t>Secretaria Técnica</w:t>
      </w:r>
    </w:p>
    <w:p w14:paraId="01F0F5E3" w14:textId="77777777" w:rsidR="002F0AC5" w:rsidRPr="00B641F2" w:rsidRDefault="002F0AC5" w:rsidP="008E6F31">
      <w:pPr>
        <w:tabs>
          <w:tab w:val="left" w:pos="0"/>
        </w:tabs>
        <w:jc w:val="center"/>
        <w:rPr>
          <w:sz w:val="22"/>
          <w:szCs w:val="22"/>
        </w:rPr>
      </w:pPr>
      <w:r w:rsidRPr="00B641F2">
        <w:rPr>
          <w:rFonts w:ascii="Arial Narrow" w:hAnsi="Arial Narrow" w:cs="Arial"/>
          <w:b/>
          <w:sz w:val="22"/>
          <w:szCs w:val="22"/>
        </w:rPr>
        <w:t>Comisión de Protección al Consumidor Nº 1</w:t>
      </w:r>
    </w:p>
    <w:p w14:paraId="1415BF50" w14:textId="44590CB1" w:rsidR="002F0AC5" w:rsidRPr="00A42CA3" w:rsidRDefault="00A022FA" w:rsidP="008E6F31">
      <w:pPr>
        <w:rPr>
          <w:rFonts w:ascii="Arial Narrow" w:hAnsi="Arial Narrow" w:cs="Arial"/>
          <w:noProof/>
          <w:sz w:val="16"/>
          <w:szCs w:val="16"/>
        </w:rPr>
      </w:pPr>
      <w:r>
        <w:rPr>
          <w:rFonts w:ascii="Arial Narrow" w:hAnsi="Arial Narrow"/>
          <w:sz w:val="16"/>
          <w:szCs w:val="16"/>
        </w:rPr>
        <w:t>MMP</w:t>
      </w:r>
    </w:p>
    <w:sectPr w:rsidR="002F0AC5" w:rsidRPr="00A42CA3" w:rsidSect="00657F90">
      <w:headerReference w:type="default" r:id="rId8"/>
      <w:pgSz w:w="11906" w:h="16838"/>
      <w:pgMar w:top="1417" w:right="1701" w:bottom="241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456000" w14:textId="77777777" w:rsidR="00657F90" w:rsidRDefault="00657F90" w:rsidP="002F0AC5">
      <w:r>
        <w:separator/>
      </w:r>
    </w:p>
  </w:endnote>
  <w:endnote w:type="continuationSeparator" w:id="0">
    <w:p w14:paraId="2415EDE9" w14:textId="77777777" w:rsidR="00657F90" w:rsidRDefault="00657F90" w:rsidP="002F0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8BA057" w14:textId="77777777" w:rsidR="00657F90" w:rsidRDefault="00657F90" w:rsidP="002F0AC5">
      <w:r>
        <w:separator/>
      </w:r>
    </w:p>
  </w:footnote>
  <w:footnote w:type="continuationSeparator" w:id="0">
    <w:p w14:paraId="0299A4E3" w14:textId="77777777" w:rsidR="00657F90" w:rsidRDefault="00657F90" w:rsidP="002F0AC5">
      <w:r>
        <w:continuationSeparator/>
      </w:r>
    </w:p>
  </w:footnote>
  <w:footnote w:id="1">
    <w:p w14:paraId="6A5B5B82" w14:textId="3045754D" w:rsidR="00413893" w:rsidRPr="00413893" w:rsidRDefault="00413893" w:rsidP="00413893">
      <w:pPr>
        <w:pStyle w:val="Default"/>
        <w:ind w:left="426" w:hanging="426"/>
        <w:jc w:val="both"/>
        <w:rPr>
          <w:rFonts w:ascii="Arial Narrow" w:hAnsi="Arial Narrow"/>
          <w:sz w:val="16"/>
          <w:szCs w:val="16"/>
        </w:rPr>
      </w:pPr>
      <w:r w:rsidRPr="00413893">
        <w:rPr>
          <w:rStyle w:val="Refdenotaalpie"/>
          <w:rFonts w:ascii="Arial Narrow" w:hAnsi="Arial Narrow"/>
          <w:sz w:val="16"/>
          <w:szCs w:val="16"/>
        </w:rPr>
        <w:footnoteRef/>
      </w:r>
      <w:r>
        <w:rPr>
          <w:rFonts w:ascii="Arial Narrow" w:hAnsi="Arial Narrow"/>
          <w:sz w:val="16"/>
          <w:szCs w:val="16"/>
        </w:rPr>
        <w:t xml:space="preserve"> </w:t>
      </w:r>
      <w:r>
        <w:rPr>
          <w:rFonts w:ascii="Arial Narrow" w:hAnsi="Arial Narrow"/>
          <w:sz w:val="16"/>
          <w:szCs w:val="16"/>
        </w:rPr>
        <w:tab/>
      </w:r>
      <w:r w:rsidRPr="00413893">
        <w:rPr>
          <w:rFonts w:ascii="Arial Narrow" w:hAnsi="Arial Narrow"/>
          <w:b/>
          <w:bCs/>
          <w:sz w:val="16"/>
          <w:szCs w:val="16"/>
        </w:rPr>
        <w:t>DECRETO SUPREMO N° 004-2019-JUS, TEXTO ÚNICO ORDENADO DE LA LEY DEL PROCEDIMIENTO ADMINISTRATIVO GENERAL, publicado el 25 de enero de 2019.</w:t>
      </w:r>
    </w:p>
    <w:p w14:paraId="4DD279A5" w14:textId="77777777" w:rsidR="00413893" w:rsidRPr="00413893" w:rsidRDefault="00413893" w:rsidP="00413893">
      <w:pPr>
        <w:pStyle w:val="Default"/>
        <w:ind w:firstLine="426"/>
        <w:jc w:val="both"/>
        <w:rPr>
          <w:rFonts w:ascii="Arial Narrow" w:hAnsi="Arial Narrow"/>
          <w:sz w:val="16"/>
          <w:szCs w:val="16"/>
        </w:rPr>
      </w:pPr>
      <w:r w:rsidRPr="00413893">
        <w:rPr>
          <w:rFonts w:ascii="Arial Narrow" w:hAnsi="Arial Narrow"/>
          <w:b/>
          <w:bCs/>
          <w:sz w:val="16"/>
          <w:szCs w:val="16"/>
        </w:rPr>
        <w:t xml:space="preserve">Artículo 10°.- Causales de nulidad </w:t>
      </w:r>
    </w:p>
    <w:p w14:paraId="1E918C9B" w14:textId="77777777" w:rsidR="00413893" w:rsidRPr="00413893" w:rsidRDefault="00413893" w:rsidP="00413893">
      <w:pPr>
        <w:pStyle w:val="Default"/>
        <w:ind w:firstLine="426"/>
        <w:jc w:val="both"/>
        <w:rPr>
          <w:rFonts w:ascii="Arial Narrow" w:hAnsi="Arial Narrow"/>
          <w:sz w:val="16"/>
          <w:szCs w:val="16"/>
        </w:rPr>
      </w:pPr>
      <w:r w:rsidRPr="00413893">
        <w:rPr>
          <w:rFonts w:ascii="Arial Narrow" w:hAnsi="Arial Narrow"/>
          <w:sz w:val="16"/>
          <w:szCs w:val="16"/>
        </w:rPr>
        <w:t xml:space="preserve">Son vicios del acto administrativo, que causan su nulidad de pleno derecho, los siguientes: </w:t>
      </w:r>
    </w:p>
    <w:p w14:paraId="50CBCBBB" w14:textId="77777777" w:rsidR="00413893" w:rsidRPr="00413893" w:rsidRDefault="00413893" w:rsidP="00413893">
      <w:pPr>
        <w:pStyle w:val="Default"/>
        <w:ind w:firstLine="426"/>
        <w:jc w:val="both"/>
        <w:rPr>
          <w:rFonts w:ascii="Arial Narrow" w:hAnsi="Arial Narrow"/>
          <w:sz w:val="16"/>
          <w:szCs w:val="16"/>
        </w:rPr>
      </w:pPr>
      <w:r w:rsidRPr="00413893">
        <w:rPr>
          <w:rFonts w:ascii="Arial Narrow" w:hAnsi="Arial Narrow"/>
          <w:sz w:val="16"/>
          <w:szCs w:val="16"/>
        </w:rPr>
        <w:t xml:space="preserve">1. La contravención a la Constitución, a las leyes o a las normas reglamentarias. </w:t>
      </w:r>
    </w:p>
    <w:p w14:paraId="6F8DC64D" w14:textId="69484C2F" w:rsidR="00413893" w:rsidRDefault="00413893" w:rsidP="00413893">
      <w:pPr>
        <w:pStyle w:val="Textonotapie"/>
        <w:ind w:left="426"/>
        <w:jc w:val="both"/>
        <w:rPr>
          <w:rFonts w:ascii="Arial Narrow" w:hAnsi="Arial Narrow"/>
          <w:sz w:val="16"/>
          <w:szCs w:val="16"/>
        </w:rPr>
      </w:pPr>
      <w:r w:rsidRPr="00413893">
        <w:rPr>
          <w:rFonts w:ascii="Arial Narrow" w:hAnsi="Arial Narrow"/>
          <w:sz w:val="16"/>
          <w:szCs w:val="16"/>
        </w:rPr>
        <w:t>2. El defecto o la omisión de alguno de sus requisitos de validez, salvo que se presente alguno de los supuestos de conservación del acto a que se refiere el Artículo 14.</w:t>
      </w:r>
    </w:p>
    <w:p w14:paraId="00AAB834" w14:textId="77777777" w:rsidR="00413893" w:rsidRPr="00413893" w:rsidRDefault="00413893" w:rsidP="00413893">
      <w:pPr>
        <w:pStyle w:val="Textonotapie"/>
        <w:ind w:left="426"/>
        <w:jc w:val="both"/>
        <w:rPr>
          <w:rFonts w:ascii="Arial Narrow" w:hAnsi="Arial Narrow"/>
          <w:sz w:val="16"/>
          <w:szCs w:val="16"/>
        </w:rPr>
      </w:pPr>
    </w:p>
  </w:footnote>
  <w:footnote w:id="2">
    <w:p w14:paraId="44FCDD21" w14:textId="168A01EE" w:rsidR="00413893" w:rsidRPr="00413893" w:rsidRDefault="00413893" w:rsidP="00413893">
      <w:pPr>
        <w:pStyle w:val="Default"/>
        <w:ind w:left="426" w:hanging="426"/>
        <w:jc w:val="both"/>
        <w:rPr>
          <w:rFonts w:ascii="Arial Narrow" w:hAnsi="Arial Narrow"/>
          <w:sz w:val="16"/>
          <w:szCs w:val="16"/>
        </w:rPr>
      </w:pPr>
      <w:r w:rsidRPr="00413893">
        <w:rPr>
          <w:rStyle w:val="Refdenotaalpie"/>
          <w:rFonts w:ascii="Arial Narrow" w:hAnsi="Arial Narrow"/>
          <w:sz w:val="16"/>
          <w:szCs w:val="16"/>
        </w:rPr>
        <w:footnoteRef/>
      </w:r>
      <w:r w:rsidRPr="00413893">
        <w:rPr>
          <w:rFonts w:ascii="Arial Narrow" w:hAnsi="Arial Narrow"/>
          <w:sz w:val="16"/>
          <w:szCs w:val="16"/>
        </w:rPr>
        <w:t xml:space="preserve"> </w:t>
      </w:r>
      <w:r>
        <w:rPr>
          <w:rFonts w:ascii="Arial Narrow" w:hAnsi="Arial Narrow"/>
          <w:sz w:val="16"/>
          <w:szCs w:val="16"/>
        </w:rPr>
        <w:tab/>
      </w:r>
      <w:r w:rsidRPr="00413893">
        <w:rPr>
          <w:rFonts w:ascii="Arial Narrow" w:hAnsi="Arial Narrow"/>
          <w:b/>
          <w:bCs/>
          <w:sz w:val="16"/>
          <w:szCs w:val="16"/>
        </w:rPr>
        <w:t xml:space="preserve">DECRETO SUPREMO N° 004-2019-JUS, TEXTO ÚNICO ORDENADO DE LA LEY DEL PROCEDIMIENTO ADMINISTRATIVO GENERAL, publicado el 25 de enero de 2019. </w:t>
      </w:r>
    </w:p>
    <w:p w14:paraId="33BC1F78" w14:textId="77777777" w:rsidR="00413893" w:rsidRPr="00413893" w:rsidRDefault="00413893" w:rsidP="00413893">
      <w:pPr>
        <w:pStyle w:val="Default"/>
        <w:ind w:firstLine="426"/>
        <w:jc w:val="both"/>
        <w:rPr>
          <w:rFonts w:ascii="Arial Narrow" w:hAnsi="Arial Narrow"/>
          <w:sz w:val="16"/>
          <w:szCs w:val="16"/>
        </w:rPr>
      </w:pPr>
      <w:r w:rsidRPr="00413893">
        <w:rPr>
          <w:rFonts w:ascii="Arial Narrow" w:hAnsi="Arial Narrow"/>
          <w:b/>
          <w:bCs/>
          <w:sz w:val="16"/>
          <w:szCs w:val="16"/>
        </w:rPr>
        <w:t xml:space="preserve">Artículo 3°.- Requisitos de validez de los actos administrativos </w:t>
      </w:r>
    </w:p>
    <w:p w14:paraId="53100853" w14:textId="77777777" w:rsidR="00413893" w:rsidRPr="00413893" w:rsidRDefault="00413893" w:rsidP="00413893">
      <w:pPr>
        <w:pStyle w:val="Default"/>
        <w:ind w:firstLine="426"/>
        <w:jc w:val="both"/>
        <w:rPr>
          <w:rFonts w:ascii="Arial Narrow" w:hAnsi="Arial Narrow"/>
          <w:sz w:val="16"/>
          <w:szCs w:val="16"/>
        </w:rPr>
      </w:pPr>
      <w:r w:rsidRPr="00413893">
        <w:rPr>
          <w:rFonts w:ascii="Arial Narrow" w:hAnsi="Arial Narrow"/>
          <w:sz w:val="16"/>
          <w:szCs w:val="16"/>
        </w:rPr>
        <w:t xml:space="preserve">Son requisitos de validez de los actos administrativos: </w:t>
      </w:r>
    </w:p>
    <w:p w14:paraId="291C27CE" w14:textId="77777777" w:rsidR="00413893" w:rsidRPr="00413893" w:rsidRDefault="00413893" w:rsidP="00413893">
      <w:pPr>
        <w:pStyle w:val="Default"/>
        <w:ind w:left="426"/>
        <w:jc w:val="both"/>
        <w:rPr>
          <w:rFonts w:ascii="Arial Narrow" w:hAnsi="Arial Narrow"/>
          <w:sz w:val="16"/>
          <w:szCs w:val="16"/>
        </w:rPr>
      </w:pPr>
      <w:r w:rsidRPr="00413893">
        <w:rPr>
          <w:rFonts w:ascii="Arial Narrow" w:hAnsi="Arial Narrow"/>
          <w:b/>
          <w:bCs/>
          <w:sz w:val="16"/>
          <w:szCs w:val="16"/>
        </w:rPr>
        <w:t>1. Competencia</w:t>
      </w:r>
      <w:r w:rsidRPr="00413893">
        <w:rPr>
          <w:rFonts w:ascii="Arial Narrow" w:hAnsi="Arial Narrow"/>
          <w:sz w:val="16"/>
          <w:szCs w:val="16"/>
        </w:rPr>
        <w:t xml:space="preserve">. - Ser emitido por el órgano facultado </w:t>
      </w:r>
      <w:proofErr w:type="gramStart"/>
      <w:r w:rsidRPr="00413893">
        <w:rPr>
          <w:rFonts w:ascii="Arial Narrow" w:hAnsi="Arial Narrow"/>
          <w:sz w:val="16"/>
          <w:szCs w:val="16"/>
        </w:rPr>
        <w:t>en razón de</w:t>
      </w:r>
      <w:proofErr w:type="gramEnd"/>
      <w:r w:rsidRPr="00413893">
        <w:rPr>
          <w:rFonts w:ascii="Arial Narrow" w:hAnsi="Arial Narrow"/>
          <w:sz w:val="16"/>
          <w:szCs w:val="16"/>
        </w:rPr>
        <w:t xml:space="preserve"> la materia, territorio, grado, tiempo o cuantía, a través de la autoridad regularmente nominada al momento del dictado y en caso de órganos colegiados, cumpliendo los requisitos de sesión, quórum y deliberación indispensables para su emisión. </w:t>
      </w:r>
    </w:p>
    <w:p w14:paraId="382FC089" w14:textId="77777777" w:rsidR="00413893" w:rsidRPr="00413893" w:rsidRDefault="00413893" w:rsidP="00413893">
      <w:pPr>
        <w:pStyle w:val="Default"/>
        <w:ind w:left="426"/>
        <w:jc w:val="both"/>
        <w:rPr>
          <w:rFonts w:ascii="Arial Narrow" w:hAnsi="Arial Narrow"/>
          <w:sz w:val="16"/>
          <w:szCs w:val="16"/>
        </w:rPr>
      </w:pPr>
      <w:r w:rsidRPr="00413893">
        <w:rPr>
          <w:rFonts w:ascii="Arial Narrow" w:hAnsi="Arial Narrow"/>
          <w:b/>
          <w:bCs/>
          <w:sz w:val="16"/>
          <w:szCs w:val="16"/>
        </w:rPr>
        <w:t>2. Objeto o contenido</w:t>
      </w:r>
      <w:r w:rsidRPr="00413893">
        <w:rPr>
          <w:rFonts w:ascii="Arial Narrow" w:hAnsi="Arial Narrow"/>
          <w:sz w:val="16"/>
          <w:szCs w:val="16"/>
        </w:rPr>
        <w:t xml:space="preserve">. - Los actos administrativos deben expresar su respectivo objeto, de tal modo que pueda determinarse inequívocamente sus efectos jurídicos. Su contenido se ajustará a lo dispuesto en el ordenamiento jurídico, debiendo ser lícito, preciso, posible física y jurídicamente, y comprender las cuestiones surgidas de la motivación. </w:t>
      </w:r>
    </w:p>
    <w:p w14:paraId="1AFA122D" w14:textId="77777777" w:rsidR="00413893" w:rsidRPr="00413893" w:rsidRDefault="00413893" w:rsidP="00413893">
      <w:pPr>
        <w:pStyle w:val="Default"/>
        <w:ind w:left="426"/>
        <w:jc w:val="both"/>
        <w:rPr>
          <w:rFonts w:ascii="Arial Narrow" w:hAnsi="Arial Narrow"/>
          <w:sz w:val="16"/>
          <w:szCs w:val="16"/>
        </w:rPr>
      </w:pPr>
      <w:r w:rsidRPr="00413893">
        <w:rPr>
          <w:rFonts w:ascii="Arial Narrow" w:hAnsi="Arial Narrow"/>
          <w:b/>
          <w:bCs/>
          <w:sz w:val="16"/>
          <w:szCs w:val="16"/>
        </w:rPr>
        <w:t>3. Finalidad Pública</w:t>
      </w:r>
      <w:r w:rsidRPr="00413893">
        <w:rPr>
          <w:rFonts w:ascii="Arial Narrow" w:hAnsi="Arial Narrow"/>
          <w:sz w:val="16"/>
          <w:szCs w:val="16"/>
        </w:rPr>
        <w:t xml:space="preserve">. - Adecuarse a las finalidades de interés público asumidas por las normas que otorgan las facultades al órgano emisor, sin que pueda habilitársele a perseguir mediante el acto, aun encubiertamente, alguna finalidad sea personal de la propia autoridad, a favor de un tercero, u otra finalidad pública distinta a la prevista en la ley. La ausencia de normas que indique los fines de una facultad no genera discrecionalidad. </w:t>
      </w:r>
    </w:p>
    <w:p w14:paraId="069809FD" w14:textId="77777777" w:rsidR="00413893" w:rsidRPr="00413893" w:rsidRDefault="00413893" w:rsidP="00413893">
      <w:pPr>
        <w:pStyle w:val="Default"/>
        <w:ind w:firstLine="426"/>
        <w:jc w:val="both"/>
        <w:rPr>
          <w:rFonts w:ascii="Arial Narrow" w:hAnsi="Arial Narrow"/>
          <w:sz w:val="16"/>
          <w:szCs w:val="16"/>
        </w:rPr>
      </w:pPr>
      <w:r w:rsidRPr="00413893">
        <w:rPr>
          <w:rFonts w:ascii="Arial Narrow" w:hAnsi="Arial Narrow"/>
          <w:b/>
          <w:bCs/>
          <w:sz w:val="16"/>
          <w:szCs w:val="16"/>
        </w:rPr>
        <w:t>4. Motivación</w:t>
      </w:r>
      <w:r w:rsidRPr="00413893">
        <w:rPr>
          <w:rFonts w:ascii="Arial Narrow" w:hAnsi="Arial Narrow"/>
          <w:sz w:val="16"/>
          <w:szCs w:val="16"/>
        </w:rPr>
        <w:t xml:space="preserve">. - El acto administrativo debe estar debidamente motivado en proporción al contenido y conforme al ordenamiento jurídico. </w:t>
      </w:r>
    </w:p>
    <w:p w14:paraId="7B5FCD79" w14:textId="21704904" w:rsidR="00413893" w:rsidRPr="00413893" w:rsidRDefault="00413893" w:rsidP="00413893">
      <w:pPr>
        <w:pStyle w:val="Textonotapie"/>
        <w:ind w:left="426"/>
        <w:jc w:val="both"/>
        <w:rPr>
          <w:rFonts w:ascii="Arial Narrow" w:hAnsi="Arial Narrow"/>
          <w:sz w:val="16"/>
          <w:szCs w:val="16"/>
        </w:rPr>
      </w:pPr>
      <w:r w:rsidRPr="00413893">
        <w:rPr>
          <w:rFonts w:ascii="Arial Narrow" w:hAnsi="Arial Narrow"/>
          <w:b/>
          <w:bCs/>
          <w:sz w:val="16"/>
          <w:szCs w:val="16"/>
        </w:rPr>
        <w:t xml:space="preserve">5. Procedimiento regular. - </w:t>
      </w:r>
      <w:r w:rsidRPr="00413893">
        <w:rPr>
          <w:rFonts w:ascii="Arial Narrow" w:hAnsi="Arial Narrow"/>
          <w:sz w:val="16"/>
          <w:szCs w:val="16"/>
        </w:rPr>
        <w:t>Antes de su emisión, el acto debe ser conformado mediante el cumplimiento del procedimiento administrativo previsto para su generación.</w:t>
      </w:r>
    </w:p>
  </w:footnote>
  <w:footnote w:id="3">
    <w:p w14:paraId="15A370B8" w14:textId="1493E22F" w:rsidR="00413893" w:rsidRPr="00413893" w:rsidRDefault="00413893" w:rsidP="00413893">
      <w:pPr>
        <w:pStyle w:val="Default"/>
        <w:ind w:left="426" w:hanging="426"/>
        <w:jc w:val="both"/>
        <w:rPr>
          <w:rFonts w:ascii="Arial Narrow" w:hAnsi="Arial Narrow"/>
          <w:sz w:val="16"/>
          <w:szCs w:val="16"/>
        </w:rPr>
      </w:pPr>
      <w:r w:rsidRPr="00413893">
        <w:rPr>
          <w:rStyle w:val="Refdenotaalpie"/>
          <w:rFonts w:ascii="Arial Narrow" w:hAnsi="Arial Narrow"/>
          <w:sz w:val="16"/>
          <w:szCs w:val="16"/>
        </w:rPr>
        <w:footnoteRef/>
      </w:r>
      <w:r w:rsidRPr="00413893">
        <w:rPr>
          <w:rFonts w:ascii="Arial Narrow" w:hAnsi="Arial Narrow"/>
          <w:sz w:val="16"/>
          <w:szCs w:val="16"/>
        </w:rPr>
        <w:t xml:space="preserve"> </w:t>
      </w:r>
      <w:r>
        <w:rPr>
          <w:rFonts w:ascii="Arial Narrow" w:hAnsi="Arial Narrow"/>
          <w:sz w:val="16"/>
          <w:szCs w:val="16"/>
        </w:rPr>
        <w:tab/>
      </w:r>
      <w:r w:rsidRPr="00413893">
        <w:rPr>
          <w:rFonts w:ascii="Arial Narrow" w:hAnsi="Arial Narrow"/>
          <w:b/>
          <w:bCs/>
          <w:sz w:val="16"/>
          <w:szCs w:val="16"/>
        </w:rPr>
        <w:t xml:space="preserve">DECRETO SUPREMO N° 004-2019-JUS, TEXTO ÚNICO ORDENADO DE LA LEY DEL PROCEDIMIENTO ADMINISTRATIVO GENERAL, publicado el 25 de enero de 2019. </w:t>
      </w:r>
    </w:p>
    <w:p w14:paraId="3A28084E" w14:textId="77777777" w:rsidR="00413893" w:rsidRPr="00413893" w:rsidRDefault="00413893" w:rsidP="00413893">
      <w:pPr>
        <w:pStyle w:val="Default"/>
        <w:ind w:left="426"/>
        <w:jc w:val="both"/>
        <w:rPr>
          <w:rFonts w:ascii="Arial Narrow" w:hAnsi="Arial Narrow"/>
          <w:sz w:val="16"/>
          <w:szCs w:val="16"/>
        </w:rPr>
      </w:pPr>
      <w:r w:rsidRPr="00413893">
        <w:rPr>
          <w:rFonts w:ascii="Arial Narrow" w:hAnsi="Arial Narrow"/>
          <w:b/>
          <w:bCs/>
          <w:sz w:val="16"/>
          <w:szCs w:val="16"/>
        </w:rPr>
        <w:t xml:space="preserve">Principios del procedimiento administrativo. - </w:t>
      </w:r>
      <w:r w:rsidRPr="00413893">
        <w:rPr>
          <w:rFonts w:ascii="Arial Narrow" w:hAnsi="Arial Narrow"/>
          <w:sz w:val="16"/>
          <w:szCs w:val="16"/>
        </w:rPr>
        <w:t xml:space="preserve">1. El procedimiento administrativo se sustenta fundamentalmente en los siguientes principios, sin perjuicio de la vigencia de otros principios generales del Derecho Administrativo: </w:t>
      </w:r>
    </w:p>
    <w:p w14:paraId="2CD35A6D" w14:textId="77777777" w:rsidR="00413893" w:rsidRPr="00413893" w:rsidRDefault="00413893" w:rsidP="00413893">
      <w:pPr>
        <w:pStyle w:val="Default"/>
        <w:ind w:firstLine="426"/>
        <w:jc w:val="both"/>
        <w:rPr>
          <w:rFonts w:ascii="Arial Narrow" w:hAnsi="Arial Narrow"/>
          <w:sz w:val="16"/>
          <w:szCs w:val="16"/>
        </w:rPr>
      </w:pPr>
      <w:r w:rsidRPr="00413893">
        <w:rPr>
          <w:rFonts w:ascii="Arial Narrow" w:hAnsi="Arial Narrow"/>
          <w:sz w:val="16"/>
          <w:szCs w:val="16"/>
        </w:rPr>
        <w:t xml:space="preserve">(...) </w:t>
      </w:r>
    </w:p>
    <w:p w14:paraId="5BF97896" w14:textId="55D12FDD" w:rsidR="00413893" w:rsidRPr="00413893" w:rsidRDefault="00413893" w:rsidP="00413893">
      <w:pPr>
        <w:pStyle w:val="Textonotapie"/>
        <w:ind w:left="426"/>
        <w:jc w:val="both"/>
        <w:rPr>
          <w:rFonts w:ascii="Arial Narrow" w:hAnsi="Arial Narrow"/>
          <w:sz w:val="16"/>
          <w:szCs w:val="16"/>
        </w:rPr>
      </w:pPr>
      <w:r w:rsidRPr="00413893">
        <w:rPr>
          <w:rFonts w:ascii="Arial Narrow" w:hAnsi="Arial Narrow"/>
          <w:b/>
          <w:bCs/>
          <w:sz w:val="16"/>
          <w:szCs w:val="16"/>
        </w:rPr>
        <w:t xml:space="preserve">1.2 Principio del debido procedimiento. - </w:t>
      </w:r>
      <w:r w:rsidRPr="00413893">
        <w:rPr>
          <w:rFonts w:ascii="Arial Narrow" w:hAnsi="Arial Narrow"/>
          <w:sz w:val="16"/>
          <w:szCs w:val="16"/>
        </w:rPr>
        <w:t>Los administrados gozan de todos los derechos y garantías inherentes al debido procedimiento administrativo, que comprende el derecho a exponer sus argumentos, a ofrecer y producir pruebas a obtener una decisión motivada y fundada en derecho. La regulación propia del Derecho Procesal Civil es aplicable sólo en cuanto sea compatible con el régimen administrativo.</w:t>
      </w:r>
    </w:p>
  </w:footnote>
  <w:footnote w:id="4">
    <w:p w14:paraId="716D92D0" w14:textId="77777777" w:rsidR="0024117D" w:rsidRPr="00821021" w:rsidRDefault="0024117D" w:rsidP="0024117D">
      <w:pPr>
        <w:pStyle w:val="Textonotapie"/>
        <w:ind w:left="567" w:hanging="567"/>
        <w:jc w:val="both"/>
        <w:rPr>
          <w:rFonts w:ascii="Arial Narrow" w:hAnsi="Arial Narrow"/>
          <w:sz w:val="16"/>
          <w:szCs w:val="16"/>
        </w:rPr>
      </w:pPr>
      <w:r w:rsidRPr="00821021">
        <w:rPr>
          <w:rStyle w:val="Refdenotaalpie"/>
          <w:rFonts w:ascii="Arial Narrow" w:hAnsi="Arial Narrow"/>
          <w:sz w:val="16"/>
          <w:szCs w:val="16"/>
        </w:rPr>
        <w:footnoteRef/>
      </w:r>
      <w:r w:rsidRPr="00821021">
        <w:rPr>
          <w:rFonts w:ascii="Arial Narrow" w:hAnsi="Arial Narrow"/>
          <w:sz w:val="16"/>
          <w:szCs w:val="16"/>
        </w:rPr>
        <w:t xml:space="preserve"> </w:t>
      </w:r>
      <w:r w:rsidRPr="00821021">
        <w:rPr>
          <w:rFonts w:ascii="Arial Narrow" w:hAnsi="Arial Narrow"/>
          <w:sz w:val="16"/>
          <w:szCs w:val="16"/>
        </w:rPr>
        <w:tab/>
      </w:r>
      <w:r w:rsidRPr="00821021">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13A63AF0" w14:textId="77777777" w:rsidR="0024117D" w:rsidRPr="00821021" w:rsidRDefault="0024117D" w:rsidP="0024117D">
      <w:pPr>
        <w:pStyle w:val="Textonotapie"/>
        <w:ind w:left="1134" w:hanging="567"/>
        <w:jc w:val="both"/>
        <w:rPr>
          <w:rFonts w:ascii="Arial Narrow" w:hAnsi="Arial Narrow"/>
          <w:b/>
          <w:bCs/>
          <w:sz w:val="16"/>
          <w:szCs w:val="16"/>
        </w:rPr>
      </w:pPr>
      <w:r w:rsidRPr="00821021">
        <w:rPr>
          <w:rFonts w:ascii="Arial Narrow" w:hAnsi="Arial Narrow"/>
          <w:b/>
          <w:bCs/>
          <w:sz w:val="16"/>
          <w:szCs w:val="16"/>
        </w:rPr>
        <w:t>Artículo 20. Modalidades de notificación|</w:t>
      </w:r>
    </w:p>
    <w:p w14:paraId="6B2FC8F3" w14:textId="77777777" w:rsidR="0024117D" w:rsidRPr="00821021" w:rsidRDefault="0024117D" w:rsidP="0024117D">
      <w:pPr>
        <w:pStyle w:val="Textonotapie"/>
        <w:ind w:left="1134" w:hanging="567"/>
        <w:jc w:val="both"/>
        <w:rPr>
          <w:rFonts w:ascii="Arial Narrow" w:hAnsi="Arial Narrow" w:cs="Arial"/>
          <w:sz w:val="16"/>
          <w:szCs w:val="16"/>
        </w:rPr>
      </w:pPr>
      <w:r w:rsidRPr="00821021">
        <w:rPr>
          <w:rFonts w:ascii="Arial Narrow" w:hAnsi="Arial Narrow" w:cs="Arial"/>
          <w:sz w:val="16"/>
          <w:szCs w:val="16"/>
        </w:rPr>
        <w:t xml:space="preserve">20.4. </w:t>
      </w:r>
      <w:r w:rsidRPr="00821021">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33D0239" w14:textId="77777777" w:rsidR="0024117D" w:rsidRPr="00821021" w:rsidRDefault="0024117D" w:rsidP="0024117D">
      <w:pPr>
        <w:pStyle w:val="Textonotapie"/>
        <w:ind w:left="1134"/>
        <w:jc w:val="both"/>
        <w:rPr>
          <w:rFonts w:ascii="Arial Narrow" w:hAnsi="Arial Narrow" w:cs="Arial"/>
          <w:sz w:val="16"/>
          <w:szCs w:val="16"/>
        </w:rPr>
      </w:pPr>
      <w:r w:rsidRPr="00821021">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68B0691" w14:textId="77777777" w:rsidR="0024117D" w:rsidRPr="00821021" w:rsidRDefault="0024117D" w:rsidP="0024117D">
      <w:pPr>
        <w:pStyle w:val="Textonotapie"/>
        <w:ind w:left="1134"/>
        <w:jc w:val="both"/>
        <w:rPr>
          <w:rFonts w:ascii="Arial Narrow" w:hAnsi="Arial Narrow" w:cs="Arial"/>
          <w:sz w:val="16"/>
          <w:szCs w:val="16"/>
        </w:rPr>
      </w:pPr>
      <w:r w:rsidRPr="00821021">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4E87DBEA" w14:textId="77777777" w:rsidR="0024117D" w:rsidRPr="000C753D" w:rsidRDefault="0024117D" w:rsidP="0024117D">
      <w:pPr>
        <w:pStyle w:val="Textonotapie"/>
        <w:ind w:left="1134" w:hanging="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2"/>
      <w:gridCol w:w="4162"/>
    </w:tblGrid>
    <w:tr w:rsidR="002F0AC5" w14:paraId="38F03D88" w14:textId="77777777" w:rsidTr="008949E8">
      <w:tc>
        <w:tcPr>
          <w:tcW w:w="4530" w:type="dxa"/>
        </w:tcPr>
        <w:p w14:paraId="623D5CA0" w14:textId="77777777" w:rsidR="002F0AC5" w:rsidRDefault="002F0AC5" w:rsidP="002F0AC5">
          <w:pPr>
            <w:pStyle w:val="Encabezado"/>
          </w:pPr>
          <w:r w:rsidRPr="00C262FD">
            <w:rPr>
              <w:noProof/>
            </w:rPr>
            <w:drawing>
              <wp:inline distT="0" distB="0" distL="0" distR="0" wp14:anchorId="79403A4E" wp14:editId="3009C696">
                <wp:extent cx="1638794" cy="777834"/>
                <wp:effectExtent l="0" t="0" r="0" b="3810"/>
                <wp:docPr id="708714465" name="Imagen 708714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530" w:type="dxa"/>
        </w:tcPr>
        <w:p w14:paraId="671744AF" w14:textId="77777777" w:rsidR="002F0AC5" w:rsidRDefault="002F0AC5" w:rsidP="002F0AC5">
          <w:pPr>
            <w:tabs>
              <w:tab w:val="center" w:pos="4419"/>
              <w:tab w:val="right" w:pos="8838"/>
            </w:tabs>
            <w:jc w:val="right"/>
            <w:rPr>
              <w:rFonts w:ascii="Arial Narrow" w:hAnsi="Arial Narrow" w:cs="Arial Narrow"/>
              <w:b/>
              <w:bCs/>
              <w:i/>
              <w:iCs/>
              <w:sz w:val="16"/>
              <w:szCs w:val="16"/>
            </w:rPr>
          </w:pPr>
        </w:p>
        <w:p w14:paraId="02B2D042" w14:textId="77777777" w:rsidR="002F0AC5" w:rsidRDefault="002F0AC5" w:rsidP="002F0AC5">
          <w:pPr>
            <w:tabs>
              <w:tab w:val="center" w:pos="4419"/>
              <w:tab w:val="right" w:pos="8838"/>
            </w:tabs>
            <w:jc w:val="right"/>
            <w:rPr>
              <w:rFonts w:ascii="Arial Narrow" w:hAnsi="Arial Narrow" w:cs="Arial Narrow"/>
              <w:b/>
              <w:bCs/>
              <w:i/>
              <w:iCs/>
              <w:sz w:val="16"/>
              <w:szCs w:val="16"/>
            </w:rPr>
          </w:pPr>
        </w:p>
        <w:p w14:paraId="20EC2FEC" w14:textId="77777777" w:rsidR="002F0AC5" w:rsidRDefault="002F0AC5" w:rsidP="002F0AC5">
          <w:pPr>
            <w:tabs>
              <w:tab w:val="center" w:pos="4419"/>
              <w:tab w:val="right" w:pos="8838"/>
            </w:tabs>
            <w:jc w:val="right"/>
            <w:rPr>
              <w:rFonts w:ascii="Arial Narrow" w:hAnsi="Arial Narrow" w:cs="Arial Narrow"/>
              <w:b/>
              <w:bCs/>
              <w:i/>
              <w:iCs/>
              <w:sz w:val="16"/>
              <w:szCs w:val="16"/>
            </w:rPr>
          </w:pPr>
        </w:p>
        <w:p w14:paraId="1FF73034" w14:textId="77777777" w:rsidR="002F0AC5" w:rsidRPr="00C262FD" w:rsidRDefault="002F0AC5" w:rsidP="002F0AC5">
          <w:pPr>
            <w:tabs>
              <w:tab w:val="center" w:pos="4419"/>
              <w:tab w:val="right" w:pos="8838"/>
            </w:tabs>
            <w:jc w:val="right"/>
            <w:rPr>
              <w:rFonts w:ascii="Arial Narrow" w:hAnsi="Arial Narrow" w:cs="Arial Narrow"/>
              <w:b/>
              <w:bCs/>
              <w:i/>
              <w:iCs/>
              <w:sz w:val="16"/>
              <w:szCs w:val="16"/>
            </w:rPr>
          </w:pPr>
          <w:r w:rsidRPr="00C262FD">
            <w:rPr>
              <w:rFonts w:ascii="Arial Narrow" w:hAnsi="Arial Narrow" w:cs="Arial Narrow"/>
              <w:b/>
              <w:bCs/>
              <w:i/>
              <w:iCs/>
              <w:sz w:val="16"/>
              <w:szCs w:val="16"/>
            </w:rPr>
            <w:t xml:space="preserve">SECRETARIA TÉCNICA DE LA    </w:t>
          </w:r>
        </w:p>
        <w:p w14:paraId="6900FF99" w14:textId="77777777" w:rsidR="002F0AC5" w:rsidRPr="00C262FD" w:rsidRDefault="002F0AC5" w:rsidP="002F0AC5">
          <w:pPr>
            <w:tabs>
              <w:tab w:val="center" w:pos="4419"/>
              <w:tab w:val="right" w:pos="8838"/>
            </w:tabs>
            <w:jc w:val="right"/>
            <w:rPr>
              <w:rFonts w:ascii="Arial Narrow" w:hAnsi="Arial Narrow" w:cs="Arial Narrow"/>
              <w:b/>
              <w:bCs/>
              <w:i/>
              <w:iCs/>
              <w:sz w:val="16"/>
              <w:szCs w:val="16"/>
            </w:rPr>
          </w:pPr>
          <w:r w:rsidRPr="00C262FD">
            <w:rPr>
              <w:rFonts w:ascii="Arial Narrow" w:hAnsi="Arial Narrow" w:cs="Arial Narrow"/>
              <w:b/>
              <w:bCs/>
              <w:i/>
              <w:iCs/>
              <w:sz w:val="16"/>
              <w:szCs w:val="16"/>
            </w:rPr>
            <w:t>COMISIÓN DE PROTECCIÓN AL CONSUMIDOR 1</w:t>
          </w:r>
        </w:p>
        <w:p w14:paraId="665A8013" w14:textId="77777777" w:rsidR="002F0AC5" w:rsidRDefault="002F0AC5" w:rsidP="002F0AC5">
          <w:pPr>
            <w:pStyle w:val="Encabezado"/>
            <w:jc w:val="right"/>
          </w:pPr>
          <w:r w:rsidRPr="00C262FD">
            <w:rPr>
              <w:rFonts w:ascii="Arial Narrow" w:hAnsi="Arial Narrow" w:cs="Arial Narrow"/>
              <w:b/>
              <w:bCs/>
              <w:i/>
              <w:iCs/>
              <w:sz w:val="16"/>
              <w:szCs w:val="16"/>
            </w:rPr>
            <w:t>SEDE CENTRAL</w:t>
          </w:r>
        </w:p>
      </w:tc>
    </w:tr>
  </w:tbl>
  <w:p w14:paraId="13F79720" w14:textId="77777777" w:rsidR="00A42CA3" w:rsidRDefault="00A42CA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2E6010A"/>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FA98FAC"/>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8F9B9BC"/>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9AD2BEB7"/>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80C94E9"/>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BE3B4EC"/>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D6B925F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BF3FF27"/>
    <w:multiLevelType w:val="hybridMultilevel"/>
    <w:tmpl w:val="B1A22F78"/>
    <w:lvl w:ilvl="0" w:tplc="9182A56C">
      <w:start w:val="1"/>
      <w:numFmt w:val="lowerRoman"/>
      <w:lvlText w:val="%1."/>
      <w:lvlJc w:val="left"/>
      <w:rPr>
        <w:rFonts w:ascii="Arial Narrow" w:eastAsiaTheme="minorHAnsi" w:hAnsi="Arial Narrow" w:cs="Aria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6A5070F"/>
    <w:multiLevelType w:val="hybridMultilevel"/>
    <w:tmpl w:val="3F284F24"/>
    <w:lvl w:ilvl="0" w:tplc="81307E8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082B3731"/>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62A0D2F"/>
    <w:multiLevelType w:val="hybridMultilevel"/>
    <w:tmpl w:val="C7B8745C"/>
    <w:lvl w:ilvl="0" w:tplc="49DE4BDA">
      <w:start w:val="1"/>
      <w:numFmt w:val="lowerRoman"/>
      <w:lvlText w:val="(%1)"/>
      <w:lvlJc w:val="left"/>
      <w:pPr>
        <w:ind w:left="1287" w:hanging="720"/>
      </w:pPr>
      <w:rPr>
        <w:rFonts w:ascii="Arial Narrow" w:hAnsi="Arial Narrow" w:hint="default"/>
        <w:b w:val="0"/>
        <w:sz w:val="22"/>
        <w:szCs w:val="22"/>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abstractNum w:abstractNumId="11" w15:restartNumberingAfterBreak="0">
    <w:nsid w:val="19FAACC0"/>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A554340"/>
    <w:multiLevelType w:val="hybridMultilevel"/>
    <w:tmpl w:val="4FDC39BA"/>
    <w:lvl w:ilvl="0" w:tplc="CA221988">
      <w:start w:val="1"/>
      <w:numFmt w:val="lowerRoman"/>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3" w15:restartNumberingAfterBreak="0">
    <w:nsid w:val="2BA87EF1"/>
    <w:multiLevelType w:val="hybridMultilevel"/>
    <w:tmpl w:val="5E0A2430"/>
    <w:lvl w:ilvl="0" w:tplc="B4EEA988">
      <w:start w:val="1"/>
      <w:numFmt w:val="lowerRoman"/>
      <w:lvlText w:val="(%1)"/>
      <w:lvlJc w:val="left"/>
      <w:pPr>
        <w:ind w:left="1080" w:hanging="720"/>
      </w:pPr>
      <w:rPr>
        <w:b w:val="0"/>
        <w:bCs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4" w15:restartNumberingAfterBreak="0">
    <w:nsid w:val="334B0D24"/>
    <w:multiLevelType w:val="hybridMultilevel"/>
    <w:tmpl w:val="4E04598E"/>
    <w:lvl w:ilvl="0" w:tplc="3042A6B0">
      <w:start w:val="1"/>
      <w:numFmt w:val="lowerRoman"/>
      <w:lvlText w:val="(%1)"/>
      <w:lvlJc w:val="left"/>
      <w:pPr>
        <w:ind w:left="3672" w:hanging="360"/>
      </w:pPr>
      <w:rPr>
        <w:rFonts w:ascii="Arial Narrow" w:hAnsi="Arial Narrow" w:cs="Arial" w:hint="default"/>
        <w:b w:val="0"/>
        <w:sz w:val="21"/>
        <w:szCs w:val="21"/>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5" w15:restartNumberingAfterBreak="0">
    <w:nsid w:val="394E1343"/>
    <w:multiLevelType w:val="hybridMultilevel"/>
    <w:tmpl w:val="D8C0B87C"/>
    <w:lvl w:ilvl="0" w:tplc="280A0017">
      <w:start w:val="1"/>
      <w:numFmt w:val="lowerLetter"/>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6" w15:restartNumberingAfterBreak="0">
    <w:nsid w:val="3B8529C3"/>
    <w:multiLevelType w:val="hybridMultilevel"/>
    <w:tmpl w:val="AA645E30"/>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7" w15:restartNumberingAfterBreak="0">
    <w:nsid w:val="3CEAB0F0"/>
    <w:multiLevelType w:val="hybridMultilevel"/>
    <w:tmpl w:val="FFFFFFFF"/>
    <w:lvl w:ilvl="0" w:tplc="FFFFFFFF">
      <w:start w:val="1"/>
      <w:numFmt w:val="decimal"/>
      <w:lvlText w:val="%1."/>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8" w15:restartNumberingAfterBreak="0">
    <w:nsid w:val="4DB719B5"/>
    <w:multiLevelType w:val="hybridMultilevel"/>
    <w:tmpl w:val="FFFFFFFF"/>
    <w:lvl w:ilvl="0" w:tplc="FFFFFFFF">
      <w:start w:val="1"/>
      <w:numFmt w:val="decimal"/>
      <w:lvlText w:val="%1."/>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9" w15:restartNumberingAfterBreak="0">
    <w:nsid w:val="54A5786D"/>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5C1F3B61"/>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5D7A5880"/>
    <w:multiLevelType w:val="hybridMultilevel"/>
    <w:tmpl w:val="3A52C530"/>
    <w:lvl w:ilvl="0" w:tplc="C0027E50">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2" w15:restartNumberingAfterBreak="0">
    <w:nsid w:val="60764DB8"/>
    <w:multiLevelType w:val="hybridMultilevel"/>
    <w:tmpl w:val="A6C438C6"/>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678F2A5C"/>
    <w:multiLevelType w:val="hybridMultilevel"/>
    <w:tmpl w:val="11ECC988"/>
    <w:lvl w:ilvl="0" w:tplc="EB04A688">
      <w:start w:val="1"/>
      <w:numFmt w:val="lowerRoman"/>
      <w:lvlText w:val="(%1)"/>
      <w:lvlJc w:val="left"/>
      <w:pPr>
        <w:ind w:left="1080" w:hanging="720"/>
      </w:pPr>
      <w:rPr>
        <w:rFonts w:hint="default"/>
        <w:b w:val="0"/>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67F5DE7A"/>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6C4903EE"/>
    <w:multiLevelType w:val="hybridMultilevel"/>
    <w:tmpl w:val="6CF0C824"/>
    <w:lvl w:ilvl="0" w:tplc="85B60870">
      <w:start w:val="1"/>
      <w:numFmt w:val="lowerRoman"/>
      <w:lvlText w:val="(%1)"/>
      <w:lvlJc w:val="left"/>
      <w:pPr>
        <w:ind w:left="1080" w:hanging="72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7" w15:restartNumberingAfterBreak="0">
    <w:nsid w:val="6D2D1F44"/>
    <w:multiLevelType w:val="hybridMultilevel"/>
    <w:tmpl w:val="AA645E30"/>
    <w:lvl w:ilvl="0" w:tplc="CA221988">
      <w:start w:val="1"/>
      <w:numFmt w:val="lowerRoman"/>
      <w:lvlText w:val="(%1)"/>
      <w:lvlJc w:val="left"/>
      <w:pPr>
        <w:ind w:left="720" w:hanging="360"/>
      </w:pPr>
    </w:lvl>
    <w:lvl w:ilvl="1" w:tplc="280A0019">
      <w:start w:val="1"/>
      <w:numFmt w:val="decimal"/>
      <w:lvlText w:val="%2."/>
      <w:lvlJc w:val="left"/>
      <w:pPr>
        <w:tabs>
          <w:tab w:val="num" w:pos="1440"/>
        </w:tabs>
        <w:ind w:left="1440" w:hanging="360"/>
      </w:pPr>
    </w:lvl>
    <w:lvl w:ilvl="2" w:tplc="280A001B">
      <w:start w:val="1"/>
      <w:numFmt w:val="decimal"/>
      <w:lvlText w:val="%3."/>
      <w:lvlJc w:val="left"/>
      <w:pPr>
        <w:tabs>
          <w:tab w:val="num" w:pos="2160"/>
        </w:tabs>
        <w:ind w:left="2160" w:hanging="360"/>
      </w:pPr>
    </w:lvl>
    <w:lvl w:ilvl="3" w:tplc="280A000F">
      <w:start w:val="1"/>
      <w:numFmt w:val="decimal"/>
      <w:lvlText w:val="%4."/>
      <w:lvlJc w:val="left"/>
      <w:pPr>
        <w:tabs>
          <w:tab w:val="num" w:pos="2880"/>
        </w:tabs>
        <w:ind w:left="2880" w:hanging="360"/>
      </w:pPr>
    </w:lvl>
    <w:lvl w:ilvl="4" w:tplc="280A0019">
      <w:start w:val="1"/>
      <w:numFmt w:val="decimal"/>
      <w:lvlText w:val="%5."/>
      <w:lvlJc w:val="left"/>
      <w:pPr>
        <w:tabs>
          <w:tab w:val="num" w:pos="3600"/>
        </w:tabs>
        <w:ind w:left="3600" w:hanging="360"/>
      </w:pPr>
    </w:lvl>
    <w:lvl w:ilvl="5" w:tplc="280A001B">
      <w:start w:val="1"/>
      <w:numFmt w:val="decimal"/>
      <w:lvlText w:val="%6."/>
      <w:lvlJc w:val="left"/>
      <w:pPr>
        <w:tabs>
          <w:tab w:val="num" w:pos="4320"/>
        </w:tabs>
        <w:ind w:left="4320" w:hanging="360"/>
      </w:pPr>
    </w:lvl>
    <w:lvl w:ilvl="6" w:tplc="280A000F">
      <w:start w:val="1"/>
      <w:numFmt w:val="decimal"/>
      <w:lvlText w:val="%7."/>
      <w:lvlJc w:val="left"/>
      <w:pPr>
        <w:tabs>
          <w:tab w:val="num" w:pos="5040"/>
        </w:tabs>
        <w:ind w:left="5040" w:hanging="360"/>
      </w:pPr>
    </w:lvl>
    <w:lvl w:ilvl="7" w:tplc="280A0019">
      <w:start w:val="1"/>
      <w:numFmt w:val="decimal"/>
      <w:lvlText w:val="%8."/>
      <w:lvlJc w:val="left"/>
      <w:pPr>
        <w:tabs>
          <w:tab w:val="num" w:pos="5760"/>
        </w:tabs>
        <w:ind w:left="5760" w:hanging="360"/>
      </w:pPr>
    </w:lvl>
    <w:lvl w:ilvl="8" w:tplc="280A001B">
      <w:start w:val="1"/>
      <w:numFmt w:val="decimal"/>
      <w:lvlText w:val="%9."/>
      <w:lvlJc w:val="left"/>
      <w:pPr>
        <w:tabs>
          <w:tab w:val="num" w:pos="6480"/>
        </w:tabs>
        <w:ind w:left="6480" w:hanging="360"/>
      </w:pPr>
    </w:lvl>
  </w:abstractNum>
  <w:abstractNum w:abstractNumId="28" w15:restartNumberingAfterBreak="0">
    <w:nsid w:val="71021CC5"/>
    <w:multiLevelType w:val="hybridMultilevel"/>
    <w:tmpl w:val="11ECC988"/>
    <w:lvl w:ilvl="0" w:tplc="FFFFFFFF">
      <w:start w:val="1"/>
      <w:numFmt w:val="lowerRoman"/>
      <w:lvlText w:val="(%1)"/>
      <w:lvlJc w:val="left"/>
      <w:pPr>
        <w:ind w:left="1080" w:hanging="720"/>
      </w:pPr>
      <w:rPr>
        <w:rFonts w:hint="default"/>
        <w:b w:val="0"/>
        <w:bCs/>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82449F2"/>
    <w:multiLevelType w:val="hybridMultilevel"/>
    <w:tmpl w:val="B650C314"/>
    <w:lvl w:ilvl="0" w:tplc="8A648774">
      <w:start w:val="1"/>
      <w:numFmt w:val="lowerRoman"/>
      <w:lvlText w:val="(%1)"/>
      <w:lvlJc w:val="left"/>
      <w:pPr>
        <w:ind w:left="1080" w:hanging="720"/>
      </w:pPr>
      <w:rPr>
        <w:b w:val="0"/>
        <w:bCs/>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0" w15:restartNumberingAfterBreak="0">
    <w:nsid w:val="7AF610F0"/>
    <w:multiLevelType w:val="hybridMultilevel"/>
    <w:tmpl w:val="4F840AF6"/>
    <w:lvl w:ilvl="0" w:tplc="F844DD3E">
      <w:start w:val="1"/>
      <w:numFmt w:val="lowerRoman"/>
      <w:lvlText w:val="(%1)"/>
      <w:lvlJc w:val="left"/>
      <w:pPr>
        <w:ind w:left="72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16cid:durableId="1072922111">
    <w:abstractNumId w:val="16"/>
  </w:num>
  <w:num w:numId="2" w16cid:durableId="4098128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7227099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193028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237035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509472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90476308">
    <w:abstractNumId w:val="16"/>
  </w:num>
  <w:num w:numId="8" w16cid:durableId="1458719677">
    <w:abstractNumId w:val="19"/>
  </w:num>
  <w:num w:numId="9" w16cid:durableId="1105610185">
    <w:abstractNumId w:val="26"/>
  </w:num>
  <w:num w:numId="10" w16cid:durableId="1272274829">
    <w:abstractNumId w:val="23"/>
  </w:num>
  <w:num w:numId="11" w16cid:durableId="186719246">
    <w:abstractNumId w:val="24"/>
  </w:num>
  <w:num w:numId="12" w16cid:durableId="630021087">
    <w:abstractNumId w:val="8"/>
  </w:num>
  <w:num w:numId="13" w16cid:durableId="1940216325">
    <w:abstractNumId w:val="28"/>
  </w:num>
  <w:num w:numId="14" w16cid:durableId="914163163">
    <w:abstractNumId w:val="22"/>
  </w:num>
  <w:num w:numId="15" w16cid:durableId="12263779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62625320">
    <w:abstractNumId w:val="17"/>
    <w:lvlOverride w:ilvl="0">
      <w:startOverride w:val="1"/>
    </w:lvlOverride>
    <w:lvlOverride w:ilvl="1"/>
    <w:lvlOverride w:ilvl="2"/>
    <w:lvlOverride w:ilvl="3"/>
    <w:lvlOverride w:ilvl="4"/>
    <w:lvlOverride w:ilvl="5"/>
    <w:lvlOverride w:ilvl="6"/>
    <w:lvlOverride w:ilvl="7"/>
    <w:lvlOverride w:ilvl="8"/>
  </w:num>
  <w:num w:numId="17" w16cid:durableId="81776630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76533424">
    <w:abstractNumId w:val="13"/>
  </w:num>
  <w:num w:numId="19" w16cid:durableId="1287663994">
    <w:abstractNumId w:val="17"/>
  </w:num>
  <w:num w:numId="20" w16cid:durableId="1126435686">
    <w:abstractNumId w:val="4"/>
  </w:num>
  <w:num w:numId="21" w16cid:durableId="645281847">
    <w:abstractNumId w:val="3"/>
  </w:num>
  <w:num w:numId="22" w16cid:durableId="1311980391">
    <w:abstractNumId w:val="20"/>
  </w:num>
  <w:num w:numId="23" w16cid:durableId="391775290">
    <w:abstractNumId w:val="0"/>
  </w:num>
  <w:num w:numId="24" w16cid:durableId="1453598452">
    <w:abstractNumId w:val="9"/>
  </w:num>
  <w:num w:numId="25" w16cid:durableId="538201958">
    <w:abstractNumId w:val="25"/>
  </w:num>
  <w:num w:numId="26" w16cid:durableId="1310016621">
    <w:abstractNumId w:val="7"/>
  </w:num>
  <w:num w:numId="27" w16cid:durableId="1111362482">
    <w:abstractNumId w:val="11"/>
  </w:num>
  <w:num w:numId="28" w16cid:durableId="1824392283">
    <w:abstractNumId w:val="5"/>
  </w:num>
  <w:num w:numId="29" w16cid:durableId="1480615512">
    <w:abstractNumId w:val="2"/>
  </w:num>
  <w:num w:numId="30" w16cid:durableId="545602455">
    <w:abstractNumId w:val="1"/>
  </w:num>
  <w:num w:numId="31" w16cid:durableId="1748187389">
    <w:abstractNumId w:val="6"/>
  </w:num>
  <w:num w:numId="32" w16cid:durableId="954871259">
    <w:abstractNumId w:val="21"/>
  </w:num>
  <w:num w:numId="33" w16cid:durableId="1664047508">
    <w:abstractNumId w:val="18"/>
  </w:num>
  <w:num w:numId="34" w16cid:durableId="990135911">
    <w:abstractNumId w:val="12"/>
  </w:num>
  <w:num w:numId="35" w16cid:durableId="928318633">
    <w:abstractNumId w:val="15"/>
  </w:num>
  <w:num w:numId="36" w16cid:durableId="109782509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AC5"/>
    <w:rsid w:val="0001739D"/>
    <w:rsid w:val="000633A4"/>
    <w:rsid w:val="00094288"/>
    <w:rsid w:val="000A2609"/>
    <w:rsid w:val="000A548B"/>
    <w:rsid w:val="000B53F4"/>
    <w:rsid w:val="000B6A47"/>
    <w:rsid w:val="000E4F39"/>
    <w:rsid w:val="000E7FB2"/>
    <w:rsid w:val="00102800"/>
    <w:rsid w:val="0011234A"/>
    <w:rsid w:val="00144A62"/>
    <w:rsid w:val="0015752F"/>
    <w:rsid w:val="001610D1"/>
    <w:rsid w:val="00196E45"/>
    <w:rsid w:val="001B23B8"/>
    <w:rsid w:val="001C32DB"/>
    <w:rsid w:val="001D05C5"/>
    <w:rsid w:val="001D4F29"/>
    <w:rsid w:val="001D7BE2"/>
    <w:rsid w:val="0024117D"/>
    <w:rsid w:val="00281614"/>
    <w:rsid w:val="00285F80"/>
    <w:rsid w:val="002C312E"/>
    <w:rsid w:val="002D2338"/>
    <w:rsid w:val="002F0AC5"/>
    <w:rsid w:val="00302212"/>
    <w:rsid w:val="00345C4F"/>
    <w:rsid w:val="00345C84"/>
    <w:rsid w:val="00346658"/>
    <w:rsid w:val="00352521"/>
    <w:rsid w:val="003533B2"/>
    <w:rsid w:val="003549AE"/>
    <w:rsid w:val="003A440A"/>
    <w:rsid w:val="004102AE"/>
    <w:rsid w:val="00413893"/>
    <w:rsid w:val="00450B95"/>
    <w:rsid w:val="00491EAB"/>
    <w:rsid w:val="00495499"/>
    <w:rsid w:val="004B1607"/>
    <w:rsid w:val="004E3A9F"/>
    <w:rsid w:val="00501C5D"/>
    <w:rsid w:val="0050234F"/>
    <w:rsid w:val="00534DBD"/>
    <w:rsid w:val="00552B4D"/>
    <w:rsid w:val="00556D44"/>
    <w:rsid w:val="00573F46"/>
    <w:rsid w:val="00587C9F"/>
    <w:rsid w:val="005A69FF"/>
    <w:rsid w:val="005C2715"/>
    <w:rsid w:val="005C6881"/>
    <w:rsid w:val="006068C2"/>
    <w:rsid w:val="006134BA"/>
    <w:rsid w:val="006275A8"/>
    <w:rsid w:val="00644D44"/>
    <w:rsid w:val="00647B48"/>
    <w:rsid w:val="00655D84"/>
    <w:rsid w:val="00657F90"/>
    <w:rsid w:val="00685679"/>
    <w:rsid w:val="006B2931"/>
    <w:rsid w:val="006B3B83"/>
    <w:rsid w:val="006C3406"/>
    <w:rsid w:val="006E220B"/>
    <w:rsid w:val="006E7458"/>
    <w:rsid w:val="00705205"/>
    <w:rsid w:val="00722FB2"/>
    <w:rsid w:val="00727DAB"/>
    <w:rsid w:val="0074413F"/>
    <w:rsid w:val="00752F8E"/>
    <w:rsid w:val="00763733"/>
    <w:rsid w:val="00770F91"/>
    <w:rsid w:val="00777849"/>
    <w:rsid w:val="0078473F"/>
    <w:rsid w:val="00787326"/>
    <w:rsid w:val="00797EC5"/>
    <w:rsid w:val="007E0131"/>
    <w:rsid w:val="007F0E24"/>
    <w:rsid w:val="007F2D20"/>
    <w:rsid w:val="007F783E"/>
    <w:rsid w:val="00816677"/>
    <w:rsid w:val="008275AE"/>
    <w:rsid w:val="00833EC1"/>
    <w:rsid w:val="008420C1"/>
    <w:rsid w:val="00846239"/>
    <w:rsid w:val="00847C7A"/>
    <w:rsid w:val="00866C54"/>
    <w:rsid w:val="008958BF"/>
    <w:rsid w:val="008E6F31"/>
    <w:rsid w:val="00915938"/>
    <w:rsid w:val="0095031C"/>
    <w:rsid w:val="0095236A"/>
    <w:rsid w:val="0097319A"/>
    <w:rsid w:val="00977F97"/>
    <w:rsid w:val="009854BB"/>
    <w:rsid w:val="009B7CA0"/>
    <w:rsid w:val="009C4B63"/>
    <w:rsid w:val="009E30A7"/>
    <w:rsid w:val="00A022FA"/>
    <w:rsid w:val="00A103B6"/>
    <w:rsid w:val="00A20EDA"/>
    <w:rsid w:val="00A36138"/>
    <w:rsid w:val="00A42CA3"/>
    <w:rsid w:val="00A53DB2"/>
    <w:rsid w:val="00A60E0C"/>
    <w:rsid w:val="00A80CA3"/>
    <w:rsid w:val="00A8113C"/>
    <w:rsid w:val="00AA0B58"/>
    <w:rsid w:val="00B04494"/>
    <w:rsid w:val="00B05BAB"/>
    <w:rsid w:val="00B05F67"/>
    <w:rsid w:val="00B07223"/>
    <w:rsid w:val="00B0769E"/>
    <w:rsid w:val="00B3623B"/>
    <w:rsid w:val="00B641F2"/>
    <w:rsid w:val="00B7063F"/>
    <w:rsid w:val="00B93343"/>
    <w:rsid w:val="00BA05B0"/>
    <w:rsid w:val="00BA31D2"/>
    <w:rsid w:val="00BB4997"/>
    <w:rsid w:val="00BC180F"/>
    <w:rsid w:val="00BE0AC5"/>
    <w:rsid w:val="00C00AC7"/>
    <w:rsid w:val="00C12ED1"/>
    <w:rsid w:val="00C14561"/>
    <w:rsid w:val="00C55023"/>
    <w:rsid w:val="00C61BA1"/>
    <w:rsid w:val="00C8500A"/>
    <w:rsid w:val="00CC6B1A"/>
    <w:rsid w:val="00CD5CDF"/>
    <w:rsid w:val="00CE02BE"/>
    <w:rsid w:val="00D004D5"/>
    <w:rsid w:val="00D41135"/>
    <w:rsid w:val="00D627EF"/>
    <w:rsid w:val="00D85C80"/>
    <w:rsid w:val="00DA05A5"/>
    <w:rsid w:val="00DB2472"/>
    <w:rsid w:val="00DB4901"/>
    <w:rsid w:val="00DC4A58"/>
    <w:rsid w:val="00E323E7"/>
    <w:rsid w:val="00E453D5"/>
    <w:rsid w:val="00EA7590"/>
    <w:rsid w:val="00EE26FD"/>
    <w:rsid w:val="00F21162"/>
    <w:rsid w:val="00F378E7"/>
    <w:rsid w:val="00F54BEC"/>
    <w:rsid w:val="00F661F8"/>
    <w:rsid w:val="00F8064B"/>
    <w:rsid w:val="00F84E20"/>
    <w:rsid w:val="00F85470"/>
    <w:rsid w:val="00F95DAD"/>
    <w:rsid w:val="00FC4650"/>
    <w:rsid w:val="00FC7791"/>
    <w:rsid w:val="00FE4C20"/>
    <w:rsid w:val="00FF681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D91A7"/>
  <w15:chartTrackingRefBased/>
  <w15:docId w15:val="{D2E458CE-292A-4133-931C-090B1F549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AC5"/>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
    <w:basedOn w:val="Normal"/>
    <w:link w:val="PrrafodelistaCar"/>
    <w:uiPriority w:val="34"/>
    <w:qFormat/>
    <w:rsid w:val="002F0AC5"/>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1,Car2 Car1,Car21,C1,Ca Ca,Texto nota pie1"/>
    <w:link w:val="Texto1"/>
    <w:uiPriority w:val="99"/>
    <w:qFormat/>
    <w:rsid w:val="002F0AC5"/>
    <w:rPr>
      <w:vertAlign w:val="superscript"/>
    </w:rPr>
  </w:style>
  <w:style w:type="paragraph" w:styleId="Encabezado">
    <w:name w:val="header"/>
    <w:basedOn w:val="Normal"/>
    <w:link w:val="EncabezadoCar"/>
    <w:uiPriority w:val="99"/>
    <w:unhideWhenUsed/>
    <w:rsid w:val="002F0AC5"/>
    <w:pPr>
      <w:tabs>
        <w:tab w:val="center" w:pos="4252"/>
        <w:tab w:val="right" w:pos="8504"/>
      </w:tabs>
    </w:pPr>
  </w:style>
  <w:style w:type="character" w:customStyle="1" w:styleId="EncabezadoCar">
    <w:name w:val="Encabezado Car"/>
    <w:basedOn w:val="Fuentedeprrafopredeter"/>
    <w:link w:val="Encabezado"/>
    <w:uiPriority w:val="99"/>
    <w:rsid w:val="002F0AC5"/>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2F0AC5"/>
    <w:pPr>
      <w:tabs>
        <w:tab w:val="center" w:pos="4252"/>
        <w:tab w:val="right" w:pos="8504"/>
      </w:tabs>
    </w:pPr>
  </w:style>
  <w:style w:type="character" w:customStyle="1" w:styleId="PiedepginaCar">
    <w:name w:val="Pie de página Car"/>
    <w:basedOn w:val="Fuentedeprrafopredeter"/>
    <w:link w:val="Piedepgina"/>
    <w:uiPriority w:val="99"/>
    <w:rsid w:val="002F0AC5"/>
    <w:rPr>
      <w:rFonts w:ascii="Times New Roman" w:eastAsia="Times New Roman" w:hAnsi="Times New Roman" w:cs="Times New Roman"/>
      <w:sz w:val="24"/>
      <w:szCs w:val="24"/>
      <w:lang w:val="es-ES" w:eastAsia="es-ES"/>
    </w:rPr>
  </w:style>
  <w:style w:type="table" w:styleId="Tablaconcuadrcula">
    <w:name w:val="Table Grid"/>
    <w:basedOn w:val="Tablanormal"/>
    <w:uiPriority w:val="39"/>
    <w:rsid w:val="002F0A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aapie">
    <w:name w:val="Nota a pie"/>
    <w:basedOn w:val="Textonotapie"/>
    <w:rsid w:val="00846239"/>
    <w:pPr>
      <w:ind w:left="180"/>
      <w:jc w:val="both"/>
    </w:pPr>
    <w:rPr>
      <w:rFonts w:ascii="Arial Narrow" w:hAnsi="Arial Narrow"/>
      <w:b/>
      <w:sz w:val="16"/>
      <w:szCs w:val="16"/>
    </w:rPr>
  </w:style>
  <w:style w:type="paragraph" w:styleId="Textonotapie">
    <w:name w:val="footnote text"/>
    <w:aliases w:val="Car,Car Car Car,Car Car,Car Car Car Car Car Car,Car Car Car Car,Car Car Car Car Car Car Car Car Car,fn Car,footnote text Car,Footnotes Car,Footnote ak Car,Car11 Car Car Car,Car2,Ca,C,Car Car Car Car Car C,Ca Car, Car, Ca"/>
    <w:basedOn w:val="Normal"/>
    <w:link w:val="TextonotapieCar"/>
    <w:uiPriority w:val="99"/>
    <w:unhideWhenUsed/>
    <w:qFormat/>
    <w:rsid w:val="00846239"/>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846239"/>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846239"/>
    <w:rPr>
      <w:sz w:val="20"/>
      <w:szCs w:val="20"/>
    </w:rPr>
  </w:style>
  <w:style w:type="character" w:customStyle="1" w:styleId="TextonotaalfinalCar">
    <w:name w:val="Texto nota al final Car"/>
    <w:basedOn w:val="Fuentedeprrafopredeter"/>
    <w:link w:val="Textonotaalfinal"/>
    <w:uiPriority w:val="99"/>
    <w:semiHidden/>
    <w:rsid w:val="00846239"/>
    <w:rPr>
      <w:rFonts w:ascii="Times New Roman" w:eastAsia="Times New Roman" w:hAnsi="Times New Roman" w:cs="Times New Roman"/>
      <w:sz w:val="20"/>
      <w:szCs w:val="20"/>
      <w:lang w:val="es-ES" w:eastAsia="es-ES"/>
    </w:rPr>
  </w:style>
  <w:style w:type="character" w:styleId="Refdenotaalfinal">
    <w:name w:val="endnote reference"/>
    <w:basedOn w:val="Fuentedeprrafopredeter"/>
    <w:uiPriority w:val="99"/>
    <w:semiHidden/>
    <w:unhideWhenUsed/>
    <w:rsid w:val="00846239"/>
    <w:rPr>
      <w:vertAlign w:val="superscript"/>
    </w:rPr>
  </w:style>
  <w:style w:type="character" w:customStyle="1" w:styleId="PrrafodelistaCar">
    <w:name w:val="Párrafo de lista Car"/>
    <w:aliases w:val="Cita Pie de Página Car,titulo Car,Párrafo 2 Car"/>
    <w:link w:val="Prrafodelista"/>
    <w:uiPriority w:val="34"/>
    <w:qFormat/>
    <w:locked/>
    <w:rsid w:val="008275AE"/>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8275AE"/>
    <w:rPr>
      <w:rFonts w:asciiTheme="minorHAnsi" w:eastAsiaTheme="minorHAnsi" w:hAnsiTheme="minorHAnsi" w:cstheme="minorBidi"/>
      <w:sz w:val="22"/>
      <w:szCs w:val="22"/>
      <w:vertAlign w:val="superscript"/>
      <w:lang w:val="es-PE" w:eastAsia="en-US"/>
    </w:rPr>
  </w:style>
  <w:style w:type="paragraph" w:customStyle="1" w:styleId="Cuerpo">
    <w:name w:val="Cuerpo"/>
    <w:rsid w:val="008275AE"/>
    <w:pPr>
      <w:spacing w:after="0" w:line="240" w:lineRule="auto"/>
    </w:pPr>
    <w:rPr>
      <w:rFonts w:ascii="Times New Roman" w:eastAsia="Arial Unicode MS" w:hAnsi="Times New Roman" w:cs="Arial Unicode MS"/>
      <w:color w:val="000000"/>
      <w:sz w:val="24"/>
      <w:szCs w:val="24"/>
      <w:u w:color="000000"/>
      <w:lang w:eastAsia="es-PE"/>
    </w:rPr>
  </w:style>
  <w:style w:type="character" w:customStyle="1" w:styleId="Ninguno">
    <w:name w:val="Ninguno"/>
    <w:autoRedefine/>
    <w:rsid w:val="008275AE"/>
  </w:style>
  <w:style w:type="character" w:styleId="Hipervnculo">
    <w:name w:val="Hyperlink"/>
    <w:basedOn w:val="Fuentedeprrafopredeter"/>
    <w:uiPriority w:val="99"/>
    <w:unhideWhenUsed/>
    <w:rsid w:val="00C8500A"/>
    <w:rPr>
      <w:color w:val="0563C1" w:themeColor="hyperlink"/>
      <w:u w:val="single"/>
    </w:rPr>
  </w:style>
  <w:style w:type="character" w:styleId="Mencinsinresolver">
    <w:name w:val="Unresolved Mention"/>
    <w:basedOn w:val="Fuentedeprrafopredeter"/>
    <w:uiPriority w:val="99"/>
    <w:semiHidden/>
    <w:unhideWhenUsed/>
    <w:rsid w:val="00C8500A"/>
    <w:rPr>
      <w:color w:val="605E5C"/>
      <w:shd w:val="clear" w:color="auto" w:fill="E1DFDD"/>
    </w:rPr>
  </w:style>
  <w:style w:type="paragraph" w:styleId="Sinespaciado">
    <w:name w:val="No Spacing"/>
    <w:uiPriority w:val="1"/>
    <w:qFormat/>
    <w:rsid w:val="00B641F2"/>
    <w:pPr>
      <w:spacing w:after="0" w:line="240" w:lineRule="auto"/>
    </w:pPr>
    <w:rPr>
      <w:rFonts w:ascii="Times New Roman" w:eastAsia="Times New Roman" w:hAnsi="Times New Roman" w:cs="Times New Roman"/>
      <w:sz w:val="24"/>
      <w:szCs w:val="24"/>
      <w:lang w:val="es-ES" w:eastAsia="es-ES"/>
    </w:rPr>
  </w:style>
  <w:style w:type="paragraph" w:customStyle="1" w:styleId="Default">
    <w:name w:val="Default"/>
    <w:rsid w:val="008420C1"/>
    <w:pPr>
      <w:autoSpaceDE w:val="0"/>
      <w:autoSpaceDN w:val="0"/>
      <w:adjustRightInd w:val="0"/>
      <w:spacing w:after="0" w:line="240" w:lineRule="auto"/>
    </w:pPr>
    <w:rPr>
      <w:rFonts w:ascii="Arial" w:hAnsi="Arial" w:cs="Arial"/>
      <w:color w:val="000000"/>
      <w:sz w:val="24"/>
      <w:szCs w:val="24"/>
    </w:rPr>
  </w:style>
  <w:style w:type="character" w:customStyle="1" w:styleId="cf01">
    <w:name w:val="cf01"/>
    <w:basedOn w:val="Fuentedeprrafopredeter"/>
    <w:rsid w:val="00A60E0C"/>
    <w:rPr>
      <w:rFonts w:ascii="Segoe UI" w:hAnsi="Segoe UI" w:cs="Segoe UI" w:hint="default"/>
      <w:sz w:val="18"/>
      <w:szCs w:val="18"/>
    </w:rPr>
  </w:style>
  <w:style w:type="character" w:styleId="Refdecomentario">
    <w:name w:val="annotation reference"/>
    <w:basedOn w:val="Fuentedeprrafopredeter"/>
    <w:uiPriority w:val="99"/>
    <w:semiHidden/>
    <w:unhideWhenUsed/>
    <w:rsid w:val="008E6F31"/>
    <w:rPr>
      <w:sz w:val="16"/>
      <w:szCs w:val="16"/>
    </w:rPr>
  </w:style>
  <w:style w:type="paragraph" w:styleId="Textocomentario">
    <w:name w:val="annotation text"/>
    <w:basedOn w:val="Normal"/>
    <w:link w:val="TextocomentarioCar"/>
    <w:uiPriority w:val="99"/>
    <w:unhideWhenUsed/>
    <w:rsid w:val="008E6F31"/>
    <w:rPr>
      <w:sz w:val="20"/>
      <w:szCs w:val="20"/>
    </w:rPr>
  </w:style>
  <w:style w:type="character" w:customStyle="1" w:styleId="TextocomentarioCar">
    <w:name w:val="Texto comentario Car"/>
    <w:basedOn w:val="Fuentedeprrafopredeter"/>
    <w:link w:val="Textocomentario"/>
    <w:uiPriority w:val="99"/>
    <w:rsid w:val="008E6F31"/>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8E6F31"/>
    <w:rPr>
      <w:b/>
      <w:bCs/>
    </w:rPr>
  </w:style>
  <w:style w:type="character" w:customStyle="1" w:styleId="AsuntodelcomentarioCar">
    <w:name w:val="Asunto del comentario Car"/>
    <w:basedOn w:val="TextocomentarioCar"/>
    <w:link w:val="Asuntodelcomentario"/>
    <w:uiPriority w:val="99"/>
    <w:semiHidden/>
    <w:rsid w:val="008E6F31"/>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641383">
      <w:bodyDiv w:val="1"/>
      <w:marLeft w:val="0"/>
      <w:marRight w:val="0"/>
      <w:marTop w:val="0"/>
      <w:marBottom w:val="0"/>
      <w:divBdr>
        <w:top w:val="none" w:sz="0" w:space="0" w:color="auto"/>
        <w:left w:val="none" w:sz="0" w:space="0" w:color="auto"/>
        <w:bottom w:val="none" w:sz="0" w:space="0" w:color="auto"/>
        <w:right w:val="none" w:sz="0" w:space="0" w:color="auto"/>
      </w:divBdr>
    </w:div>
    <w:div w:id="149228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7E8F7-0374-4E95-B027-48FBC188A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656</Words>
  <Characters>3610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Rodrigo Salerno Boggio</dc:creator>
  <cp:keywords/>
  <dc:description/>
  <cp:lastModifiedBy>Daniela Patricia Acevedo Vasquez</cp:lastModifiedBy>
  <cp:revision>2</cp:revision>
  <cp:lastPrinted>2024-01-22T23:13:00Z</cp:lastPrinted>
  <dcterms:created xsi:type="dcterms:W3CDTF">2024-06-20T17:54:00Z</dcterms:created>
  <dcterms:modified xsi:type="dcterms:W3CDTF">2024-06-20T17:54:00Z</dcterms:modified>
</cp:coreProperties>
</file>