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211F" w14:textId="77777777" w:rsidR="007855A6" w:rsidRDefault="007855A6" w:rsidP="007855A6">
      <w:pPr>
        <w:tabs>
          <w:tab w:val="left" w:pos="-720"/>
        </w:tabs>
        <w:suppressAutoHyphens/>
        <w:jc w:val="both"/>
        <w:rPr>
          <w:rFonts w:ascii="Arial Narrow" w:hAnsi="Arial Narrow" w:cs="Arial"/>
          <w:bCs/>
          <w:spacing w:val="-3"/>
          <w:sz w:val="18"/>
          <w:szCs w:val="18"/>
          <w:lang w:val="es-ES" w:eastAsia="es-ES"/>
        </w:rPr>
      </w:pPr>
    </w:p>
    <w:p w14:paraId="0F8A8DC9" w14:textId="0C2085CA" w:rsidR="007855A6" w:rsidRPr="00CC4716" w:rsidRDefault="007855A6" w:rsidP="007855A6">
      <w:pPr>
        <w:tabs>
          <w:tab w:val="left" w:pos="1701"/>
          <w:tab w:val="left" w:pos="2127"/>
        </w:tabs>
        <w:ind w:left="2127" w:hanging="2127"/>
        <w:jc w:val="both"/>
        <w:rPr>
          <w:rFonts w:ascii="Arial Narrow" w:eastAsia="Arial Narrow" w:hAnsi="Arial Narrow" w:cs="Arial"/>
          <w:b/>
          <w:sz w:val="22"/>
          <w:szCs w:val="22"/>
        </w:rPr>
      </w:pPr>
      <w:r w:rsidRPr="00CC4716">
        <w:rPr>
          <w:rFonts w:ascii="Arial Narrow" w:eastAsia="Arial Narrow" w:hAnsi="Arial Narrow" w:cs="Arial"/>
          <w:b/>
          <w:sz w:val="22"/>
          <w:szCs w:val="22"/>
        </w:rPr>
        <w:t xml:space="preserve">EXPEDIENTE Nº </w:t>
      </w:r>
      <w:r w:rsidRPr="00CC4716">
        <w:rPr>
          <w:rFonts w:ascii="Arial Narrow" w:eastAsia="Arial Narrow" w:hAnsi="Arial Narrow" w:cs="Arial"/>
          <w:b/>
          <w:sz w:val="22"/>
          <w:szCs w:val="22"/>
        </w:rPr>
        <w:tab/>
        <w:t>:       0068-2024/CC1</w:t>
      </w:r>
    </w:p>
    <w:p w14:paraId="516E2498" w14:textId="0FDAD2E9" w:rsidR="007855A6" w:rsidRPr="00CC4716" w:rsidRDefault="007855A6" w:rsidP="007855A6">
      <w:pPr>
        <w:tabs>
          <w:tab w:val="left" w:pos="1701"/>
          <w:tab w:val="left" w:pos="2127"/>
        </w:tabs>
        <w:ind w:left="2127" w:hanging="2127"/>
        <w:jc w:val="both"/>
        <w:rPr>
          <w:rFonts w:ascii="Arial Narrow" w:eastAsia="Arial Narrow" w:hAnsi="Arial Narrow" w:cs="Arial"/>
          <w:b/>
          <w:sz w:val="22"/>
          <w:szCs w:val="22"/>
        </w:rPr>
      </w:pPr>
      <w:r w:rsidRPr="00CC4716">
        <w:rPr>
          <w:rFonts w:ascii="Arial Narrow" w:eastAsia="Arial Narrow" w:hAnsi="Arial Narrow" w:cs="Arial"/>
          <w:b/>
          <w:sz w:val="22"/>
          <w:szCs w:val="22"/>
        </w:rPr>
        <w:t xml:space="preserve">DENUNCIANTE </w:t>
      </w:r>
      <w:r w:rsidRPr="00CC4716">
        <w:rPr>
          <w:rFonts w:ascii="Arial Narrow" w:eastAsia="Arial Narrow" w:hAnsi="Arial Narrow" w:cs="Arial"/>
          <w:b/>
          <w:sz w:val="22"/>
          <w:szCs w:val="22"/>
        </w:rPr>
        <w:tab/>
        <w:t>:</w:t>
      </w:r>
      <w:r w:rsidRPr="00CC4716">
        <w:rPr>
          <w:rFonts w:ascii="Arial Narrow" w:eastAsia="Arial Narrow" w:hAnsi="Arial Narrow" w:cs="Arial"/>
          <w:b/>
          <w:sz w:val="22"/>
          <w:szCs w:val="22"/>
        </w:rPr>
        <w:tab/>
        <w:t>LUCRECIA CLEMENCIA HUAMANI QUIJAHUAMAN</w:t>
      </w:r>
    </w:p>
    <w:p w14:paraId="097ECD7D" w14:textId="0AA39B08" w:rsidR="007855A6" w:rsidRPr="00CC4716" w:rsidRDefault="007855A6" w:rsidP="007855A6">
      <w:pPr>
        <w:tabs>
          <w:tab w:val="left" w:pos="1701"/>
          <w:tab w:val="left" w:pos="2127"/>
        </w:tabs>
        <w:ind w:left="2127" w:hanging="2127"/>
        <w:jc w:val="both"/>
        <w:rPr>
          <w:rFonts w:ascii="Arial Narrow" w:eastAsia="Arial Narrow" w:hAnsi="Arial Narrow" w:cs="Arial"/>
          <w:b/>
          <w:sz w:val="22"/>
          <w:szCs w:val="22"/>
        </w:rPr>
      </w:pPr>
      <w:r w:rsidRPr="00CC4716">
        <w:rPr>
          <w:rFonts w:ascii="Arial Narrow" w:eastAsia="Arial Narrow" w:hAnsi="Arial Narrow" w:cs="Arial"/>
          <w:b/>
          <w:sz w:val="22"/>
          <w:szCs w:val="22"/>
        </w:rPr>
        <w:t xml:space="preserve">DENUNCIADO </w:t>
      </w:r>
      <w:r w:rsidRPr="00CC4716">
        <w:rPr>
          <w:rFonts w:ascii="Arial Narrow" w:eastAsia="Arial Narrow" w:hAnsi="Arial Narrow" w:cs="Arial"/>
          <w:b/>
          <w:sz w:val="22"/>
          <w:szCs w:val="22"/>
        </w:rPr>
        <w:tab/>
        <w:t xml:space="preserve">: </w:t>
      </w:r>
      <w:r w:rsidRPr="00CC4716">
        <w:rPr>
          <w:rFonts w:ascii="Arial Narrow" w:eastAsia="Arial Narrow" w:hAnsi="Arial Narrow" w:cs="Arial"/>
          <w:b/>
          <w:sz w:val="22"/>
          <w:szCs w:val="22"/>
        </w:rPr>
        <w:tab/>
        <w:t>BANCO RIPLEY PERU S.A.</w:t>
      </w:r>
    </w:p>
    <w:p w14:paraId="609DE7F6" w14:textId="145C4150" w:rsidR="007855A6" w:rsidRPr="00CC4716" w:rsidRDefault="007855A6" w:rsidP="007855A6">
      <w:pPr>
        <w:jc w:val="both"/>
        <w:rPr>
          <w:rFonts w:ascii="Arial Narrow" w:eastAsia="Arial Narrow" w:hAnsi="Arial Narrow" w:cs="Arial"/>
          <w:b/>
          <w:sz w:val="22"/>
          <w:szCs w:val="22"/>
        </w:rPr>
      </w:pPr>
      <w:r w:rsidRPr="00CC4716">
        <w:rPr>
          <w:rFonts w:ascii="Arial Narrow" w:eastAsia="Arial Narrow" w:hAnsi="Arial Narrow" w:cs="Arial"/>
          <w:b/>
          <w:sz w:val="22"/>
          <w:szCs w:val="22"/>
        </w:rPr>
        <w:t xml:space="preserve">RESOLUCIÓN </w:t>
      </w:r>
      <w:r w:rsidRPr="00CC4716">
        <w:rPr>
          <w:rFonts w:ascii="Arial Narrow" w:eastAsia="Arial Narrow" w:hAnsi="Arial Narrow" w:cs="Arial"/>
          <w:b/>
          <w:sz w:val="22"/>
          <w:szCs w:val="22"/>
        </w:rPr>
        <w:tab/>
        <w:t xml:space="preserve">      :</w:t>
      </w:r>
      <w:r w:rsidRPr="00CC4716">
        <w:rPr>
          <w:rFonts w:ascii="Arial Narrow" w:eastAsia="Arial Narrow" w:hAnsi="Arial Narrow" w:cs="Arial"/>
          <w:b/>
          <w:sz w:val="22"/>
          <w:szCs w:val="22"/>
        </w:rPr>
        <w:tab/>
        <w:t>5</w:t>
      </w:r>
    </w:p>
    <w:p w14:paraId="24D8A102" w14:textId="77777777" w:rsidR="007855A6" w:rsidRPr="00CC4716" w:rsidRDefault="007855A6" w:rsidP="007855A6">
      <w:pPr>
        <w:jc w:val="both"/>
        <w:rPr>
          <w:rFonts w:ascii="Arial Narrow" w:hAnsi="Arial Narrow" w:cs="Arial"/>
          <w:sz w:val="22"/>
          <w:szCs w:val="22"/>
        </w:rPr>
      </w:pPr>
    </w:p>
    <w:p w14:paraId="25A59EFF" w14:textId="611672B0" w:rsidR="007855A6" w:rsidRPr="00CC4716" w:rsidRDefault="007855A6" w:rsidP="007855A6">
      <w:pPr>
        <w:keepNext/>
        <w:keepLines/>
        <w:outlineLvl w:val="3"/>
        <w:rPr>
          <w:rFonts w:ascii="Arial Narrow" w:hAnsi="Arial Narrow" w:cs="Arial"/>
          <w:bCs/>
          <w:spacing w:val="-3"/>
          <w:sz w:val="22"/>
          <w:szCs w:val="22"/>
        </w:rPr>
      </w:pPr>
      <w:r w:rsidRPr="00CC4716">
        <w:rPr>
          <w:rFonts w:ascii="Arial Narrow" w:hAnsi="Arial Narrow" w:cs="Arial"/>
          <w:sz w:val="22"/>
          <w:szCs w:val="22"/>
        </w:rPr>
        <w:t xml:space="preserve">Lima, </w:t>
      </w:r>
      <w:r w:rsidRPr="00CC4716">
        <w:rPr>
          <w:rFonts w:ascii="Arial Narrow" w:hAnsi="Arial Narrow" w:cs="Arial"/>
          <w:bCs/>
          <w:spacing w:val="-3"/>
          <w:sz w:val="22"/>
          <w:szCs w:val="22"/>
        </w:rPr>
        <w:t>12 de marzo de 2025</w:t>
      </w:r>
    </w:p>
    <w:p w14:paraId="5DD16B3C" w14:textId="77777777" w:rsidR="007855A6" w:rsidRPr="00CC4716" w:rsidRDefault="007855A6" w:rsidP="007855A6">
      <w:pPr>
        <w:jc w:val="both"/>
        <w:rPr>
          <w:rFonts w:ascii="Arial Narrow" w:hAnsi="Arial Narrow" w:cs="Arial"/>
          <w:sz w:val="22"/>
          <w:szCs w:val="22"/>
        </w:rPr>
      </w:pPr>
    </w:p>
    <w:p w14:paraId="460BCB64" w14:textId="79F1D164" w:rsidR="007855A6" w:rsidRPr="00CC4716" w:rsidRDefault="007855A6" w:rsidP="007855A6">
      <w:pPr>
        <w:tabs>
          <w:tab w:val="left" w:pos="-720"/>
          <w:tab w:val="left" w:pos="0"/>
        </w:tabs>
        <w:suppressAutoHyphens/>
        <w:jc w:val="both"/>
        <w:rPr>
          <w:rFonts w:ascii="Arial Narrow" w:hAnsi="Arial Narrow" w:cs="Arial"/>
          <w:spacing w:val="-3"/>
          <w:sz w:val="22"/>
          <w:szCs w:val="22"/>
        </w:rPr>
      </w:pPr>
      <w:r w:rsidRPr="00CC4716">
        <w:rPr>
          <w:rFonts w:ascii="Arial Narrow" w:hAnsi="Arial Narrow" w:cs="Arial"/>
          <w:b/>
          <w:spacing w:val="-3"/>
          <w:sz w:val="22"/>
          <w:szCs w:val="22"/>
        </w:rPr>
        <w:t>VISTO:</w:t>
      </w:r>
      <w:r w:rsidRPr="00CC4716">
        <w:rPr>
          <w:rFonts w:ascii="Arial Narrow" w:hAnsi="Arial Narrow" w:cs="Arial"/>
          <w:spacing w:val="-3"/>
          <w:sz w:val="22"/>
          <w:szCs w:val="22"/>
        </w:rPr>
        <w:t xml:space="preserve"> el estado del expediente</w:t>
      </w:r>
    </w:p>
    <w:p w14:paraId="4D869910" w14:textId="77777777" w:rsidR="007855A6" w:rsidRPr="00CC4716" w:rsidRDefault="007855A6" w:rsidP="007855A6">
      <w:pPr>
        <w:tabs>
          <w:tab w:val="left" w:pos="-720"/>
          <w:tab w:val="left" w:pos="0"/>
        </w:tabs>
        <w:suppressAutoHyphens/>
        <w:jc w:val="both"/>
        <w:rPr>
          <w:rFonts w:ascii="Arial Narrow" w:hAnsi="Arial Narrow" w:cs="Arial"/>
          <w:spacing w:val="-3"/>
          <w:sz w:val="22"/>
          <w:szCs w:val="22"/>
        </w:rPr>
      </w:pPr>
    </w:p>
    <w:p w14:paraId="3FAADD91" w14:textId="77777777" w:rsidR="007855A6" w:rsidRPr="00CC4716" w:rsidRDefault="007855A6" w:rsidP="007855A6">
      <w:pPr>
        <w:jc w:val="both"/>
        <w:rPr>
          <w:rFonts w:ascii="Arial Narrow" w:hAnsi="Arial Narrow" w:cs="Arial"/>
          <w:sz w:val="22"/>
          <w:szCs w:val="22"/>
        </w:rPr>
      </w:pPr>
      <w:r w:rsidRPr="00CC4716">
        <w:rPr>
          <w:rFonts w:ascii="Arial Narrow" w:hAnsi="Arial Narrow" w:cs="Arial"/>
          <w:b/>
          <w:bCs/>
          <w:sz w:val="22"/>
          <w:szCs w:val="22"/>
        </w:rPr>
        <w:t>CONSIDERANDO:</w:t>
      </w:r>
    </w:p>
    <w:p w14:paraId="1902ECF4" w14:textId="77777777" w:rsidR="007855A6" w:rsidRPr="00CC4716" w:rsidRDefault="007855A6" w:rsidP="007855A6">
      <w:pPr>
        <w:jc w:val="both"/>
        <w:rPr>
          <w:rFonts w:ascii="Arial Narrow" w:hAnsi="Arial Narrow" w:cs="Arial"/>
          <w:sz w:val="22"/>
          <w:szCs w:val="22"/>
        </w:rPr>
      </w:pPr>
    </w:p>
    <w:p w14:paraId="204907FC" w14:textId="77777777" w:rsidR="007855A6" w:rsidRPr="00CC4716" w:rsidRDefault="007855A6" w:rsidP="007855A6">
      <w:pPr>
        <w:numPr>
          <w:ilvl w:val="0"/>
          <w:numId w:val="1"/>
        </w:numPr>
        <w:jc w:val="both"/>
        <w:rPr>
          <w:rFonts w:ascii="Arial Narrow" w:eastAsiaTheme="minorHAnsi" w:hAnsi="Arial Narrow"/>
          <w:color w:val="auto"/>
          <w:sz w:val="22"/>
          <w:szCs w:val="22"/>
        </w:rPr>
      </w:pPr>
      <w:r w:rsidRPr="00CC4716">
        <w:rPr>
          <w:rFonts w:ascii="Arial Narrow" w:hAnsi="Arial Narrow" w:cs="Arial"/>
          <w:sz w:val="22"/>
          <w:szCs w:val="22"/>
        </w:rPr>
        <w:t>Que, de acuerdo al literal d) del artículo 24° de la Ley de Facultades, Normas y Organización del Indecopi, aprobada por Decreto legislativo N° 807, el Secretario Técnico de la Comisión de Protección al Consumidor cuenta con la facultad para efectuar todas las notificaciones relativas a la tramitación del procedimiento</w:t>
      </w:r>
      <w:r w:rsidRPr="00CC4716">
        <w:rPr>
          <w:rStyle w:val="Refdenotaalpie"/>
          <w:rFonts w:ascii="Arial Narrow" w:eastAsiaTheme="majorEastAsia" w:hAnsi="Arial Narrow" w:cs="Arial"/>
          <w:sz w:val="22"/>
          <w:szCs w:val="22"/>
        </w:rPr>
        <w:footnoteReference w:id="1"/>
      </w:r>
      <w:r w:rsidRPr="00CC4716">
        <w:rPr>
          <w:rFonts w:ascii="Arial Narrow" w:hAnsi="Arial Narrow" w:cs="Arial"/>
          <w:sz w:val="22"/>
          <w:szCs w:val="22"/>
        </w:rPr>
        <w:t xml:space="preserve">; </w:t>
      </w:r>
    </w:p>
    <w:p w14:paraId="2CC422FE" w14:textId="77777777" w:rsidR="007855A6" w:rsidRPr="00CC4716" w:rsidRDefault="007855A6" w:rsidP="007855A6">
      <w:pPr>
        <w:ind w:left="567"/>
        <w:jc w:val="both"/>
        <w:rPr>
          <w:rFonts w:ascii="Arial Narrow" w:eastAsiaTheme="minorHAnsi" w:hAnsi="Arial Narrow"/>
          <w:color w:val="auto"/>
          <w:sz w:val="22"/>
          <w:szCs w:val="22"/>
        </w:rPr>
      </w:pPr>
    </w:p>
    <w:p w14:paraId="7B7F38F2" w14:textId="388E3003" w:rsidR="007855A6" w:rsidRPr="00CC4716" w:rsidRDefault="007855A6" w:rsidP="007855A6">
      <w:pPr>
        <w:numPr>
          <w:ilvl w:val="0"/>
          <w:numId w:val="1"/>
        </w:numPr>
        <w:jc w:val="both"/>
        <w:rPr>
          <w:rFonts w:ascii="Arial Narrow" w:eastAsiaTheme="minorHAnsi" w:hAnsi="Arial Narrow"/>
          <w:color w:val="auto"/>
          <w:sz w:val="22"/>
          <w:szCs w:val="22"/>
        </w:rPr>
      </w:pPr>
      <w:r w:rsidRPr="00CC4716">
        <w:rPr>
          <w:rFonts w:ascii="Arial Narrow" w:hAnsi="Arial Narrow" w:cs="Arial"/>
          <w:sz w:val="22"/>
          <w:szCs w:val="22"/>
        </w:rPr>
        <w:t xml:space="preserve">que, mediante Resolución Nº 3 del </w:t>
      </w:r>
      <w:r w:rsidRPr="00CC4716">
        <w:rPr>
          <w:rFonts w:ascii="Arial Narrow" w:hAnsi="Arial Narrow" w:cs="Arial"/>
          <w:bCs/>
          <w:spacing w:val="-3"/>
          <w:sz w:val="22"/>
          <w:szCs w:val="22"/>
        </w:rPr>
        <w:t>25 de setiembre de 2024</w:t>
      </w:r>
      <w:r w:rsidRPr="00CC4716">
        <w:rPr>
          <w:rFonts w:ascii="Arial Narrow" w:hAnsi="Arial Narrow" w:cs="Arial"/>
          <w:sz w:val="22"/>
          <w:szCs w:val="22"/>
        </w:rPr>
        <w:t xml:space="preserve">, la Secretaría Técnica de la Comisión de Protección al Consumidor Nº 1 declaró rebelde a </w:t>
      </w:r>
      <w:r w:rsidRPr="00CC4716">
        <w:rPr>
          <w:rFonts w:ascii="Arial Narrow" w:eastAsia="Arial Narrow" w:hAnsi="Arial Narrow" w:cs="Arial"/>
          <w:bCs/>
          <w:sz w:val="22"/>
          <w:szCs w:val="22"/>
        </w:rPr>
        <w:t>Banco Ripley Perú S.A.</w:t>
      </w:r>
      <w:r w:rsidRPr="00CC4716">
        <w:rPr>
          <w:rFonts w:ascii="Arial Narrow" w:hAnsi="Arial Narrow" w:cs="Arial"/>
          <w:spacing w:val="-3"/>
          <w:sz w:val="22"/>
          <w:szCs w:val="22"/>
        </w:rPr>
        <w:t>, en la medida en que la denunciada no presentó sus descargos dentro del plazo que le fuera concedido para tal finalidad</w:t>
      </w:r>
      <w:r w:rsidRPr="00CC4716">
        <w:rPr>
          <w:rFonts w:ascii="Arial Narrow" w:hAnsi="Arial Narrow" w:cs="Arial"/>
          <w:sz w:val="22"/>
          <w:szCs w:val="22"/>
        </w:rPr>
        <w:t>; y,</w:t>
      </w:r>
    </w:p>
    <w:p w14:paraId="5AB8917A" w14:textId="77777777" w:rsidR="007855A6" w:rsidRPr="00CC4716" w:rsidRDefault="007855A6" w:rsidP="007855A6">
      <w:pPr>
        <w:pStyle w:val="Prrafodelista"/>
        <w:rPr>
          <w:rFonts w:ascii="Arial Narrow" w:hAnsi="Arial Narrow" w:cs="Arial"/>
          <w:sz w:val="22"/>
          <w:szCs w:val="22"/>
        </w:rPr>
      </w:pPr>
    </w:p>
    <w:p w14:paraId="75B1CF02" w14:textId="5F34EFFF" w:rsidR="007855A6" w:rsidRPr="00CC4716" w:rsidRDefault="007855A6" w:rsidP="007855A6">
      <w:pPr>
        <w:numPr>
          <w:ilvl w:val="0"/>
          <w:numId w:val="1"/>
        </w:numPr>
        <w:jc w:val="both"/>
        <w:rPr>
          <w:rFonts w:ascii="Arial Narrow" w:eastAsiaTheme="minorHAnsi" w:hAnsi="Arial Narrow"/>
          <w:color w:val="auto"/>
          <w:sz w:val="22"/>
          <w:szCs w:val="22"/>
        </w:rPr>
      </w:pPr>
      <w:r w:rsidRPr="00CC4716">
        <w:rPr>
          <w:rFonts w:ascii="Arial Narrow" w:hAnsi="Arial Narrow" w:cs="Arial"/>
          <w:sz w:val="22"/>
          <w:szCs w:val="22"/>
        </w:rPr>
        <w:t xml:space="preserve">que, por escrito del 2 de octubre de 2024, </w:t>
      </w:r>
      <w:r w:rsidRPr="00CC4716">
        <w:rPr>
          <w:rFonts w:ascii="Arial Narrow" w:eastAsia="Arial Narrow" w:hAnsi="Arial Narrow" w:cs="Arial"/>
          <w:bCs/>
          <w:sz w:val="22"/>
          <w:szCs w:val="22"/>
        </w:rPr>
        <w:t>Banco Ripley Perú S.A</w:t>
      </w:r>
      <w:r w:rsidRPr="00CC4716">
        <w:rPr>
          <w:rFonts w:ascii="Arial Narrow" w:hAnsi="Arial Narrow" w:cs="Arial"/>
          <w:spacing w:val="-3"/>
          <w:sz w:val="22"/>
          <w:szCs w:val="22"/>
        </w:rPr>
        <w:t xml:space="preserve"> informó que, el 20 de agosto de 2024, dentro del plazo concedido para tal finalidad, cumplió con presentar su escrito de descargos, adjuntando el cargo de presentación de su escrito de descargos</w:t>
      </w:r>
      <w:r w:rsidRPr="00CC4716">
        <w:rPr>
          <w:rFonts w:ascii="Arial Narrow" w:hAnsi="Arial Narrow" w:cs="Arial"/>
          <w:sz w:val="22"/>
          <w:szCs w:val="22"/>
        </w:rPr>
        <w:t>.</w:t>
      </w:r>
    </w:p>
    <w:p w14:paraId="5A68AB11" w14:textId="77777777" w:rsidR="00CC4716" w:rsidRPr="00CC4716" w:rsidRDefault="00CC4716" w:rsidP="00CC4716">
      <w:pPr>
        <w:pStyle w:val="Prrafodelista"/>
        <w:rPr>
          <w:rFonts w:ascii="Arial Narrow" w:eastAsiaTheme="minorHAnsi" w:hAnsi="Arial Narrow"/>
          <w:color w:val="auto"/>
          <w:sz w:val="22"/>
          <w:szCs w:val="22"/>
        </w:rPr>
      </w:pPr>
    </w:p>
    <w:p w14:paraId="7AE9121C" w14:textId="1AF41C70" w:rsidR="00CC4716" w:rsidRPr="00CC4716" w:rsidRDefault="00CC4716" w:rsidP="007855A6">
      <w:pPr>
        <w:numPr>
          <w:ilvl w:val="0"/>
          <w:numId w:val="1"/>
        </w:numPr>
        <w:jc w:val="both"/>
        <w:rPr>
          <w:rFonts w:ascii="Arial Narrow" w:eastAsiaTheme="minorHAnsi" w:hAnsi="Arial Narrow"/>
          <w:color w:val="auto"/>
          <w:sz w:val="22"/>
          <w:szCs w:val="22"/>
        </w:rPr>
      </w:pPr>
      <w:r w:rsidRPr="00CC4716">
        <w:rPr>
          <w:rFonts w:ascii="Arial Narrow" w:eastAsiaTheme="minorHAnsi" w:hAnsi="Arial Narrow"/>
          <w:color w:val="auto"/>
          <w:sz w:val="22"/>
          <w:szCs w:val="22"/>
        </w:rPr>
        <w:t xml:space="preserve">que, de la revisión efectuada se ha corroborado que </w:t>
      </w:r>
      <w:r w:rsidRPr="00CC4716">
        <w:rPr>
          <w:rFonts w:ascii="Arial Narrow" w:eastAsia="Arial Narrow" w:hAnsi="Arial Narrow" w:cs="Arial"/>
          <w:bCs/>
          <w:sz w:val="22"/>
          <w:szCs w:val="22"/>
        </w:rPr>
        <w:t>Banco Ripley Perú S.A</w:t>
      </w:r>
      <w:r w:rsidRPr="00CC4716">
        <w:rPr>
          <w:rFonts w:ascii="Arial Narrow" w:eastAsia="Arial Narrow" w:hAnsi="Arial Narrow" w:cs="Arial"/>
          <w:bCs/>
          <w:sz w:val="22"/>
          <w:szCs w:val="22"/>
        </w:rPr>
        <w:t xml:space="preserve">. presentó el </w:t>
      </w:r>
      <w:r w:rsidRPr="00CC4716">
        <w:rPr>
          <w:rFonts w:ascii="Arial Narrow" w:hAnsi="Arial Narrow" w:cs="Arial"/>
          <w:spacing w:val="-3"/>
          <w:sz w:val="22"/>
          <w:szCs w:val="22"/>
        </w:rPr>
        <w:t>20 de agosto de 2024</w:t>
      </w:r>
      <w:r w:rsidRPr="00CC4716">
        <w:rPr>
          <w:rFonts w:ascii="Arial Narrow" w:hAnsi="Arial Narrow" w:cs="Arial"/>
          <w:spacing w:val="-3"/>
          <w:sz w:val="22"/>
          <w:szCs w:val="22"/>
        </w:rPr>
        <w:t xml:space="preserve"> sus descargos al procedimiento.</w:t>
      </w:r>
    </w:p>
    <w:p w14:paraId="415F69D3" w14:textId="77777777" w:rsidR="007855A6" w:rsidRPr="00CC4716" w:rsidRDefault="007855A6" w:rsidP="007855A6">
      <w:pPr>
        <w:rPr>
          <w:rFonts w:ascii="Arial Narrow" w:hAnsi="Arial Narrow" w:cs="Arial"/>
          <w:b/>
          <w:bCs/>
          <w:sz w:val="22"/>
          <w:szCs w:val="22"/>
        </w:rPr>
      </w:pPr>
    </w:p>
    <w:p w14:paraId="046BA54A" w14:textId="77777777" w:rsidR="007855A6" w:rsidRPr="00CC4716" w:rsidRDefault="007855A6" w:rsidP="007855A6">
      <w:pPr>
        <w:jc w:val="both"/>
        <w:rPr>
          <w:rFonts w:ascii="Arial Narrow" w:hAnsi="Arial Narrow" w:cs="Arial"/>
          <w:b/>
          <w:bCs/>
          <w:sz w:val="22"/>
          <w:szCs w:val="22"/>
        </w:rPr>
      </w:pPr>
      <w:r w:rsidRPr="00CC4716">
        <w:rPr>
          <w:rFonts w:ascii="Arial Narrow" w:hAnsi="Arial Narrow" w:cs="Arial"/>
          <w:b/>
          <w:bCs/>
          <w:sz w:val="22"/>
          <w:szCs w:val="22"/>
        </w:rPr>
        <w:t xml:space="preserve">SE HA RESUELTO: </w:t>
      </w:r>
    </w:p>
    <w:p w14:paraId="30B0AEFF" w14:textId="77777777" w:rsidR="007855A6" w:rsidRPr="00CC4716" w:rsidRDefault="007855A6" w:rsidP="007855A6">
      <w:pPr>
        <w:pStyle w:val="Prrafodelista"/>
        <w:tabs>
          <w:tab w:val="left" w:pos="-720"/>
          <w:tab w:val="left" w:pos="0"/>
        </w:tabs>
        <w:suppressAutoHyphens/>
        <w:jc w:val="both"/>
        <w:rPr>
          <w:rFonts w:ascii="Arial Narrow" w:hAnsi="Arial Narrow" w:cs="Arial"/>
          <w:color w:val="auto"/>
          <w:spacing w:val="-3"/>
          <w:sz w:val="22"/>
          <w:szCs w:val="22"/>
        </w:rPr>
      </w:pPr>
    </w:p>
    <w:p w14:paraId="182C64C4" w14:textId="06119136" w:rsidR="007855A6" w:rsidRPr="00CC4716" w:rsidRDefault="007855A6" w:rsidP="007855A6">
      <w:pPr>
        <w:pStyle w:val="Prrafodelista"/>
        <w:numPr>
          <w:ilvl w:val="0"/>
          <w:numId w:val="2"/>
        </w:numPr>
        <w:tabs>
          <w:tab w:val="left" w:pos="-720"/>
          <w:tab w:val="left" w:pos="0"/>
        </w:tabs>
        <w:suppressAutoHyphens/>
        <w:ind w:left="567" w:hanging="567"/>
        <w:jc w:val="both"/>
        <w:rPr>
          <w:rFonts w:ascii="Arial Narrow" w:hAnsi="Arial Narrow" w:cs="Arial"/>
          <w:spacing w:val="-3"/>
          <w:sz w:val="22"/>
          <w:szCs w:val="22"/>
        </w:rPr>
      </w:pPr>
      <w:r w:rsidRPr="00CC4716">
        <w:rPr>
          <w:rFonts w:ascii="Arial Narrow" w:eastAsia="Arial Narrow" w:hAnsi="Arial Narrow" w:cs="Arial"/>
          <w:bCs/>
          <w:sz w:val="22"/>
          <w:szCs w:val="22"/>
        </w:rPr>
        <w:t xml:space="preserve">Dejar sin efecto la Resolución N° 3 del </w:t>
      </w:r>
      <w:r w:rsidRPr="00CC4716">
        <w:rPr>
          <w:rFonts w:ascii="Arial Narrow" w:hAnsi="Arial Narrow" w:cs="Arial"/>
          <w:bCs/>
          <w:spacing w:val="-3"/>
          <w:sz w:val="22"/>
          <w:szCs w:val="22"/>
        </w:rPr>
        <w:t>25 de setiembre de 2024</w:t>
      </w:r>
      <w:r w:rsidRPr="00CC4716">
        <w:rPr>
          <w:rFonts w:ascii="Arial Narrow" w:eastAsia="Arial Narrow" w:hAnsi="Arial Narrow" w:cs="Arial"/>
          <w:bCs/>
          <w:sz w:val="22"/>
          <w:szCs w:val="22"/>
        </w:rPr>
        <w:t>, que declaró rebelde Banco Ripley Perú S.A.,</w:t>
      </w:r>
    </w:p>
    <w:p w14:paraId="14C43325" w14:textId="77777777" w:rsidR="007855A6" w:rsidRPr="00CC4716" w:rsidRDefault="007855A6" w:rsidP="007855A6">
      <w:pPr>
        <w:pStyle w:val="Prrafodelista"/>
        <w:tabs>
          <w:tab w:val="left" w:pos="-720"/>
          <w:tab w:val="left" w:pos="0"/>
        </w:tabs>
        <w:suppressAutoHyphens/>
        <w:ind w:left="567"/>
        <w:jc w:val="both"/>
        <w:rPr>
          <w:rFonts w:ascii="Arial Narrow" w:hAnsi="Arial Narrow" w:cs="Arial"/>
          <w:spacing w:val="-3"/>
          <w:sz w:val="22"/>
          <w:szCs w:val="22"/>
        </w:rPr>
      </w:pPr>
    </w:p>
    <w:p w14:paraId="20021155" w14:textId="74558E58" w:rsidR="00CC4716" w:rsidRPr="00CC4716" w:rsidRDefault="00CC4716" w:rsidP="007855A6">
      <w:pPr>
        <w:pStyle w:val="Prrafodelista"/>
        <w:numPr>
          <w:ilvl w:val="0"/>
          <w:numId w:val="2"/>
        </w:numPr>
        <w:tabs>
          <w:tab w:val="left" w:pos="-720"/>
          <w:tab w:val="left" w:pos="0"/>
        </w:tabs>
        <w:suppressAutoHyphens/>
        <w:ind w:left="567" w:hanging="567"/>
        <w:jc w:val="both"/>
        <w:rPr>
          <w:rFonts w:ascii="Arial Narrow" w:hAnsi="Arial Narrow" w:cs="Arial"/>
          <w:spacing w:val="-3"/>
          <w:sz w:val="22"/>
          <w:szCs w:val="22"/>
        </w:rPr>
      </w:pPr>
      <w:r w:rsidRPr="00CC4716">
        <w:rPr>
          <w:rFonts w:ascii="Arial Narrow" w:hAnsi="Arial Narrow" w:cs="Arial"/>
          <w:spacing w:val="-3"/>
          <w:sz w:val="22"/>
          <w:szCs w:val="22"/>
        </w:rPr>
        <w:t xml:space="preserve">tener por presentado los descargos de </w:t>
      </w:r>
      <w:r w:rsidRPr="00CC4716">
        <w:rPr>
          <w:rFonts w:ascii="Arial Narrow" w:eastAsia="Arial Narrow" w:hAnsi="Arial Narrow" w:cs="Arial"/>
          <w:bCs/>
          <w:sz w:val="22"/>
          <w:szCs w:val="22"/>
        </w:rPr>
        <w:t>Banco Ripley Perú S.A.</w:t>
      </w:r>
      <w:r w:rsidRPr="00CC4716">
        <w:rPr>
          <w:rFonts w:ascii="Arial Narrow" w:eastAsia="Arial Narrow" w:hAnsi="Arial Narrow" w:cs="Arial"/>
          <w:bCs/>
          <w:sz w:val="22"/>
          <w:szCs w:val="22"/>
        </w:rPr>
        <w:t>; y,</w:t>
      </w:r>
    </w:p>
    <w:p w14:paraId="0A5FA23B" w14:textId="77777777" w:rsidR="00CC4716" w:rsidRPr="00CC4716" w:rsidRDefault="00CC4716" w:rsidP="00CC4716">
      <w:pPr>
        <w:pStyle w:val="Prrafodelista"/>
        <w:rPr>
          <w:rFonts w:ascii="Arial Narrow" w:hAnsi="Arial Narrow" w:cs="Arial"/>
          <w:spacing w:val="-3"/>
          <w:sz w:val="22"/>
          <w:szCs w:val="22"/>
        </w:rPr>
      </w:pPr>
    </w:p>
    <w:p w14:paraId="3ECD4F3F" w14:textId="21F3C610" w:rsidR="007855A6" w:rsidRPr="00CC4716" w:rsidRDefault="007855A6" w:rsidP="007855A6">
      <w:pPr>
        <w:pStyle w:val="Prrafodelista"/>
        <w:numPr>
          <w:ilvl w:val="0"/>
          <w:numId w:val="2"/>
        </w:numPr>
        <w:tabs>
          <w:tab w:val="left" w:pos="-720"/>
          <w:tab w:val="left" w:pos="0"/>
        </w:tabs>
        <w:suppressAutoHyphens/>
        <w:ind w:left="567" w:hanging="567"/>
        <w:jc w:val="both"/>
        <w:rPr>
          <w:rFonts w:ascii="Arial Narrow" w:hAnsi="Arial Narrow" w:cs="Arial"/>
          <w:spacing w:val="-3"/>
          <w:sz w:val="22"/>
          <w:szCs w:val="22"/>
        </w:rPr>
      </w:pPr>
      <w:r w:rsidRPr="00CC4716">
        <w:rPr>
          <w:rFonts w:ascii="Arial Narrow" w:hAnsi="Arial Narrow" w:cs="Arial"/>
          <w:spacing w:val="-3"/>
          <w:sz w:val="22"/>
          <w:szCs w:val="22"/>
        </w:rPr>
        <w:t xml:space="preserve">requerir a la señora Lucrecia Clemencia Huamani Quijahuaman y Banco Ripley Perú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w:t>
      </w:r>
      <w:r w:rsidRPr="00CC4716">
        <w:rPr>
          <w:rFonts w:ascii="Arial Narrow" w:hAnsi="Arial Narrow" w:cs="Arial"/>
          <w:spacing w:val="-3"/>
          <w:sz w:val="22"/>
          <w:szCs w:val="22"/>
        </w:rPr>
        <w:lastRenderedPageBreak/>
        <w:t>Supremo N° 004-2019-JUS, bajo apercibimiento de rehacer el acto de notificación y notificarle conforme al numeral 1 del artículo 20 del citado cuerpo normativa</w:t>
      </w:r>
      <w:r w:rsidRPr="00CC4716">
        <w:rPr>
          <w:rStyle w:val="Refdenotaalpie"/>
          <w:spacing w:val="-3"/>
          <w:sz w:val="22"/>
          <w:szCs w:val="22"/>
        </w:rPr>
        <w:footnoteReference w:id="2"/>
      </w:r>
    </w:p>
    <w:p w14:paraId="0D2C5427" w14:textId="77777777" w:rsidR="007855A6" w:rsidRPr="007855A6" w:rsidRDefault="007855A6" w:rsidP="007855A6">
      <w:pPr>
        <w:pStyle w:val="Prrafodelista"/>
        <w:ind w:left="567" w:hanging="567"/>
        <w:rPr>
          <w:rFonts w:ascii="Arial Narrow" w:hAnsi="Arial Narrow" w:cs="Arial"/>
          <w:spacing w:val="-3"/>
          <w:sz w:val="22"/>
          <w:szCs w:val="22"/>
        </w:rPr>
      </w:pPr>
    </w:p>
    <w:p w14:paraId="6FD478EC" w14:textId="77777777" w:rsidR="007855A6" w:rsidRPr="007855A6" w:rsidRDefault="007855A6" w:rsidP="007855A6">
      <w:pPr>
        <w:rPr>
          <w:rFonts w:ascii="Arial Narrow" w:hAnsi="Arial Narrow" w:cs="Arial"/>
          <w:b/>
          <w:sz w:val="22"/>
          <w:szCs w:val="22"/>
        </w:rPr>
      </w:pPr>
    </w:p>
    <w:p w14:paraId="6CED76BD" w14:textId="77777777" w:rsidR="007855A6" w:rsidRPr="007855A6" w:rsidRDefault="007855A6" w:rsidP="007855A6">
      <w:pPr>
        <w:rPr>
          <w:rFonts w:ascii="Arial Narrow" w:hAnsi="Arial Narrow" w:cs="Arial"/>
          <w:b/>
          <w:sz w:val="22"/>
          <w:szCs w:val="22"/>
        </w:rPr>
      </w:pPr>
    </w:p>
    <w:p w14:paraId="6CF11583" w14:textId="77777777" w:rsidR="007855A6" w:rsidRPr="007855A6" w:rsidRDefault="007855A6" w:rsidP="007855A6">
      <w:pPr>
        <w:ind w:left="142"/>
        <w:jc w:val="center"/>
        <w:rPr>
          <w:rFonts w:ascii="Arial Narrow" w:hAnsi="Arial Narrow" w:cs="Arial"/>
          <w:b/>
          <w:sz w:val="22"/>
          <w:szCs w:val="22"/>
        </w:rPr>
      </w:pPr>
      <w:r w:rsidRPr="007855A6">
        <w:rPr>
          <w:rFonts w:ascii="Arial Narrow" w:hAnsi="Arial Narrow" w:cs="Arial"/>
          <w:b/>
          <w:sz w:val="22"/>
          <w:szCs w:val="22"/>
        </w:rPr>
        <w:t>EVELING ROA QUISPE</w:t>
      </w:r>
    </w:p>
    <w:p w14:paraId="77D32F4F" w14:textId="77777777" w:rsidR="007855A6" w:rsidRPr="007855A6" w:rsidRDefault="007855A6" w:rsidP="007855A6">
      <w:pPr>
        <w:ind w:left="142"/>
        <w:jc w:val="center"/>
        <w:rPr>
          <w:rFonts w:ascii="Arial Narrow" w:hAnsi="Arial Narrow" w:cs="Arial"/>
          <w:b/>
          <w:sz w:val="22"/>
          <w:szCs w:val="22"/>
        </w:rPr>
      </w:pPr>
      <w:r w:rsidRPr="007855A6">
        <w:rPr>
          <w:rFonts w:ascii="Arial Narrow" w:hAnsi="Arial Narrow" w:cs="Arial"/>
          <w:b/>
          <w:sz w:val="22"/>
          <w:szCs w:val="22"/>
        </w:rPr>
        <w:t xml:space="preserve">Secretaria Técnica </w:t>
      </w:r>
    </w:p>
    <w:p w14:paraId="7BCAD91D" w14:textId="77777777" w:rsidR="007855A6" w:rsidRPr="007855A6" w:rsidRDefault="007855A6" w:rsidP="007855A6">
      <w:pPr>
        <w:ind w:left="142"/>
        <w:jc w:val="center"/>
        <w:rPr>
          <w:rFonts w:ascii="Arial Narrow" w:hAnsi="Arial Narrow" w:cs="Arial"/>
          <w:b/>
          <w:sz w:val="22"/>
          <w:szCs w:val="22"/>
        </w:rPr>
      </w:pPr>
      <w:r w:rsidRPr="007855A6">
        <w:rPr>
          <w:rFonts w:ascii="Arial Narrow" w:hAnsi="Arial Narrow" w:cs="Arial"/>
          <w:b/>
          <w:sz w:val="22"/>
          <w:szCs w:val="22"/>
        </w:rPr>
        <w:t>Comisión de Protección al Consumidor Nº 1</w:t>
      </w:r>
    </w:p>
    <w:p w14:paraId="4895A65B" w14:textId="1F95C8F0" w:rsidR="007855A6" w:rsidRPr="00B2420F" w:rsidRDefault="007855A6">
      <w:pPr>
        <w:rPr>
          <w:sz w:val="18"/>
          <w:szCs w:val="18"/>
        </w:rPr>
      </w:pPr>
      <w:r w:rsidRPr="00B2420F">
        <w:rPr>
          <w:rFonts w:ascii="Arial Narrow" w:hAnsi="Arial Narrow"/>
          <w:sz w:val="18"/>
          <w:szCs w:val="18"/>
        </w:rPr>
        <w:t>RDM/tcc</w:t>
      </w:r>
    </w:p>
    <w:sectPr w:rsidR="007855A6" w:rsidRPr="00B2420F" w:rsidSect="00CC4716">
      <w:headerReference w:type="default" r:id="rId8"/>
      <w:footerReference w:type="default" r:id="rId9"/>
      <w:pgSz w:w="11906" w:h="16838" w:code="9"/>
      <w:pgMar w:top="1786" w:right="1701" w:bottom="1985" w:left="1701"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73C4E" w14:textId="77777777" w:rsidR="007855A6" w:rsidRDefault="007855A6" w:rsidP="007855A6">
      <w:r>
        <w:separator/>
      </w:r>
    </w:p>
  </w:endnote>
  <w:endnote w:type="continuationSeparator" w:id="0">
    <w:p w14:paraId="2A9E167B" w14:textId="77777777" w:rsidR="007855A6" w:rsidRDefault="007855A6" w:rsidP="00785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0BF50" w14:textId="77777777" w:rsidR="00D46CD6" w:rsidRPr="008B64EC" w:rsidRDefault="00D46CD6">
    <w:pPr>
      <w:pStyle w:val="Piedepgina"/>
      <w:jc w:val="center"/>
      <w:rPr>
        <w:rFonts w:ascii="Arial Narrow" w:hAnsi="Arial Narrow"/>
        <w:caps/>
        <w:color w:val="auto"/>
        <w:sz w:val="16"/>
        <w:szCs w:val="16"/>
      </w:rPr>
    </w:pPr>
    <w:r w:rsidRPr="008B64EC">
      <w:rPr>
        <w:rFonts w:ascii="Arial Narrow" w:hAnsi="Arial Narrow"/>
        <w:caps/>
        <w:color w:val="auto"/>
        <w:sz w:val="16"/>
        <w:szCs w:val="16"/>
      </w:rPr>
      <w:fldChar w:fldCharType="begin"/>
    </w:r>
    <w:r w:rsidRPr="008B64EC">
      <w:rPr>
        <w:rFonts w:ascii="Arial Narrow" w:hAnsi="Arial Narrow"/>
        <w:caps/>
        <w:color w:val="auto"/>
        <w:sz w:val="16"/>
        <w:szCs w:val="16"/>
      </w:rPr>
      <w:instrText>PAGE   \* MERGEFORMAT</w:instrText>
    </w:r>
    <w:r w:rsidRPr="008B64EC">
      <w:rPr>
        <w:rFonts w:ascii="Arial Narrow" w:hAnsi="Arial Narrow"/>
        <w:caps/>
        <w:color w:val="auto"/>
        <w:sz w:val="16"/>
        <w:szCs w:val="16"/>
      </w:rPr>
      <w:fldChar w:fldCharType="separate"/>
    </w:r>
    <w:r w:rsidRPr="008B64EC">
      <w:rPr>
        <w:rFonts w:ascii="Arial Narrow" w:hAnsi="Arial Narrow"/>
        <w:caps/>
        <w:color w:val="auto"/>
        <w:sz w:val="16"/>
        <w:szCs w:val="16"/>
        <w:lang w:val="es-ES"/>
      </w:rPr>
      <w:t>2</w:t>
    </w:r>
    <w:r w:rsidRPr="008B64EC">
      <w:rPr>
        <w:rFonts w:ascii="Arial Narrow" w:hAnsi="Arial Narrow"/>
        <w:caps/>
        <w:color w:val="auto"/>
        <w:sz w:val="16"/>
        <w:szCs w:val="16"/>
      </w:rPr>
      <w:fldChar w:fldCharType="end"/>
    </w:r>
  </w:p>
  <w:p w14:paraId="4FE813D6" w14:textId="77777777" w:rsidR="00D46CD6" w:rsidRPr="00A95286" w:rsidRDefault="00D46CD6" w:rsidP="006C3B07">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CD90B" w14:textId="77777777" w:rsidR="007855A6" w:rsidRDefault="007855A6" w:rsidP="007855A6">
      <w:r>
        <w:separator/>
      </w:r>
    </w:p>
  </w:footnote>
  <w:footnote w:type="continuationSeparator" w:id="0">
    <w:p w14:paraId="66BE5097" w14:textId="77777777" w:rsidR="007855A6" w:rsidRDefault="007855A6" w:rsidP="007855A6">
      <w:r>
        <w:continuationSeparator/>
      </w:r>
    </w:p>
  </w:footnote>
  <w:footnote w:id="1">
    <w:p w14:paraId="5F94F6AE" w14:textId="77777777" w:rsidR="007855A6" w:rsidRDefault="007855A6" w:rsidP="007855A6">
      <w:pPr>
        <w:pStyle w:val="Textonotapie"/>
        <w:ind w:left="567" w:hanging="567"/>
        <w:jc w:val="both"/>
        <w:rPr>
          <w:rFonts w:ascii="Arial Narrow" w:hAnsi="Arial Narrow" w:cs="Arial"/>
          <w:b/>
          <w:sz w:val="16"/>
          <w:szCs w:val="16"/>
        </w:rPr>
      </w:pPr>
      <w:r>
        <w:rPr>
          <w:rStyle w:val="Refdenotaalpie"/>
          <w:rFonts w:ascii="Arial Narrow" w:eastAsiaTheme="majorEastAsia" w:hAnsi="Arial Narrow" w:cs="Arial"/>
        </w:rPr>
        <w:footnoteRef/>
      </w:r>
      <w:r>
        <w:rPr>
          <w:rFonts w:ascii="Arial Narrow" w:hAnsi="Arial Narrow" w:cs="Arial"/>
          <w:sz w:val="16"/>
          <w:szCs w:val="16"/>
        </w:rPr>
        <w:t xml:space="preserve"> </w:t>
      </w:r>
      <w:r>
        <w:rPr>
          <w:rFonts w:ascii="Arial Narrow" w:hAnsi="Arial Narrow" w:cs="Arial"/>
          <w:sz w:val="16"/>
          <w:szCs w:val="16"/>
        </w:rPr>
        <w:tab/>
      </w:r>
      <w:r>
        <w:rPr>
          <w:rFonts w:ascii="Arial Narrow" w:hAnsi="Arial Narrow" w:cs="Arial"/>
          <w:b/>
          <w:sz w:val="16"/>
          <w:szCs w:val="16"/>
        </w:rPr>
        <w:t>LEY DE FACULTADES, NORMAS Y ORGANIZACIÓN DEL INDECOPI, APROBADA POR DECRETO LEGISLATIVO N° 807.-</w:t>
      </w:r>
    </w:p>
    <w:p w14:paraId="70C86173" w14:textId="77777777" w:rsidR="007855A6" w:rsidRDefault="007855A6" w:rsidP="007855A6">
      <w:pPr>
        <w:pStyle w:val="Textonotapie"/>
        <w:ind w:left="567"/>
        <w:jc w:val="both"/>
        <w:rPr>
          <w:rFonts w:ascii="Arial Narrow" w:hAnsi="Arial Narrow" w:cs="Arial"/>
          <w:b/>
          <w:sz w:val="16"/>
          <w:szCs w:val="16"/>
        </w:rPr>
      </w:pPr>
      <w:r>
        <w:rPr>
          <w:rFonts w:ascii="Arial Narrow" w:hAnsi="Arial Narrow" w:cs="Arial"/>
          <w:b/>
          <w:sz w:val="16"/>
          <w:szCs w:val="16"/>
        </w:rPr>
        <w:t xml:space="preserve">Artículo 24°.- El Secretario Técnico se encargará de la tramitación del procedimiento. Para ello, cuenta con las siguientes facultades: </w:t>
      </w:r>
    </w:p>
    <w:p w14:paraId="524F7CBA" w14:textId="77777777" w:rsidR="007855A6" w:rsidRDefault="007855A6" w:rsidP="007855A6">
      <w:pPr>
        <w:pStyle w:val="Textonotapie"/>
        <w:ind w:left="567"/>
        <w:jc w:val="both"/>
        <w:rPr>
          <w:rFonts w:ascii="Arial Narrow" w:hAnsi="Arial Narrow" w:cs="Arial"/>
          <w:b/>
          <w:sz w:val="16"/>
          <w:szCs w:val="16"/>
        </w:rPr>
      </w:pPr>
      <w:r>
        <w:rPr>
          <w:rFonts w:ascii="Arial Narrow" w:hAnsi="Arial Narrow" w:cs="Arial"/>
          <w:b/>
          <w:sz w:val="16"/>
          <w:szCs w:val="16"/>
        </w:rPr>
        <w:t>(…)</w:t>
      </w:r>
    </w:p>
    <w:p w14:paraId="4E70C077" w14:textId="77777777" w:rsidR="007855A6" w:rsidRDefault="007855A6" w:rsidP="007855A6">
      <w:pPr>
        <w:pStyle w:val="Textonotapie"/>
        <w:ind w:left="567"/>
        <w:jc w:val="both"/>
        <w:rPr>
          <w:rFonts w:ascii="Arial Narrow" w:hAnsi="Arial Narrow" w:cs="Arial"/>
          <w:sz w:val="16"/>
          <w:szCs w:val="16"/>
        </w:rPr>
      </w:pPr>
      <w:r>
        <w:rPr>
          <w:rFonts w:ascii="Arial Narrow" w:hAnsi="Arial Narrow" w:cs="Arial"/>
          <w:sz w:val="16"/>
          <w:szCs w:val="16"/>
        </w:rPr>
        <w:t>d) Efectuar todas las notificaciones relativas a la tramitación del procedimiento mediante oficio, carteles, facísimil, transmisión de datos, correo electrónico o cualquier medio que garantice su recepción por parte de los destinatarios.</w:t>
      </w:r>
    </w:p>
    <w:p w14:paraId="5694675A" w14:textId="77777777" w:rsidR="007855A6" w:rsidRDefault="007855A6" w:rsidP="007855A6">
      <w:pPr>
        <w:pStyle w:val="Textonotapie"/>
        <w:ind w:left="567"/>
        <w:jc w:val="both"/>
        <w:rPr>
          <w:rFonts w:ascii="Arial Narrow" w:hAnsi="Arial Narrow" w:cs="Arial"/>
          <w:sz w:val="16"/>
          <w:szCs w:val="16"/>
        </w:rPr>
      </w:pPr>
      <w:r>
        <w:rPr>
          <w:rFonts w:ascii="Arial Narrow" w:hAnsi="Arial Narrow" w:cs="Arial"/>
          <w:sz w:val="16"/>
          <w:szCs w:val="16"/>
        </w:rPr>
        <w:t>(…)</w:t>
      </w:r>
    </w:p>
    <w:p w14:paraId="164DC489" w14:textId="77777777" w:rsidR="007855A6" w:rsidRDefault="007855A6" w:rsidP="007855A6">
      <w:pPr>
        <w:pStyle w:val="Textonotapie"/>
        <w:rPr>
          <w:rFonts w:ascii="Arial Narrow" w:hAnsi="Arial Narrow" w:cs="Arial"/>
          <w:sz w:val="16"/>
          <w:szCs w:val="16"/>
        </w:rPr>
      </w:pPr>
    </w:p>
  </w:footnote>
  <w:footnote w:id="2">
    <w:p w14:paraId="254E2C20" w14:textId="77777777" w:rsidR="007855A6" w:rsidRPr="0094625A" w:rsidRDefault="007855A6" w:rsidP="007855A6">
      <w:pPr>
        <w:pStyle w:val="Textonotapie"/>
        <w:ind w:left="567" w:hanging="567"/>
        <w:jc w:val="both"/>
        <w:rPr>
          <w:rFonts w:ascii="Arial Narrow" w:hAnsi="Arial Narrow"/>
          <w:sz w:val="16"/>
          <w:szCs w:val="16"/>
        </w:rPr>
      </w:pPr>
      <w:r>
        <w:rPr>
          <w:rStyle w:val="Refdenotaalpie"/>
        </w:rPr>
        <w:footnoteRef/>
      </w:r>
      <w:r>
        <w:t xml:space="preserve"> </w:t>
      </w:r>
      <w:r>
        <w:rPr>
          <w:lang w:val="es-ES"/>
        </w:rPr>
        <w:t xml:space="preserve">        </w:t>
      </w:r>
      <w:r w:rsidRPr="0094625A">
        <w:rPr>
          <w:rStyle w:val="Refdenotaalpie"/>
          <w:rFonts w:ascii="Arial Narrow" w:hAnsi="Arial Narrow"/>
          <w:sz w:val="16"/>
          <w:szCs w:val="16"/>
        </w:rPr>
        <w:footnoteRef/>
      </w:r>
      <w:r w:rsidRPr="0094625A">
        <w:rPr>
          <w:rFonts w:ascii="Arial Narrow" w:hAnsi="Arial Narrow"/>
          <w:sz w:val="16"/>
          <w:szCs w:val="16"/>
        </w:rPr>
        <w:t xml:space="preserve"> </w:t>
      </w:r>
      <w:r w:rsidRPr="0094625A">
        <w:rPr>
          <w:rFonts w:ascii="Arial Narrow" w:hAnsi="Arial Narrow"/>
          <w:sz w:val="16"/>
          <w:szCs w:val="16"/>
        </w:rPr>
        <w:tab/>
      </w:r>
      <w:r w:rsidRPr="0094625A">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42FF830B" w14:textId="77777777" w:rsidR="007855A6" w:rsidRPr="0094625A" w:rsidRDefault="007855A6" w:rsidP="007855A6">
      <w:pPr>
        <w:pStyle w:val="Textonotapie"/>
        <w:ind w:left="1134" w:hanging="567"/>
        <w:jc w:val="both"/>
        <w:rPr>
          <w:rFonts w:ascii="Arial Narrow" w:hAnsi="Arial Narrow"/>
          <w:b/>
          <w:bCs/>
          <w:sz w:val="16"/>
          <w:szCs w:val="16"/>
        </w:rPr>
      </w:pPr>
      <w:r w:rsidRPr="0094625A">
        <w:rPr>
          <w:rFonts w:ascii="Arial Narrow" w:hAnsi="Arial Narrow"/>
          <w:b/>
          <w:bCs/>
          <w:sz w:val="16"/>
          <w:szCs w:val="16"/>
        </w:rPr>
        <w:t>Artículo 20. Modalidades de notificación|</w:t>
      </w:r>
    </w:p>
    <w:p w14:paraId="5F531868" w14:textId="77777777" w:rsidR="007855A6" w:rsidRDefault="007855A6" w:rsidP="007855A6">
      <w:pPr>
        <w:pStyle w:val="Textonotapie"/>
        <w:ind w:left="1134" w:hanging="567"/>
        <w:jc w:val="both"/>
        <w:rPr>
          <w:rFonts w:ascii="Arial Narrow" w:hAnsi="Arial Narrow" w:cs="Arial"/>
          <w:sz w:val="16"/>
          <w:szCs w:val="16"/>
        </w:rPr>
      </w:pPr>
      <w:r w:rsidRPr="0094625A">
        <w:rPr>
          <w:rFonts w:ascii="Arial Narrow" w:hAnsi="Arial Narrow" w:cs="Arial"/>
          <w:sz w:val="16"/>
          <w:szCs w:val="16"/>
        </w:rPr>
        <w:t xml:space="preserve">20.4. </w:t>
      </w:r>
      <w:r w:rsidRPr="0094625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1DC3EB4" w14:textId="77777777" w:rsidR="007855A6" w:rsidRDefault="007855A6" w:rsidP="007855A6">
      <w:pPr>
        <w:pStyle w:val="Textonotapie"/>
        <w:ind w:left="1134"/>
        <w:jc w:val="both"/>
        <w:rPr>
          <w:rFonts w:ascii="Arial Narrow" w:hAnsi="Arial Narrow" w:cs="Arial"/>
          <w:sz w:val="16"/>
          <w:szCs w:val="16"/>
        </w:rPr>
      </w:pPr>
      <w:r w:rsidRPr="00237A4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95E289A" w14:textId="77777777" w:rsidR="007855A6" w:rsidRPr="0094625A" w:rsidRDefault="007855A6" w:rsidP="007855A6">
      <w:pPr>
        <w:pStyle w:val="Textonotapie"/>
        <w:ind w:left="1134"/>
        <w:jc w:val="both"/>
        <w:rPr>
          <w:rFonts w:ascii="Arial Narrow" w:hAnsi="Arial Narrow" w:cs="Arial"/>
          <w:sz w:val="16"/>
          <w:szCs w:val="16"/>
        </w:rPr>
      </w:pPr>
      <w:r w:rsidRPr="00237A4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6FC4A81C" w14:textId="3C48720A" w:rsidR="007855A6" w:rsidRPr="007855A6" w:rsidRDefault="007855A6">
      <w:pPr>
        <w:pStyle w:val="Textonotapie"/>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88" w:type="dxa"/>
      <w:tblInd w:w="2" w:type="dxa"/>
      <w:tblLayout w:type="fixed"/>
      <w:tblCellMar>
        <w:left w:w="70" w:type="dxa"/>
        <w:right w:w="70" w:type="dxa"/>
      </w:tblCellMar>
      <w:tblLook w:val="00A0" w:firstRow="1" w:lastRow="0" w:firstColumn="1" w:lastColumn="0" w:noHBand="0" w:noVBand="0"/>
    </w:tblPr>
    <w:tblGrid>
      <w:gridCol w:w="4518"/>
      <w:gridCol w:w="4170"/>
    </w:tblGrid>
    <w:tr w:rsidR="006C3B07" w:rsidRPr="00260056" w14:paraId="2FF4B5BE" w14:textId="77777777" w:rsidTr="006C3B07">
      <w:trPr>
        <w:trHeight w:val="1310"/>
      </w:trPr>
      <w:tc>
        <w:tcPr>
          <w:tcW w:w="4518" w:type="dxa"/>
        </w:tcPr>
        <w:p w14:paraId="40797145" w14:textId="77777777" w:rsidR="00D46CD6" w:rsidRPr="00C211F8" w:rsidRDefault="00D46CD6" w:rsidP="006C3B07">
          <w:r>
            <w:rPr>
              <w:noProof/>
            </w:rPr>
            <w:drawing>
              <wp:inline distT="0" distB="0" distL="0" distR="0" wp14:anchorId="68886DC9" wp14:editId="5B57883C">
                <wp:extent cx="1638300" cy="723265"/>
                <wp:effectExtent l="0" t="0" r="0" b="635"/>
                <wp:docPr id="1828749178" name="Imagen 1828749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1290" cy="724585"/>
                        </a:xfrm>
                        <a:prstGeom prst="rect">
                          <a:avLst/>
                        </a:prstGeom>
                        <a:noFill/>
                        <a:ln>
                          <a:noFill/>
                        </a:ln>
                      </pic:spPr>
                    </pic:pic>
                  </a:graphicData>
                </a:graphic>
              </wp:inline>
            </w:drawing>
          </w:r>
        </w:p>
      </w:tc>
      <w:tc>
        <w:tcPr>
          <w:tcW w:w="4170" w:type="dxa"/>
        </w:tcPr>
        <w:p w14:paraId="0DFB3212" w14:textId="77777777" w:rsidR="00D46CD6" w:rsidRPr="00260056" w:rsidRDefault="00D46CD6" w:rsidP="006C3B07">
          <w:pPr>
            <w:tabs>
              <w:tab w:val="center" w:pos="4419"/>
              <w:tab w:val="right" w:pos="8838"/>
            </w:tabs>
            <w:jc w:val="right"/>
            <w:rPr>
              <w:rFonts w:ascii="Arial Narrow" w:hAnsi="Arial Narrow" w:cs="Arial Narrow"/>
              <w:b/>
              <w:bCs/>
              <w:i/>
              <w:iCs/>
              <w:sz w:val="16"/>
              <w:szCs w:val="16"/>
            </w:rPr>
          </w:pPr>
        </w:p>
        <w:p w14:paraId="78BC9362" w14:textId="77777777" w:rsidR="00D46CD6" w:rsidRDefault="00D46CD6" w:rsidP="006C3B07">
          <w:pPr>
            <w:tabs>
              <w:tab w:val="center" w:pos="4419"/>
              <w:tab w:val="right" w:pos="8838"/>
            </w:tabs>
            <w:jc w:val="right"/>
            <w:rPr>
              <w:rFonts w:ascii="Arial Narrow" w:hAnsi="Arial Narrow" w:cs="Arial Narrow"/>
              <w:b/>
              <w:bCs/>
              <w:i/>
              <w:iCs/>
              <w:sz w:val="16"/>
              <w:szCs w:val="16"/>
            </w:rPr>
          </w:pPr>
        </w:p>
        <w:p w14:paraId="756F154D" w14:textId="77777777" w:rsidR="00D46CD6" w:rsidRDefault="00D46CD6" w:rsidP="006C3B07">
          <w:pPr>
            <w:tabs>
              <w:tab w:val="center" w:pos="4419"/>
              <w:tab w:val="right" w:pos="8838"/>
            </w:tabs>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CNICA DE LA</w:t>
          </w:r>
          <w:r>
            <w:rPr>
              <w:rFonts w:ascii="Arial Narrow" w:hAnsi="Arial Narrow" w:cs="Arial Narrow"/>
              <w:b/>
              <w:bCs/>
              <w:i/>
              <w:iCs/>
              <w:sz w:val="16"/>
              <w:szCs w:val="16"/>
            </w:rPr>
            <w:t xml:space="preserve"> </w:t>
          </w:r>
          <w:r w:rsidRPr="00260056">
            <w:rPr>
              <w:rFonts w:ascii="Arial Narrow" w:hAnsi="Arial Narrow" w:cs="Arial Narrow"/>
              <w:b/>
              <w:bCs/>
              <w:i/>
              <w:iCs/>
              <w:sz w:val="16"/>
              <w:szCs w:val="16"/>
            </w:rPr>
            <w:t xml:space="preserve">COMISIÓN </w:t>
          </w:r>
        </w:p>
        <w:p w14:paraId="4191312B" w14:textId="77777777" w:rsidR="00D46CD6" w:rsidRPr="00260056" w:rsidRDefault="00D46CD6" w:rsidP="006C3B07">
          <w:pPr>
            <w:tabs>
              <w:tab w:val="center" w:pos="4419"/>
              <w:tab w:val="right" w:pos="8838"/>
            </w:tabs>
            <w:jc w:val="right"/>
            <w:rPr>
              <w:rFonts w:ascii="Arial Narrow" w:hAnsi="Arial Narrow" w:cs="Arial Narrow"/>
              <w:b/>
              <w:bCs/>
              <w:i/>
              <w:iCs/>
              <w:sz w:val="16"/>
              <w:szCs w:val="16"/>
            </w:rPr>
          </w:pPr>
          <w:r w:rsidRPr="00260056">
            <w:rPr>
              <w:rFonts w:ascii="Arial Narrow" w:hAnsi="Arial Narrow" w:cs="Arial Narrow"/>
              <w:b/>
              <w:bCs/>
              <w:i/>
              <w:iCs/>
              <w:sz w:val="16"/>
              <w:szCs w:val="16"/>
            </w:rPr>
            <w:t>DE PROTECCIÓN AL CONSUMIDOR</w:t>
          </w:r>
          <w:r>
            <w:rPr>
              <w:rFonts w:ascii="Arial Narrow" w:hAnsi="Arial Narrow" w:cs="Arial Narrow"/>
              <w:b/>
              <w:bCs/>
              <w:i/>
              <w:iCs/>
              <w:sz w:val="16"/>
              <w:szCs w:val="16"/>
            </w:rPr>
            <w:t xml:space="preserve"> N° 1</w:t>
          </w:r>
        </w:p>
        <w:p w14:paraId="0B46A355" w14:textId="302F2CB2" w:rsidR="00D46CD6" w:rsidRPr="00B2420F" w:rsidRDefault="00D46CD6" w:rsidP="00B2420F">
          <w:pPr>
            <w:tabs>
              <w:tab w:val="left" w:pos="0"/>
            </w:tabs>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tc>
    </w:tr>
  </w:tbl>
  <w:p w14:paraId="59ED06E6" w14:textId="77777777" w:rsidR="00D46CD6" w:rsidRDefault="00D46CD6" w:rsidP="006C3B07">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69A"/>
    <w:multiLevelType w:val="hybridMultilevel"/>
    <w:tmpl w:val="9984DA28"/>
    <w:lvl w:ilvl="0" w:tplc="EFCE6D54">
      <w:start w:val="1"/>
      <w:numFmt w:val="lowerRoman"/>
      <w:lvlText w:val="(%1)"/>
      <w:lvlJc w:val="left"/>
      <w:pPr>
        <w:ind w:left="720" w:hanging="72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start w:val="1"/>
      <w:numFmt w:val="decimal"/>
      <w:lvlText w:val="%4."/>
      <w:lvlJc w:val="left"/>
      <w:pPr>
        <w:ind w:left="2520" w:hanging="360"/>
      </w:pPr>
    </w:lvl>
    <w:lvl w:ilvl="4" w:tplc="280A0019">
      <w:start w:val="1"/>
      <w:numFmt w:val="lowerLetter"/>
      <w:lvlText w:val="%5."/>
      <w:lvlJc w:val="left"/>
      <w:pPr>
        <w:ind w:left="3240" w:hanging="360"/>
      </w:pPr>
    </w:lvl>
    <w:lvl w:ilvl="5" w:tplc="280A001B">
      <w:start w:val="1"/>
      <w:numFmt w:val="lowerRoman"/>
      <w:lvlText w:val="%6."/>
      <w:lvlJc w:val="right"/>
      <w:pPr>
        <w:ind w:left="3960" w:hanging="180"/>
      </w:pPr>
    </w:lvl>
    <w:lvl w:ilvl="6" w:tplc="280A000F">
      <w:start w:val="1"/>
      <w:numFmt w:val="decimal"/>
      <w:lvlText w:val="%7."/>
      <w:lvlJc w:val="left"/>
      <w:pPr>
        <w:ind w:left="4680" w:hanging="360"/>
      </w:pPr>
    </w:lvl>
    <w:lvl w:ilvl="7" w:tplc="280A0019">
      <w:start w:val="1"/>
      <w:numFmt w:val="lowerLetter"/>
      <w:lvlText w:val="%8."/>
      <w:lvlJc w:val="left"/>
      <w:pPr>
        <w:ind w:left="5400" w:hanging="360"/>
      </w:pPr>
    </w:lvl>
    <w:lvl w:ilvl="8" w:tplc="280A001B">
      <w:start w:val="1"/>
      <w:numFmt w:val="lowerRoman"/>
      <w:lvlText w:val="%9."/>
      <w:lvlJc w:val="right"/>
      <w:pPr>
        <w:ind w:left="6120" w:hanging="180"/>
      </w:pPr>
    </w:lvl>
  </w:abstractNum>
  <w:abstractNum w:abstractNumId="1" w15:restartNumberingAfterBreak="0">
    <w:nsid w:val="1466533E"/>
    <w:multiLevelType w:val="hybridMultilevel"/>
    <w:tmpl w:val="B8726B5A"/>
    <w:lvl w:ilvl="0" w:tplc="2C68164C">
      <w:start w:val="1"/>
      <w:numFmt w:val="lowerRoman"/>
      <w:lvlText w:val="(%1)"/>
      <w:lvlJc w:val="left"/>
      <w:pPr>
        <w:tabs>
          <w:tab w:val="num" w:pos="567"/>
        </w:tabs>
        <w:ind w:left="567" w:hanging="567"/>
      </w:pPr>
      <w:rPr>
        <w:rFonts w:ascii="Arial Narrow" w:hAnsi="Arial Narrow" w:cs="Arial" w:hint="default"/>
        <w:b w:val="0"/>
        <w:sz w:val="20"/>
        <w:szCs w:val="20"/>
      </w:rPr>
    </w:lvl>
    <w:lvl w:ilvl="1" w:tplc="FFFFFFFF">
      <w:start w:val="1"/>
      <w:numFmt w:val="decimal"/>
      <w:lvlText w:val="%2."/>
      <w:lvlJc w:val="left"/>
      <w:pPr>
        <w:tabs>
          <w:tab w:val="num" w:pos="-1872"/>
        </w:tabs>
        <w:ind w:left="-1872" w:hanging="360"/>
      </w:pPr>
    </w:lvl>
    <w:lvl w:ilvl="2" w:tplc="FFFFFFFF">
      <w:start w:val="1"/>
      <w:numFmt w:val="decimal"/>
      <w:lvlText w:val="%3."/>
      <w:lvlJc w:val="left"/>
      <w:pPr>
        <w:tabs>
          <w:tab w:val="num" w:pos="-1152"/>
        </w:tabs>
        <w:ind w:left="-1152" w:hanging="360"/>
      </w:pPr>
    </w:lvl>
    <w:lvl w:ilvl="3" w:tplc="FFFFFFFF">
      <w:start w:val="1"/>
      <w:numFmt w:val="decimal"/>
      <w:lvlText w:val="%4."/>
      <w:lvlJc w:val="left"/>
      <w:pPr>
        <w:tabs>
          <w:tab w:val="num" w:pos="-432"/>
        </w:tabs>
        <w:ind w:left="-432" w:hanging="360"/>
      </w:pPr>
    </w:lvl>
    <w:lvl w:ilvl="4" w:tplc="FFFFFFFF">
      <w:start w:val="1"/>
      <w:numFmt w:val="decimal"/>
      <w:lvlText w:val="%5."/>
      <w:lvlJc w:val="left"/>
      <w:pPr>
        <w:tabs>
          <w:tab w:val="num" w:pos="288"/>
        </w:tabs>
        <w:ind w:left="288" w:hanging="360"/>
      </w:pPr>
    </w:lvl>
    <w:lvl w:ilvl="5" w:tplc="FFFFFFFF">
      <w:start w:val="1"/>
      <w:numFmt w:val="decimal"/>
      <w:lvlText w:val="%6."/>
      <w:lvlJc w:val="left"/>
      <w:pPr>
        <w:tabs>
          <w:tab w:val="num" w:pos="1008"/>
        </w:tabs>
        <w:ind w:left="1008" w:hanging="360"/>
      </w:pPr>
    </w:lvl>
    <w:lvl w:ilvl="6" w:tplc="FFFFFFFF">
      <w:start w:val="1"/>
      <w:numFmt w:val="decimal"/>
      <w:lvlText w:val="%7."/>
      <w:lvlJc w:val="left"/>
      <w:pPr>
        <w:tabs>
          <w:tab w:val="num" w:pos="1728"/>
        </w:tabs>
        <w:ind w:left="1728" w:hanging="360"/>
      </w:pPr>
    </w:lvl>
    <w:lvl w:ilvl="7" w:tplc="FFFFFFFF">
      <w:start w:val="1"/>
      <w:numFmt w:val="decimal"/>
      <w:lvlText w:val="%8."/>
      <w:lvlJc w:val="left"/>
      <w:pPr>
        <w:tabs>
          <w:tab w:val="num" w:pos="2448"/>
        </w:tabs>
        <w:ind w:left="2448" w:hanging="360"/>
      </w:pPr>
    </w:lvl>
    <w:lvl w:ilvl="8" w:tplc="FFFFFFFF">
      <w:start w:val="1"/>
      <w:numFmt w:val="decimal"/>
      <w:lvlText w:val="%9."/>
      <w:lvlJc w:val="left"/>
      <w:pPr>
        <w:tabs>
          <w:tab w:val="num" w:pos="3168"/>
        </w:tabs>
        <w:ind w:left="3168" w:hanging="360"/>
      </w:pPr>
    </w:lvl>
  </w:abstractNum>
  <w:num w:numId="1" w16cid:durableId="16598399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63837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5A6"/>
    <w:rsid w:val="000F29B8"/>
    <w:rsid w:val="00153D2D"/>
    <w:rsid w:val="005F1AAF"/>
    <w:rsid w:val="007855A6"/>
    <w:rsid w:val="00B2420F"/>
    <w:rsid w:val="00CC4716"/>
    <w:rsid w:val="00D46C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60FC833"/>
  <w15:chartTrackingRefBased/>
  <w15:docId w15:val="{1CC3D8F4-F0CA-4573-97BC-9C3686856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855A6"/>
    <w:pPr>
      <w:spacing w:after="0" w:line="240" w:lineRule="auto"/>
    </w:pPr>
    <w:rPr>
      <w:rFonts w:ascii="Times New Roman" w:eastAsia="Times New Roman" w:hAnsi="Times New Roman" w:cs="Times New Roman"/>
      <w:color w:val="000000"/>
      <w:kern w:val="0"/>
      <w:szCs w:val="20"/>
      <w:lang w:eastAsia="es-PE"/>
      <w14:ligatures w14:val="none"/>
    </w:rPr>
  </w:style>
  <w:style w:type="paragraph" w:styleId="Ttulo1">
    <w:name w:val="heading 1"/>
    <w:basedOn w:val="Normal"/>
    <w:next w:val="Normal"/>
    <w:link w:val="Ttulo1Car"/>
    <w:uiPriority w:val="9"/>
    <w:qFormat/>
    <w:rsid w:val="00785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5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55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55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55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55A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55A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55A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55A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55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55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55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55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55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55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55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55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55A6"/>
    <w:rPr>
      <w:rFonts w:eastAsiaTheme="majorEastAsia" w:cstheme="majorBidi"/>
      <w:color w:val="272727" w:themeColor="text1" w:themeTint="D8"/>
    </w:rPr>
  </w:style>
  <w:style w:type="paragraph" w:styleId="Ttulo">
    <w:name w:val="Title"/>
    <w:basedOn w:val="Normal"/>
    <w:next w:val="Normal"/>
    <w:link w:val="TtuloCar"/>
    <w:uiPriority w:val="10"/>
    <w:qFormat/>
    <w:rsid w:val="007855A6"/>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55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55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55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55A6"/>
    <w:pPr>
      <w:spacing w:before="160"/>
      <w:jc w:val="center"/>
    </w:pPr>
    <w:rPr>
      <w:i/>
      <w:iCs/>
      <w:color w:val="404040" w:themeColor="text1" w:themeTint="BF"/>
    </w:rPr>
  </w:style>
  <w:style w:type="character" w:customStyle="1" w:styleId="CitaCar">
    <w:name w:val="Cita Car"/>
    <w:basedOn w:val="Fuentedeprrafopredeter"/>
    <w:link w:val="Cita"/>
    <w:uiPriority w:val="29"/>
    <w:rsid w:val="007855A6"/>
    <w:rPr>
      <w:i/>
      <w:iCs/>
      <w:color w:val="404040" w:themeColor="text1" w:themeTint="BF"/>
    </w:rPr>
  </w:style>
  <w:style w:type="paragraph" w:styleId="Prrafodelista">
    <w:name w:val="List Paragraph"/>
    <w:aliases w:val="Cita Pie de Página,titulo,Párrafo 2"/>
    <w:basedOn w:val="Normal"/>
    <w:link w:val="PrrafodelistaCar"/>
    <w:uiPriority w:val="34"/>
    <w:qFormat/>
    <w:rsid w:val="007855A6"/>
    <w:pPr>
      <w:ind w:left="720"/>
      <w:contextualSpacing/>
    </w:pPr>
  </w:style>
  <w:style w:type="character" w:styleId="nfasisintenso">
    <w:name w:val="Intense Emphasis"/>
    <w:basedOn w:val="Fuentedeprrafopredeter"/>
    <w:uiPriority w:val="21"/>
    <w:qFormat/>
    <w:rsid w:val="007855A6"/>
    <w:rPr>
      <w:i/>
      <w:iCs/>
      <w:color w:val="0F4761" w:themeColor="accent1" w:themeShade="BF"/>
    </w:rPr>
  </w:style>
  <w:style w:type="paragraph" w:styleId="Citadestacada">
    <w:name w:val="Intense Quote"/>
    <w:basedOn w:val="Normal"/>
    <w:next w:val="Normal"/>
    <w:link w:val="CitadestacadaCar"/>
    <w:uiPriority w:val="30"/>
    <w:qFormat/>
    <w:rsid w:val="00785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55A6"/>
    <w:rPr>
      <w:i/>
      <w:iCs/>
      <w:color w:val="0F4761" w:themeColor="accent1" w:themeShade="BF"/>
    </w:rPr>
  </w:style>
  <w:style w:type="character" w:styleId="Referenciaintensa">
    <w:name w:val="Intense Reference"/>
    <w:basedOn w:val="Fuentedeprrafopredeter"/>
    <w:uiPriority w:val="32"/>
    <w:qFormat/>
    <w:rsid w:val="007855A6"/>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Texto nota pie1,Car21"/>
    <w:link w:val="Texto1"/>
    <w:uiPriority w:val="99"/>
    <w:qFormat/>
    <w:rsid w:val="007855A6"/>
    <w:rPr>
      <w:rFonts w:ascii="Times New Roman" w:hAnsi="Times New Roman" w:cs="Times New Roman"/>
      <w:vertAlign w:val="superscript"/>
    </w:rPr>
  </w:style>
  <w:style w:type="character" w:customStyle="1" w:styleId="PrrafodelistaCar">
    <w:name w:val="Párrafo de lista Car"/>
    <w:aliases w:val="Cita Pie de Página Car,titulo Car,Párrafo 2 Car"/>
    <w:link w:val="Prrafodelista"/>
    <w:uiPriority w:val="34"/>
    <w:qFormat/>
    <w:locked/>
    <w:rsid w:val="007855A6"/>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7855A6"/>
    <w:rPr>
      <w:sz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7855A6"/>
    <w:rPr>
      <w:rFonts w:ascii="Times New Roman" w:eastAsia="Times New Roman" w:hAnsi="Times New Roman" w:cs="Times New Roman"/>
      <w:color w:val="000000"/>
      <w:kern w:val="0"/>
      <w:sz w:val="20"/>
      <w:szCs w:val="20"/>
      <w:lang w:eastAsia="es-PE"/>
      <w14:ligatures w14:val="none"/>
    </w:rPr>
  </w:style>
  <w:style w:type="paragraph" w:styleId="Piedepgina">
    <w:name w:val="footer"/>
    <w:basedOn w:val="Normal"/>
    <w:link w:val="PiedepginaCar"/>
    <w:uiPriority w:val="99"/>
    <w:unhideWhenUsed/>
    <w:rsid w:val="007855A6"/>
    <w:pPr>
      <w:tabs>
        <w:tab w:val="center" w:pos="4419"/>
        <w:tab w:val="right" w:pos="8838"/>
      </w:tabs>
    </w:pPr>
  </w:style>
  <w:style w:type="character" w:customStyle="1" w:styleId="PiedepginaCar">
    <w:name w:val="Pie de página Car"/>
    <w:basedOn w:val="Fuentedeprrafopredeter"/>
    <w:link w:val="Piedepgina"/>
    <w:uiPriority w:val="99"/>
    <w:rsid w:val="007855A6"/>
    <w:rPr>
      <w:rFonts w:ascii="Times New Roman" w:eastAsia="Times New Roman" w:hAnsi="Times New Roman" w:cs="Times New Roman"/>
      <w:color w:val="000000"/>
      <w:kern w:val="0"/>
      <w:szCs w:val="20"/>
      <w:lang w:eastAsia="es-PE"/>
      <w14:ligatures w14:val="non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7855A6"/>
    <w:rPr>
      <w:rFonts w:eastAsiaTheme="minorHAnsi"/>
      <w:color w:val="auto"/>
      <w:kern w:val="2"/>
      <w:szCs w:val="24"/>
      <w:vertAlign w:val="superscript"/>
      <w:lang w:eastAsia="en-US"/>
      <w14:ligatures w14:val="standardContextual"/>
    </w:rPr>
  </w:style>
  <w:style w:type="paragraph" w:styleId="Encabezado">
    <w:name w:val="header"/>
    <w:basedOn w:val="Normal"/>
    <w:link w:val="EncabezadoCar"/>
    <w:uiPriority w:val="99"/>
    <w:unhideWhenUsed/>
    <w:rsid w:val="005F1AAF"/>
    <w:pPr>
      <w:tabs>
        <w:tab w:val="center" w:pos="4252"/>
        <w:tab w:val="right" w:pos="8504"/>
      </w:tabs>
    </w:pPr>
  </w:style>
  <w:style w:type="character" w:customStyle="1" w:styleId="EncabezadoCar">
    <w:name w:val="Encabezado Car"/>
    <w:basedOn w:val="Fuentedeprrafopredeter"/>
    <w:link w:val="Encabezado"/>
    <w:uiPriority w:val="99"/>
    <w:rsid w:val="005F1AAF"/>
    <w:rPr>
      <w:rFonts w:ascii="Times New Roman" w:eastAsia="Times New Roman" w:hAnsi="Times New Roman" w:cs="Times New Roman"/>
      <w:color w:val="000000"/>
      <w:kern w:val="0"/>
      <w:szCs w:val="2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E893F-BD0E-4072-8119-052200294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338</Words>
  <Characters>1864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Legal CC1</dc:creator>
  <cp:keywords/>
  <dc:description/>
  <cp:lastModifiedBy>Apoyo Legal CC1</cp:lastModifiedBy>
  <cp:revision>3</cp:revision>
  <cp:lastPrinted>2025-03-12T20:31:00Z</cp:lastPrinted>
  <dcterms:created xsi:type="dcterms:W3CDTF">2025-03-12T19:57:00Z</dcterms:created>
  <dcterms:modified xsi:type="dcterms:W3CDTF">2025-03-12T22:22:00Z</dcterms:modified>
</cp:coreProperties>
</file>