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DA63" w14:textId="7EAB109B" w:rsidR="00C31986" w:rsidRPr="002969E3" w:rsidRDefault="00927F70" w:rsidP="00A61A25">
      <w:pPr>
        <w:keepNext/>
        <w:tabs>
          <w:tab w:val="left" w:pos="567"/>
          <w:tab w:val="left" w:pos="2268"/>
        </w:tabs>
        <w:rPr>
          <w:rFonts w:ascii="Arial" w:eastAsia="Arial" w:hAnsi="Arial" w:cs="Arial"/>
          <w:i/>
          <w:iCs/>
          <w:sz w:val="18"/>
          <w:szCs w:val="18"/>
        </w:rPr>
      </w:pPr>
      <w:bookmarkStart w:id="0" w:name="_Hlk71792980"/>
      <w:r w:rsidRPr="002969E3">
        <w:rPr>
          <w:rFonts w:ascii="Arial" w:eastAsia="Arial" w:hAnsi="Arial" w:cs="Arial"/>
          <w:i/>
          <w:iCs/>
          <w:sz w:val="18"/>
          <w:szCs w:val="18"/>
        </w:rPr>
        <w:t xml:space="preserve">Elaborado por </w:t>
      </w:r>
      <w:proofErr w:type="spellStart"/>
      <w:r w:rsidR="00747191" w:rsidRPr="00426EB3">
        <w:rPr>
          <w:rFonts w:ascii="Arial" w:eastAsia="Arial" w:hAnsi="Arial" w:cs="Arial"/>
          <w:i/>
          <w:iCs/>
          <w:sz w:val="18"/>
          <w:szCs w:val="18"/>
          <w:highlight w:val="green"/>
        </w:rPr>
        <w:t>Tais</w:t>
      </w:r>
      <w:proofErr w:type="spellEnd"/>
      <w:r w:rsidR="00747191" w:rsidRPr="00426EB3">
        <w:rPr>
          <w:rFonts w:ascii="Arial" w:eastAsia="Arial" w:hAnsi="Arial" w:cs="Arial"/>
          <w:i/>
          <w:iCs/>
          <w:sz w:val="18"/>
          <w:szCs w:val="18"/>
          <w:highlight w:val="green"/>
        </w:rPr>
        <w:t xml:space="preserve"> Gómez</w:t>
      </w:r>
    </w:p>
    <w:p w14:paraId="3ACB0098" w14:textId="7035B14E" w:rsidR="00927F70" w:rsidRPr="002969E3" w:rsidRDefault="00927F70" w:rsidP="00A61A25">
      <w:pPr>
        <w:keepNext/>
        <w:tabs>
          <w:tab w:val="left" w:pos="567"/>
          <w:tab w:val="left" w:pos="2268"/>
        </w:tabs>
        <w:rPr>
          <w:rFonts w:ascii="Arial" w:eastAsia="Arial" w:hAnsi="Arial" w:cs="Arial"/>
          <w:i/>
          <w:iCs/>
          <w:sz w:val="18"/>
          <w:szCs w:val="18"/>
        </w:rPr>
      </w:pPr>
      <w:r w:rsidRPr="002969E3">
        <w:rPr>
          <w:rFonts w:ascii="Arial" w:eastAsia="Arial" w:hAnsi="Arial" w:cs="Arial"/>
          <w:i/>
          <w:iCs/>
          <w:sz w:val="18"/>
          <w:szCs w:val="18"/>
        </w:rPr>
        <w:t xml:space="preserve">Supervisado por </w:t>
      </w:r>
      <w:proofErr w:type="spellStart"/>
      <w:r w:rsidR="004D3B0B" w:rsidRPr="00426EB3">
        <w:rPr>
          <w:rFonts w:ascii="Arial" w:eastAsia="Arial" w:hAnsi="Arial" w:cs="Arial"/>
          <w:i/>
          <w:iCs/>
          <w:sz w:val="18"/>
          <w:szCs w:val="18"/>
          <w:highlight w:val="green"/>
        </w:rPr>
        <w:t>Anal</w:t>
      </w:r>
      <w:r w:rsidR="0007584E" w:rsidRPr="00426EB3">
        <w:rPr>
          <w:rFonts w:ascii="Arial" w:eastAsia="Arial" w:hAnsi="Arial" w:cs="Arial"/>
          <w:i/>
          <w:iCs/>
          <w:sz w:val="18"/>
          <w:szCs w:val="18"/>
          <w:highlight w:val="green"/>
        </w:rPr>
        <w:t>i</w:t>
      </w:r>
      <w:proofErr w:type="spellEnd"/>
      <w:r w:rsidR="0007584E" w:rsidRPr="00426EB3">
        <w:rPr>
          <w:rFonts w:ascii="Arial" w:eastAsia="Arial" w:hAnsi="Arial" w:cs="Arial"/>
          <w:i/>
          <w:iCs/>
          <w:sz w:val="18"/>
          <w:szCs w:val="18"/>
          <w:highlight w:val="green"/>
        </w:rPr>
        <w:t xml:space="preserve"> Silva</w:t>
      </w:r>
    </w:p>
    <w:p w14:paraId="771103F6" w14:textId="4CCDA383" w:rsidR="00927F70" w:rsidRPr="002969E3" w:rsidRDefault="00927F70" w:rsidP="00A61A25">
      <w:pPr>
        <w:keepNext/>
        <w:tabs>
          <w:tab w:val="left" w:pos="567"/>
          <w:tab w:val="left" w:pos="3451"/>
        </w:tabs>
        <w:rPr>
          <w:rFonts w:ascii="Arial" w:eastAsia="Arial" w:hAnsi="Arial" w:cs="Arial"/>
          <w:i/>
          <w:iCs/>
          <w:sz w:val="18"/>
          <w:szCs w:val="18"/>
        </w:rPr>
      </w:pPr>
      <w:r w:rsidRPr="002969E3">
        <w:rPr>
          <w:rFonts w:ascii="Arial" w:eastAsia="Arial" w:hAnsi="Arial" w:cs="Arial"/>
          <w:i/>
          <w:iCs/>
          <w:sz w:val="18"/>
          <w:szCs w:val="18"/>
        </w:rPr>
        <w:t xml:space="preserve">Equipo </w:t>
      </w:r>
      <w:r w:rsidR="00747191" w:rsidRPr="002969E3">
        <w:rPr>
          <w:rFonts w:ascii="Arial" w:eastAsia="Arial" w:hAnsi="Arial" w:cs="Arial"/>
          <w:i/>
          <w:iCs/>
          <w:sz w:val="18"/>
          <w:szCs w:val="18"/>
        </w:rPr>
        <w:t>Seguros</w:t>
      </w:r>
      <w:r w:rsidR="00B16299" w:rsidRPr="002969E3">
        <w:rPr>
          <w:rFonts w:ascii="Arial" w:eastAsia="Arial" w:hAnsi="Arial" w:cs="Arial"/>
          <w:i/>
          <w:iCs/>
          <w:sz w:val="18"/>
          <w:szCs w:val="18"/>
        </w:rPr>
        <w:tab/>
      </w:r>
    </w:p>
    <w:p w14:paraId="12BBA53D" w14:textId="376271F2" w:rsidR="00927F70" w:rsidRPr="002969E3" w:rsidRDefault="00927F70" w:rsidP="00A61A25">
      <w:pPr>
        <w:keepNext/>
        <w:tabs>
          <w:tab w:val="left" w:pos="567"/>
          <w:tab w:val="left" w:pos="2268"/>
        </w:tabs>
        <w:rPr>
          <w:rFonts w:ascii="Arial" w:eastAsia="Arial" w:hAnsi="Arial" w:cs="Arial"/>
          <w:i/>
          <w:iCs/>
          <w:sz w:val="18"/>
          <w:szCs w:val="18"/>
        </w:rPr>
      </w:pPr>
      <w:r w:rsidRPr="002969E3">
        <w:rPr>
          <w:rFonts w:ascii="Arial" w:eastAsia="Arial" w:hAnsi="Arial" w:cs="Arial"/>
          <w:i/>
          <w:iCs/>
          <w:sz w:val="18"/>
          <w:szCs w:val="18"/>
        </w:rPr>
        <w:t xml:space="preserve">Fecha de Vencimiento </w:t>
      </w:r>
      <w:r w:rsidR="007B30A5" w:rsidRPr="00426EB3">
        <w:rPr>
          <w:rFonts w:ascii="Arial" w:eastAsia="Arial" w:hAnsi="Arial" w:cs="Arial"/>
          <w:i/>
          <w:iCs/>
          <w:sz w:val="18"/>
          <w:szCs w:val="18"/>
          <w:highlight w:val="green"/>
        </w:rPr>
        <w:t xml:space="preserve">4 de </w:t>
      </w:r>
      <w:r w:rsidR="00CC055D" w:rsidRPr="00426EB3">
        <w:rPr>
          <w:rFonts w:ascii="Arial" w:eastAsia="Arial" w:hAnsi="Arial" w:cs="Arial"/>
          <w:i/>
          <w:iCs/>
          <w:sz w:val="18"/>
          <w:szCs w:val="18"/>
          <w:highlight w:val="green"/>
        </w:rPr>
        <w:t>diciembre</w:t>
      </w:r>
      <w:r w:rsidRPr="00426EB3">
        <w:rPr>
          <w:rFonts w:ascii="Arial" w:eastAsia="Arial" w:hAnsi="Arial" w:cs="Arial"/>
          <w:i/>
          <w:iCs/>
          <w:sz w:val="18"/>
          <w:szCs w:val="18"/>
          <w:highlight w:val="green"/>
        </w:rPr>
        <w:t xml:space="preserve"> de 202</w:t>
      </w:r>
      <w:r w:rsidR="006F294D" w:rsidRPr="00426EB3">
        <w:rPr>
          <w:rFonts w:ascii="Arial" w:eastAsia="Arial" w:hAnsi="Arial" w:cs="Arial"/>
          <w:i/>
          <w:iCs/>
          <w:sz w:val="18"/>
          <w:szCs w:val="18"/>
          <w:highlight w:val="green"/>
        </w:rPr>
        <w:t>2</w:t>
      </w:r>
    </w:p>
    <w:p w14:paraId="6ACC827D" w14:textId="77777777" w:rsidR="00927F70" w:rsidRPr="00E23FCD" w:rsidRDefault="00927F70" w:rsidP="00A61A25">
      <w:pPr>
        <w:keepNext/>
        <w:tabs>
          <w:tab w:val="left" w:pos="567"/>
          <w:tab w:val="left" w:pos="2268"/>
        </w:tabs>
        <w:rPr>
          <w:rFonts w:ascii="Arial" w:eastAsia="Arial" w:hAnsi="Arial" w:cs="Arial"/>
          <w:b/>
          <w:bCs/>
          <w:sz w:val="22"/>
          <w:szCs w:val="22"/>
        </w:rPr>
      </w:pPr>
    </w:p>
    <w:p w14:paraId="1B25D044" w14:textId="143F0261" w:rsidR="003E2BF7" w:rsidRPr="002969E3" w:rsidRDefault="2F246F14" w:rsidP="00A61A25">
      <w:pPr>
        <w:keepNext/>
        <w:tabs>
          <w:tab w:val="left" w:pos="567"/>
          <w:tab w:val="left" w:pos="2268"/>
        </w:tabs>
        <w:jc w:val="center"/>
        <w:rPr>
          <w:rFonts w:ascii="Arial" w:hAnsi="Arial" w:cs="Arial"/>
          <w:sz w:val="32"/>
          <w:szCs w:val="32"/>
        </w:rPr>
      </w:pPr>
      <w:r w:rsidRPr="002969E3">
        <w:rPr>
          <w:rFonts w:ascii="Arial" w:eastAsia="Arial" w:hAnsi="Arial" w:cs="Arial"/>
          <w:b/>
          <w:bCs/>
          <w:sz w:val="32"/>
          <w:szCs w:val="32"/>
        </w:rPr>
        <w:t xml:space="preserve">RESOLUCIÓN </w:t>
      </w:r>
      <w:proofErr w:type="spellStart"/>
      <w:r w:rsidRPr="002969E3">
        <w:rPr>
          <w:rFonts w:ascii="Arial" w:eastAsia="Arial" w:hAnsi="Arial" w:cs="Arial"/>
          <w:b/>
          <w:bCs/>
          <w:sz w:val="32"/>
          <w:szCs w:val="32"/>
        </w:rPr>
        <w:t>N°</w:t>
      </w:r>
      <w:proofErr w:type="spellEnd"/>
      <w:r w:rsidR="002111B4" w:rsidRPr="002969E3">
        <w:rPr>
          <w:rFonts w:ascii="Arial" w:eastAsia="Arial" w:hAnsi="Arial" w:cs="Arial"/>
          <w:b/>
          <w:bCs/>
          <w:sz w:val="32"/>
          <w:szCs w:val="32"/>
        </w:rPr>
        <w:t xml:space="preserve"> </w:t>
      </w:r>
      <w:r w:rsidR="004F686C" w:rsidRPr="002969E3">
        <w:rPr>
          <w:rFonts w:ascii="Arial" w:eastAsia="Arial" w:hAnsi="Arial" w:cs="Arial"/>
          <w:b/>
          <w:bCs/>
          <w:sz w:val="32"/>
          <w:szCs w:val="32"/>
        </w:rPr>
        <w:t>XXXX</w:t>
      </w:r>
      <w:r w:rsidR="00E45FD3" w:rsidRPr="002969E3">
        <w:rPr>
          <w:rFonts w:ascii="Arial" w:eastAsia="Arial" w:hAnsi="Arial" w:cs="Arial"/>
          <w:b/>
          <w:bCs/>
          <w:sz w:val="32"/>
          <w:szCs w:val="32"/>
        </w:rPr>
        <w:t>-</w:t>
      </w:r>
      <w:r w:rsidR="00E45FD3" w:rsidRPr="00674788">
        <w:rPr>
          <w:rFonts w:ascii="Arial" w:eastAsia="Arial" w:hAnsi="Arial" w:cs="Arial"/>
          <w:b/>
          <w:bCs/>
          <w:sz w:val="32"/>
          <w:szCs w:val="32"/>
          <w:highlight w:val="magenta"/>
        </w:rPr>
        <w:t>202</w:t>
      </w:r>
      <w:r w:rsidR="009E38A2" w:rsidRPr="00674788">
        <w:rPr>
          <w:rFonts w:ascii="Arial" w:eastAsia="Arial" w:hAnsi="Arial" w:cs="Arial"/>
          <w:b/>
          <w:bCs/>
          <w:sz w:val="32"/>
          <w:szCs w:val="32"/>
          <w:highlight w:val="magenta"/>
        </w:rPr>
        <w:t>2</w:t>
      </w:r>
      <w:r w:rsidRPr="002969E3">
        <w:rPr>
          <w:rFonts w:ascii="Arial" w:eastAsia="Arial" w:hAnsi="Arial" w:cs="Arial"/>
          <w:b/>
          <w:bCs/>
          <w:sz w:val="32"/>
          <w:szCs w:val="32"/>
        </w:rPr>
        <w:t>/CC1</w:t>
      </w:r>
    </w:p>
    <w:p w14:paraId="456B4424" w14:textId="77777777" w:rsidR="0013368E" w:rsidRPr="002969E3" w:rsidRDefault="0013368E" w:rsidP="00A61A25">
      <w:pPr>
        <w:keepNext/>
        <w:tabs>
          <w:tab w:val="left" w:pos="567"/>
          <w:tab w:val="left" w:pos="2268"/>
        </w:tabs>
        <w:ind w:left="2835" w:hanging="2835"/>
        <w:jc w:val="both"/>
        <w:rPr>
          <w:rFonts w:ascii="Arial" w:eastAsia="Arial" w:hAnsi="Arial" w:cs="Arial"/>
          <w:b/>
          <w:sz w:val="22"/>
          <w:szCs w:val="22"/>
        </w:rPr>
      </w:pPr>
    </w:p>
    <w:p w14:paraId="465ACB47" w14:textId="2438A656"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DENUNCIANTE</w:t>
      </w:r>
      <w:r w:rsidRPr="002969E3">
        <w:rPr>
          <w:rFonts w:ascii="Arial" w:hAnsi="Arial" w:cs="Arial"/>
          <w:b/>
          <w:sz w:val="22"/>
          <w:szCs w:val="22"/>
        </w:rPr>
        <w:tab/>
      </w:r>
      <w:r w:rsidRPr="002969E3">
        <w:rPr>
          <w:rFonts w:ascii="Arial" w:hAnsi="Arial" w:cs="Arial"/>
          <w:b/>
          <w:bCs/>
          <w:sz w:val="22"/>
          <w:szCs w:val="22"/>
        </w:rPr>
        <w:t xml:space="preserve">:  </w:t>
      </w:r>
      <w:r w:rsidRPr="002969E3">
        <w:rPr>
          <w:rFonts w:ascii="Arial" w:hAnsi="Arial" w:cs="Arial"/>
          <w:b/>
          <w:bCs/>
          <w:sz w:val="22"/>
          <w:szCs w:val="22"/>
        </w:rPr>
        <w:tab/>
      </w:r>
      <w:r w:rsidR="000C747A" w:rsidRPr="00426EB3">
        <w:rPr>
          <w:rFonts w:ascii="Arial" w:hAnsi="Arial" w:cs="Arial"/>
          <w:b/>
          <w:bCs/>
          <w:sz w:val="22"/>
          <w:szCs w:val="22"/>
          <w:highlight w:val="green"/>
        </w:rPr>
        <w:t>JULIO ALBERTO MAVILA SEGURA (SEÑOR MAVILA</w:t>
      </w:r>
      <w:r w:rsidRPr="002969E3">
        <w:rPr>
          <w:rFonts w:ascii="Arial" w:hAnsi="Arial" w:cs="Arial"/>
          <w:b/>
          <w:bCs/>
          <w:sz w:val="22"/>
          <w:szCs w:val="22"/>
          <w:lang w:val="es-MX"/>
        </w:rPr>
        <w:t>)</w:t>
      </w:r>
    </w:p>
    <w:p w14:paraId="24353D15" w14:textId="33853F70"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DENUNCIADO</w:t>
      </w:r>
      <w:r w:rsidRPr="002969E3">
        <w:rPr>
          <w:rFonts w:ascii="Arial" w:hAnsi="Arial" w:cs="Arial"/>
          <w:b/>
          <w:bCs/>
          <w:sz w:val="22"/>
          <w:szCs w:val="22"/>
        </w:rPr>
        <w:tab/>
        <w:t xml:space="preserve">:  </w:t>
      </w:r>
      <w:r w:rsidRPr="002969E3">
        <w:rPr>
          <w:rFonts w:ascii="Arial" w:hAnsi="Arial" w:cs="Arial"/>
          <w:b/>
          <w:bCs/>
          <w:sz w:val="22"/>
          <w:szCs w:val="22"/>
        </w:rPr>
        <w:tab/>
      </w:r>
      <w:r w:rsidR="000C747A" w:rsidRPr="00426EB3">
        <w:rPr>
          <w:rFonts w:ascii="Arial" w:hAnsi="Arial" w:cs="Arial"/>
          <w:b/>
          <w:bCs/>
          <w:sz w:val="22"/>
          <w:szCs w:val="22"/>
          <w:highlight w:val="green"/>
        </w:rPr>
        <w:t>PACÍFICO COMPAÑÍA DE SEGUROS Y REASEGUROS S.A. (PACÍFICO</w:t>
      </w:r>
      <w:r w:rsidRPr="002969E3">
        <w:rPr>
          <w:rFonts w:ascii="Arial" w:hAnsi="Arial" w:cs="Arial"/>
          <w:b/>
          <w:bCs/>
          <w:sz w:val="22"/>
          <w:szCs w:val="22"/>
        </w:rPr>
        <w:t>)</w:t>
      </w:r>
    </w:p>
    <w:p w14:paraId="297523C0" w14:textId="2DD4CA4E"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MATERIAS</w:t>
      </w:r>
      <w:r w:rsidRPr="002969E3">
        <w:rPr>
          <w:rFonts w:ascii="Arial" w:hAnsi="Arial" w:cs="Arial"/>
          <w:b/>
          <w:bCs/>
          <w:sz w:val="22"/>
          <w:szCs w:val="22"/>
        </w:rPr>
        <w:tab/>
        <w:t>:</w:t>
      </w:r>
      <w:r w:rsidRPr="002969E3">
        <w:rPr>
          <w:rFonts w:ascii="Arial" w:hAnsi="Arial" w:cs="Arial"/>
          <w:b/>
          <w:bCs/>
          <w:sz w:val="22"/>
          <w:szCs w:val="22"/>
        </w:rPr>
        <w:tab/>
        <w:t>PROTECCIÓN AL CONSUMIDOR</w:t>
      </w:r>
    </w:p>
    <w:p w14:paraId="5835092B" w14:textId="4A9F0065" w:rsidR="007B30A5" w:rsidRPr="002969E3" w:rsidRDefault="007B30A5" w:rsidP="004206A3">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 xml:space="preserve">                                        </w:t>
      </w:r>
      <w:r w:rsidR="002969E3" w:rsidRPr="002969E3">
        <w:rPr>
          <w:rFonts w:ascii="Arial" w:hAnsi="Arial" w:cs="Arial"/>
          <w:b/>
          <w:bCs/>
          <w:sz w:val="22"/>
          <w:szCs w:val="22"/>
        </w:rPr>
        <w:tab/>
      </w:r>
      <w:r w:rsidRPr="002969E3">
        <w:rPr>
          <w:rFonts w:ascii="Arial" w:hAnsi="Arial" w:cs="Arial"/>
          <w:b/>
          <w:bCs/>
          <w:sz w:val="22"/>
          <w:szCs w:val="22"/>
        </w:rPr>
        <w:t xml:space="preserve">DENEGATORIA DE MEDIDA CAUTELAR </w:t>
      </w:r>
      <w:r w:rsidRPr="002969E3">
        <w:rPr>
          <w:rFonts w:ascii="Arial" w:hAnsi="Arial" w:cs="Arial"/>
          <w:b/>
          <w:bCs/>
          <w:sz w:val="22"/>
          <w:szCs w:val="22"/>
        </w:rPr>
        <w:tab/>
      </w:r>
      <w:r w:rsidRPr="002969E3">
        <w:rPr>
          <w:rFonts w:ascii="Arial" w:hAnsi="Arial" w:cs="Arial"/>
          <w:b/>
          <w:bCs/>
          <w:sz w:val="22"/>
          <w:szCs w:val="22"/>
        </w:rPr>
        <w:tab/>
      </w:r>
    </w:p>
    <w:p w14:paraId="05ADA06C" w14:textId="49B8F231"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ACTIVIDAD</w:t>
      </w:r>
      <w:r w:rsidRPr="002969E3">
        <w:rPr>
          <w:rFonts w:ascii="Arial" w:hAnsi="Arial" w:cs="Arial"/>
          <w:b/>
          <w:bCs/>
          <w:sz w:val="22"/>
          <w:szCs w:val="22"/>
        </w:rPr>
        <w:tab/>
        <w:t>:</w:t>
      </w:r>
      <w:r w:rsidRPr="002969E3">
        <w:rPr>
          <w:rFonts w:ascii="Arial" w:hAnsi="Arial" w:cs="Arial"/>
          <w:b/>
          <w:bCs/>
          <w:sz w:val="22"/>
          <w:szCs w:val="22"/>
        </w:rPr>
        <w:tab/>
        <w:t>SEGUROS Y PENSIONES</w:t>
      </w:r>
    </w:p>
    <w:p w14:paraId="70F014FD" w14:textId="4D3EEC65" w:rsidR="007B30A5" w:rsidRPr="002969E3" w:rsidRDefault="007B30A5" w:rsidP="00A61A25">
      <w:pPr>
        <w:widowControl w:val="0"/>
        <w:tabs>
          <w:tab w:val="left" w:pos="2127"/>
        </w:tabs>
        <w:ind w:left="2694" w:hanging="2697"/>
        <w:jc w:val="both"/>
        <w:rPr>
          <w:rFonts w:ascii="Arial" w:hAnsi="Arial" w:cs="Arial"/>
          <w:b/>
          <w:bCs/>
          <w:sz w:val="22"/>
          <w:szCs w:val="22"/>
        </w:rPr>
      </w:pPr>
      <w:r w:rsidRPr="002969E3">
        <w:rPr>
          <w:rFonts w:ascii="Arial" w:hAnsi="Arial" w:cs="Arial"/>
          <w:b/>
          <w:bCs/>
          <w:sz w:val="22"/>
          <w:szCs w:val="22"/>
        </w:rPr>
        <w:tab/>
      </w:r>
      <w:r w:rsidRPr="002969E3">
        <w:rPr>
          <w:rFonts w:ascii="Arial" w:hAnsi="Arial" w:cs="Arial"/>
          <w:b/>
          <w:bCs/>
          <w:sz w:val="22"/>
          <w:szCs w:val="22"/>
        </w:rPr>
        <w:tab/>
      </w:r>
      <w:r w:rsidRPr="002969E3">
        <w:rPr>
          <w:rFonts w:ascii="Arial" w:hAnsi="Arial" w:cs="Arial"/>
          <w:b/>
          <w:bCs/>
          <w:sz w:val="22"/>
          <w:szCs w:val="22"/>
        </w:rPr>
        <w:tab/>
        <w:t xml:space="preserve">  </w:t>
      </w:r>
    </w:p>
    <w:p w14:paraId="31560A95" w14:textId="77777777" w:rsidR="003E2BF7" w:rsidRPr="00E23FCD" w:rsidRDefault="003E2BF7" w:rsidP="00A61A25">
      <w:pPr>
        <w:jc w:val="both"/>
        <w:rPr>
          <w:rFonts w:ascii="Arial" w:hAnsi="Arial" w:cs="Arial"/>
          <w:b/>
          <w:sz w:val="22"/>
          <w:szCs w:val="22"/>
          <w:lang w:eastAsia="es-ES"/>
        </w:rPr>
      </w:pPr>
    </w:p>
    <w:p w14:paraId="655568C2" w14:textId="7D76CED5" w:rsidR="003E2BF7" w:rsidRPr="00E23FCD" w:rsidRDefault="2F246F14" w:rsidP="00A61A25">
      <w:pPr>
        <w:jc w:val="both"/>
        <w:rPr>
          <w:rFonts w:ascii="Arial" w:hAnsi="Arial" w:cs="Arial"/>
          <w:color w:val="000000" w:themeColor="text1"/>
          <w:sz w:val="22"/>
          <w:szCs w:val="22"/>
        </w:rPr>
      </w:pPr>
      <w:r w:rsidRPr="00E23FCD">
        <w:rPr>
          <w:rFonts w:ascii="Arial" w:hAnsi="Arial" w:cs="Arial"/>
          <w:color w:val="000000" w:themeColor="text1"/>
          <w:sz w:val="22"/>
          <w:szCs w:val="22"/>
        </w:rPr>
        <w:t xml:space="preserve">Lima, </w:t>
      </w:r>
      <w:r w:rsidR="004F686C" w:rsidRPr="00426EB3">
        <w:rPr>
          <w:rFonts w:ascii="Arial" w:hAnsi="Arial" w:cs="Arial"/>
          <w:color w:val="000000" w:themeColor="text1"/>
          <w:sz w:val="22"/>
          <w:szCs w:val="22"/>
          <w:highlight w:val="green"/>
        </w:rPr>
        <w:t>XX</w:t>
      </w:r>
      <w:r w:rsidR="00E45FD3" w:rsidRPr="00E23FCD">
        <w:rPr>
          <w:rFonts w:ascii="Arial" w:hAnsi="Arial" w:cs="Arial"/>
          <w:color w:val="000000" w:themeColor="text1"/>
          <w:sz w:val="22"/>
          <w:szCs w:val="22"/>
        </w:rPr>
        <w:t xml:space="preserve"> de </w:t>
      </w:r>
      <w:r w:rsidR="000C747A" w:rsidRPr="00426EB3">
        <w:rPr>
          <w:rFonts w:ascii="Arial" w:hAnsi="Arial" w:cs="Arial"/>
          <w:color w:val="000000" w:themeColor="text1"/>
          <w:sz w:val="22"/>
          <w:szCs w:val="22"/>
          <w:highlight w:val="green"/>
        </w:rPr>
        <w:t>julio</w:t>
      </w:r>
      <w:r w:rsidR="00E45FD3" w:rsidRPr="00E23FCD">
        <w:rPr>
          <w:rFonts w:ascii="Arial" w:hAnsi="Arial" w:cs="Arial"/>
          <w:color w:val="000000" w:themeColor="text1"/>
          <w:sz w:val="22"/>
          <w:szCs w:val="22"/>
        </w:rPr>
        <w:t xml:space="preserve"> de </w:t>
      </w:r>
      <w:r w:rsidR="00E45FD3" w:rsidRPr="00426EB3">
        <w:rPr>
          <w:rFonts w:ascii="Arial" w:hAnsi="Arial" w:cs="Arial"/>
          <w:color w:val="000000" w:themeColor="text1"/>
          <w:sz w:val="22"/>
          <w:szCs w:val="22"/>
          <w:highlight w:val="green"/>
        </w:rPr>
        <w:t>202</w:t>
      </w:r>
      <w:r w:rsidR="006F294D" w:rsidRPr="00426EB3">
        <w:rPr>
          <w:rFonts w:ascii="Arial" w:hAnsi="Arial" w:cs="Arial"/>
          <w:color w:val="000000" w:themeColor="text1"/>
          <w:sz w:val="22"/>
          <w:szCs w:val="22"/>
          <w:highlight w:val="green"/>
        </w:rPr>
        <w:t>2</w:t>
      </w:r>
      <w:r w:rsidR="009F4453" w:rsidRPr="00E23FCD">
        <w:rPr>
          <w:rFonts w:ascii="Arial" w:hAnsi="Arial" w:cs="Arial"/>
          <w:color w:val="000000" w:themeColor="text1"/>
          <w:sz w:val="22"/>
          <w:szCs w:val="22"/>
        </w:rPr>
        <w:t xml:space="preserve"> </w:t>
      </w:r>
    </w:p>
    <w:p w14:paraId="6B8812AF" w14:textId="5491BAFC" w:rsidR="002F158F" w:rsidRPr="00E23FCD" w:rsidRDefault="002F158F" w:rsidP="00A61A25">
      <w:pPr>
        <w:tabs>
          <w:tab w:val="left" w:pos="1014"/>
        </w:tabs>
        <w:jc w:val="both"/>
        <w:rPr>
          <w:rFonts w:ascii="Arial" w:hAnsi="Arial" w:cs="Arial"/>
          <w:sz w:val="22"/>
          <w:szCs w:val="22"/>
          <w:lang w:val="es-ES" w:eastAsia="es-ES"/>
        </w:rPr>
      </w:pPr>
    </w:p>
    <w:p w14:paraId="5E41C6FF" w14:textId="5C7E5DE0" w:rsidR="00E01F86" w:rsidRPr="00E23FCD" w:rsidRDefault="006666E2" w:rsidP="00A61A25">
      <w:pPr>
        <w:ind w:left="567" w:hanging="567"/>
        <w:jc w:val="both"/>
        <w:rPr>
          <w:rFonts w:ascii="Arial" w:eastAsia="Arial" w:hAnsi="Arial" w:cs="Arial"/>
          <w:b/>
          <w:bCs/>
          <w:sz w:val="22"/>
          <w:szCs w:val="22"/>
        </w:rPr>
      </w:pPr>
      <w:r>
        <w:rPr>
          <w:rFonts w:ascii="Arial" w:eastAsia="Arial" w:hAnsi="Arial" w:cs="Arial"/>
          <w:b/>
          <w:bCs/>
          <w:sz w:val="22"/>
          <w:szCs w:val="22"/>
        </w:rPr>
        <w:t xml:space="preserve">I </w:t>
      </w:r>
      <w:r>
        <w:rPr>
          <w:rFonts w:ascii="Arial" w:eastAsia="Arial" w:hAnsi="Arial" w:cs="Arial"/>
          <w:b/>
          <w:bCs/>
          <w:sz w:val="22"/>
          <w:szCs w:val="22"/>
        </w:rPr>
        <w:tab/>
      </w:r>
      <w:r w:rsidR="18CBF14C" w:rsidRPr="00E23FCD">
        <w:rPr>
          <w:rFonts w:ascii="Arial" w:eastAsia="Arial" w:hAnsi="Arial" w:cs="Arial"/>
          <w:b/>
          <w:bCs/>
          <w:sz w:val="22"/>
          <w:szCs w:val="22"/>
        </w:rPr>
        <w:t>ANTECEDENTES</w:t>
      </w:r>
    </w:p>
    <w:p w14:paraId="1C7C158E" w14:textId="77777777" w:rsidR="00E01F86" w:rsidRPr="00E23FCD" w:rsidRDefault="00E01F86" w:rsidP="00A61A25">
      <w:pPr>
        <w:pStyle w:val="Prrafodelista"/>
        <w:spacing w:after="0" w:line="240" w:lineRule="auto"/>
        <w:ind w:left="567"/>
        <w:jc w:val="both"/>
        <w:rPr>
          <w:rFonts w:ascii="Arial" w:eastAsia="Arial" w:hAnsi="Arial" w:cs="Arial"/>
          <w:b/>
          <w:sz w:val="22"/>
          <w:szCs w:val="22"/>
        </w:rPr>
      </w:pPr>
    </w:p>
    <w:p w14:paraId="38834607" w14:textId="6F71A3A1" w:rsidR="009F3D6E" w:rsidRPr="00E23FCD" w:rsidRDefault="009F3D6E"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hAnsi="Arial" w:cs="Arial"/>
          <w:sz w:val="22"/>
          <w:szCs w:val="22"/>
          <w:lang w:eastAsia="es-ES"/>
        </w:rPr>
        <w:t xml:space="preserve">Mediante escrito del </w:t>
      </w:r>
      <w:r w:rsidR="000C747A" w:rsidRPr="00426EB3">
        <w:rPr>
          <w:rFonts w:ascii="Arial" w:hAnsi="Arial" w:cs="Arial"/>
          <w:sz w:val="22"/>
          <w:szCs w:val="22"/>
          <w:highlight w:val="green"/>
          <w:lang w:eastAsia="es-ES"/>
        </w:rPr>
        <w:t>9 de junio</w:t>
      </w:r>
      <w:r w:rsidR="004E651F" w:rsidRPr="00426EB3">
        <w:rPr>
          <w:rFonts w:ascii="Arial" w:hAnsi="Arial" w:cs="Arial"/>
          <w:sz w:val="22"/>
          <w:szCs w:val="22"/>
          <w:highlight w:val="green"/>
          <w:lang w:eastAsia="es-ES"/>
        </w:rPr>
        <w:t xml:space="preserve"> de 2022</w:t>
      </w:r>
      <w:r w:rsidR="00B204CA" w:rsidRPr="00271C1B">
        <w:rPr>
          <w:rFonts w:ascii="Arial Narrow" w:hAnsi="Arial Narrow"/>
          <w:color w:val="000000"/>
          <w:highlight w:val="green"/>
          <w:vertAlign w:val="superscript"/>
          <w:lang w:val="es-ES" w:eastAsia="es-ES"/>
        </w:rPr>
        <w:footnoteReference w:id="2"/>
      </w:r>
      <w:r w:rsidR="008B5A83" w:rsidRPr="00E23FCD">
        <w:rPr>
          <w:rFonts w:ascii="Arial" w:hAnsi="Arial" w:cs="Arial"/>
          <w:sz w:val="22"/>
          <w:szCs w:val="22"/>
          <w:lang w:eastAsia="es-ES"/>
        </w:rPr>
        <w:t>,</w:t>
      </w:r>
      <w:r w:rsidR="000C747A">
        <w:rPr>
          <w:rFonts w:ascii="Arial" w:hAnsi="Arial" w:cs="Arial"/>
          <w:sz w:val="22"/>
          <w:szCs w:val="22"/>
          <w:lang w:eastAsia="es-ES"/>
        </w:rPr>
        <w:t xml:space="preserve"> </w:t>
      </w:r>
      <w:r w:rsidR="000C747A" w:rsidRPr="00426EB3">
        <w:rPr>
          <w:rFonts w:ascii="Arial" w:hAnsi="Arial" w:cs="Arial"/>
          <w:sz w:val="22"/>
          <w:szCs w:val="22"/>
          <w:highlight w:val="magenta"/>
          <w:lang w:eastAsia="es-ES"/>
        </w:rPr>
        <w:t>subsanado el 15 de julio de 2022</w:t>
      </w:r>
      <w:r w:rsidR="000C747A">
        <w:rPr>
          <w:rFonts w:ascii="Arial" w:hAnsi="Arial" w:cs="Arial"/>
          <w:sz w:val="22"/>
          <w:szCs w:val="22"/>
          <w:lang w:eastAsia="es-ES"/>
        </w:rPr>
        <w:t>,</w:t>
      </w:r>
      <w:r w:rsidR="008B5A83" w:rsidRPr="00E23FCD">
        <w:rPr>
          <w:rFonts w:ascii="Arial" w:hAnsi="Arial" w:cs="Arial"/>
          <w:sz w:val="22"/>
          <w:szCs w:val="22"/>
          <w:lang w:eastAsia="es-ES"/>
        </w:rPr>
        <w:t xml:space="preserve"> </w:t>
      </w:r>
      <w:r w:rsidR="000C747A" w:rsidRPr="00426EB3">
        <w:rPr>
          <w:rFonts w:ascii="Arial" w:hAnsi="Arial" w:cs="Arial"/>
          <w:sz w:val="22"/>
          <w:szCs w:val="22"/>
          <w:highlight w:val="green"/>
          <w:lang w:val="es-ES" w:eastAsia="es-ES"/>
        </w:rPr>
        <w:t>el señor Mavila</w:t>
      </w:r>
      <w:r w:rsidRPr="00E23FCD">
        <w:rPr>
          <w:rFonts w:ascii="Arial" w:hAnsi="Arial" w:cs="Arial"/>
          <w:sz w:val="22"/>
          <w:szCs w:val="22"/>
          <w:lang w:val="es-ES" w:eastAsia="es-ES"/>
        </w:rPr>
        <w:t xml:space="preserve"> presentó una denuncia administrativa en contra de </w:t>
      </w:r>
      <w:r w:rsidR="000C747A" w:rsidRPr="00426EB3">
        <w:rPr>
          <w:rFonts w:ascii="Arial" w:hAnsi="Arial" w:cs="Arial"/>
          <w:sz w:val="22"/>
          <w:szCs w:val="22"/>
          <w:highlight w:val="green"/>
          <w:lang w:val="es-ES" w:eastAsia="es-ES"/>
        </w:rPr>
        <w:t>Pacífico</w:t>
      </w:r>
      <w:r w:rsidRPr="00E23FCD">
        <w:rPr>
          <w:rFonts w:ascii="Arial" w:hAnsi="Arial" w:cs="Arial"/>
          <w:sz w:val="22"/>
          <w:szCs w:val="22"/>
          <w:lang w:val="es-ES" w:eastAsia="es-ES"/>
        </w:rPr>
        <w:t xml:space="preserve">, por presuntas infracciones a la Ley </w:t>
      </w:r>
      <w:proofErr w:type="spellStart"/>
      <w:r w:rsidRPr="00E23FCD">
        <w:rPr>
          <w:rFonts w:ascii="Arial" w:hAnsi="Arial" w:cs="Arial"/>
          <w:sz w:val="22"/>
          <w:szCs w:val="22"/>
          <w:lang w:val="es-ES" w:eastAsia="es-ES"/>
        </w:rPr>
        <w:t>N°</w:t>
      </w:r>
      <w:proofErr w:type="spellEnd"/>
      <w:r w:rsidRPr="00E23FCD">
        <w:rPr>
          <w:rFonts w:ascii="Arial" w:hAnsi="Arial" w:cs="Arial"/>
          <w:sz w:val="22"/>
          <w:szCs w:val="22"/>
          <w:lang w:val="es-ES" w:eastAsia="es-ES"/>
        </w:rPr>
        <w:t> 29571, Código de Protección y Defensa del Consumidor (en adelante, Código)</w:t>
      </w:r>
      <w:r w:rsidRPr="00E23FCD">
        <w:rPr>
          <w:rStyle w:val="Refdenotaalpie"/>
          <w:rFonts w:ascii="Arial" w:hAnsi="Arial" w:cs="Arial"/>
          <w:sz w:val="22"/>
          <w:szCs w:val="22"/>
          <w:lang w:val="es-ES" w:eastAsia="es-ES"/>
        </w:rPr>
        <w:footnoteReference w:id="3"/>
      </w:r>
      <w:r w:rsidR="00C9306D">
        <w:rPr>
          <w:rFonts w:ascii="Arial" w:hAnsi="Arial" w:cs="Arial"/>
          <w:bCs/>
          <w:sz w:val="22"/>
          <w:szCs w:val="22"/>
          <w:lang w:val="es-ES" w:eastAsia="es-ES"/>
        </w:rPr>
        <w:t>.</w:t>
      </w:r>
    </w:p>
    <w:p w14:paraId="66841689" w14:textId="05B140C3" w:rsidR="004E651F" w:rsidRPr="00E23FCD" w:rsidRDefault="004E651F" w:rsidP="007409F7">
      <w:pPr>
        <w:pStyle w:val="Prrafodelista"/>
        <w:pBdr>
          <w:top w:val="nil"/>
          <w:left w:val="nil"/>
          <w:bottom w:val="nil"/>
          <w:right w:val="nil"/>
          <w:between w:val="nil"/>
        </w:pBdr>
        <w:spacing w:after="0" w:line="240" w:lineRule="auto"/>
        <w:ind w:left="1287"/>
        <w:jc w:val="both"/>
        <w:rPr>
          <w:rFonts w:ascii="Arial" w:eastAsia="Arial Narrow" w:hAnsi="Arial" w:cs="Arial"/>
          <w:color w:val="000000" w:themeColor="text1"/>
          <w:sz w:val="22"/>
          <w:szCs w:val="22"/>
        </w:rPr>
      </w:pPr>
    </w:p>
    <w:p w14:paraId="47DBBDC2" w14:textId="0B87B62A" w:rsidR="009F3D6E" w:rsidRPr="00E23FCD" w:rsidRDefault="00EA7710" w:rsidP="00A61A25">
      <w:pPr>
        <w:pStyle w:val="Prrafodelista"/>
        <w:numPr>
          <w:ilvl w:val="1"/>
          <w:numId w:val="7"/>
        </w:numPr>
        <w:tabs>
          <w:tab w:val="clear" w:pos="1440"/>
        </w:tabs>
        <w:spacing w:after="0" w:line="240" w:lineRule="auto"/>
        <w:ind w:left="567" w:hanging="567"/>
        <w:jc w:val="both"/>
        <w:rPr>
          <w:rFonts w:ascii="Arial" w:hAnsi="Arial" w:cs="Arial"/>
          <w:color w:val="000000" w:themeColor="text1"/>
          <w:sz w:val="22"/>
          <w:szCs w:val="22"/>
        </w:rPr>
      </w:pPr>
      <w:r w:rsidRPr="00EA7710">
        <w:rPr>
          <w:rFonts w:ascii="Arial" w:eastAsia="Arial Narrow" w:hAnsi="Arial" w:cs="Arial"/>
          <w:color w:val="000000" w:themeColor="text1"/>
          <w:sz w:val="22"/>
          <w:szCs w:val="22"/>
          <w:highlight w:val="cyan"/>
        </w:rPr>
        <w:t>El señor Alejos</w:t>
      </w:r>
      <w:r w:rsidRPr="00EA7710">
        <w:rPr>
          <w:rFonts w:ascii="Arial" w:eastAsia="Arial Narrow" w:hAnsi="Arial" w:cs="Arial"/>
          <w:color w:val="000000" w:themeColor="text1"/>
          <w:sz w:val="22"/>
          <w:szCs w:val="22"/>
        </w:rPr>
        <w:t xml:space="preserve"> solicitó, en calidad de medida correctiva, que </w:t>
      </w:r>
      <w:r w:rsidRPr="00EA7710">
        <w:rPr>
          <w:rFonts w:ascii="Arial" w:eastAsia="Arial Narrow" w:hAnsi="Arial" w:cs="Arial"/>
          <w:color w:val="000000" w:themeColor="text1"/>
          <w:sz w:val="22"/>
          <w:szCs w:val="22"/>
          <w:highlight w:val="green"/>
        </w:rPr>
        <w:t>la Clínica</w:t>
      </w:r>
      <w:r w:rsidRPr="00EA7710">
        <w:rPr>
          <w:rFonts w:ascii="Arial" w:eastAsia="Arial Narrow" w:hAnsi="Arial" w:cs="Arial"/>
          <w:color w:val="000000" w:themeColor="text1"/>
          <w:sz w:val="22"/>
          <w:szCs w:val="22"/>
        </w:rPr>
        <w:t xml:space="preserve"> cumpla con</w:t>
      </w:r>
      <w:r w:rsidRPr="00EA7710">
        <w:rPr>
          <w:rFonts w:ascii="Arial" w:eastAsia="Arial Narrow" w:hAnsi="Arial" w:cs="Arial"/>
          <w:color w:val="000000" w:themeColor="text1"/>
          <w:sz w:val="22"/>
          <w:szCs w:val="22"/>
          <w:highlight w:val="cyan"/>
        </w:rPr>
        <w:t>: (i) otorgar el comprobante de pago ascendente a S/150,00; y, (</w:t>
      </w:r>
      <w:proofErr w:type="spellStart"/>
      <w:r w:rsidRPr="00EA7710">
        <w:rPr>
          <w:rFonts w:ascii="Arial" w:eastAsia="Arial Narrow" w:hAnsi="Arial" w:cs="Arial"/>
          <w:color w:val="000000" w:themeColor="text1"/>
          <w:sz w:val="22"/>
          <w:szCs w:val="22"/>
          <w:highlight w:val="cyan"/>
        </w:rPr>
        <w:t>ii</w:t>
      </w:r>
      <w:proofErr w:type="spellEnd"/>
      <w:r w:rsidRPr="00EA7710">
        <w:rPr>
          <w:rFonts w:ascii="Arial" w:eastAsia="Arial Narrow" w:hAnsi="Arial" w:cs="Arial"/>
          <w:color w:val="000000" w:themeColor="text1"/>
          <w:sz w:val="22"/>
          <w:szCs w:val="22"/>
          <w:highlight w:val="cyan"/>
        </w:rPr>
        <w:t xml:space="preserve">) </w:t>
      </w:r>
      <w:proofErr w:type="spellStart"/>
      <w:r w:rsidRPr="00EA7710">
        <w:rPr>
          <w:rFonts w:ascii="Arial" w:eastAsia="Arial Narrow" w:hAnsi="Arial" w:cs="Arial"/>
          <w:color w:val="000000" w:themeColor="text1"/>
          <w:sz w:val="22"/>
          <w:szCs w:val="22"/>
          <w:highlight w:val="cyan"/>
        </w:rPr>
        <w:t>xxxx</w:t>
      </w:r>
      <w:proofErr w:type="spellEnd"/>
      <w:r w:rsidRPr="00EA7710">
        <w:rPr>
          <w:rFonts w:ascii="Arial" w:eastAsia="Arial Narrow" w:hAnsi="Arial" w:cs="Arial"/>
          <w:color w:val="000000" w:themeColor="text1"/>
          <w:sz w:val="22"/>
          <w:szCs w:val="22"/>
        </w:rPr>
        <w:t xml:space="preserve">. </w:t>
      </w:r>
      <w:r w:rsidRPr="00EA7710">
        <w:rPr>
          <w:rFonts w:ascii="Arial" w:eastAsia="Arial Narrow" w:hAnsi="Arial" w:cs="Arial"/>
          <w:color w:val="000000" w:themeColor="text1"/>
          <w:sz w:val="22"/>
          <w:szCs w:val="22"/>
          <w:highlight w:val="red"/>
        </w:rPr>
        <w:t>Asimismo, requirió el reembolso de costos y costas del presente procedimiento</w:t>
      </w:r>
      <w:r w:rsidR="00D97C36">
        <w:rPr>
          <w:rFonts w:ascii="Arial" w:eastAsia="Arial Narrow" w:hAnsi="Arial" w:cs="Arial"/>
          <w:color w:val="000000" w:themeColor="text1"/>
          <w:sz w:val="22"/>
          <w:szCs w:val="22"/>
        </w:rPr>
        <w:t>.</w:t>
      </w:r>
    </w:p>
    <w:p w14:paraId="540B850E" w14:textId="77777777" w:rsidR="009F3D6E" w:rsidRPr="00E23FCD" w:rsidRDefault="009F3D6E" w:rsidP="00A61A25">
      <w:pPr>
        <w:pStyle w:val="Prrafodelista"/>
        <w:spacing w:after="0" w:line="240" w:lineRule="auto"/>
        <w:ind w:left="567"/>
        <w:jc w:val="both"/>
        <w:rPr>
          <w:rFonts w:ascii="Arial" w:hAnsi="Arial" w:cs="Arial"/>
          <w:color w:val="000000" w:themeColor="text1"/>
          <w:sz w:val="22"/>
          <w:szCs w:val="22"/>
        </w:rPr>
      </w:pPr>
    </w:p>
    <w:p w14:paraId="2E3BCC4D" w14:textId="2CCBBD82" w:rsidR="00A5578B" w:rsidRPr="006666E2" w:rsidRDefault="005412CD" w:rsidP="00A61A25">
      <w:pPr>
        <w:pStyle w:val="Prrafodelista"/>
        <w:numPr>
          <w:ilvl w:val="1"/>
          <w:numId w:val="7"/>
        </w:numPr>
        <w:tabs>
          <w:tab w:val="clear" w:pos="1440"/>
        </w:tabs>
        <w:spacing w:after="0" w:line="240" w:lineRule="auto"/>
        <w:ind w:left="567" w:hanging="567"/>
        <w:jc w:val="both"/>
        <w:rPr>
          <w:rFonts w:ascii="Arial" w:hAnsi="Arial" w:cs="Arial"/>
          <w:color w:val="000000" w:themeColor="text1"/>
          <w:sz w:val="22"/>
          <w:szCs w:val="22"/>
        </w:rPr>
      </w:pPr>
      <w:r>
        <w:rPr>
          <w:rFonts w:ascii="Arial" w:eastAsia="Arial Narrow" w:hAnsi="Arial" w:cs="Arial"/>
          <w:color w:val="000000" w:themeColor="text1"/>
          <w:sz w:val="22"/>
          <w:szCs w:val="22"/>
        </w:rPr>
        <w:t>Además</w:t>
      </w:r>
      <w:r w:rsidR="00521172" w:rsidRPr="00E23FCD">
        <w:rPr>
          <w:rFonts w:ascii="Arial" w:eastAsia="Arial Narrow" w:hAnsi="Arial" w:cs="Arial"/>
          <w:color w:val="000000" w:themeColor="text1"/>
          <w:sz w:val="22"/>
          <w:szCs w:val="22"/>
        </w:rPr>
        <w:t>,</w:t>
      </w:r>
      <w:r w:rsidR="006666E2">
        <w:rPr>
          <w:rFonts w:ascii="Arial" w:eastAsia="Arial Narrow" w:hAnsi="Arial" w:cs="Arial"/>
          <w:color w:val="000000" w:themeColor="text1"/>
          <w:sz w:val="22"/>
          <w:szCs w:val="22"/>
        </w:rPr>
        <w:t xml:space="preserve"> </w:t>
      </w:r>
      <w:r w:rsidR="001C0453" w:rsidRPr="002333C5">
        <w:rPr>
          <w:rFonts w:ascii="Arial" w:eastAsia="Arial Narrow" w:hAnsi="Arial" w:cs="Arial"/>
          <w:color w:val="000000" w:themeColor="text1"/>
          <w:sz w:val="22"/>
          <w:szCs w:val="22"/>
          <w:highlight w:val="cyan"/>
        </w:rPr>
        <w:t>el señor Mavila</w:t>
      </w:r>
      <w:r w:rsidR="00521172" w:rsidRPr="00E23FCD">
        <w:rPr>
          <w:rFonts w:ascii="Arial" w:eastAsia="Arial Narrow" w:hAnsi="Arial" w:cs="Arial"/>
          <w:color w:val="000000" w:themeColor="text1"/>
          <w:sz w:val="22"/>
          <w:szCs w:val="22"/>
        </w:rPr>
        <w:t xml:space="preserve"> solicitó </w:t>
      </w:r>
      <w:r w:rsidR="001C0453">
        <w:rPr>
          <w:rFonts w:ascii="Arial" w:eastAsia="Arial Narrow" w:hAnsi="Arial" w:cs="Arial"/>
          <w:color w:val="000000" w:themeColor="text1"/>
          <w:sz w:val="22"/>
          <w:szCs w:val="22"/>
        </w:rPr>
        <w:t xml:space="preserve">la </w:t>
      </w:r>
      <w:r w:rsidR="00521172" w:rsidRPr="00E23FCD">
        <w:rPr>
          <w:rFonts w:ascii="Arial" w:eastAsia="Arial Narrow" w:hAnsi="Arial" w:cs="Arial"/>
          <w:color w:val="000000" w:themeColor="text1"/>
          <w:sz w:val="22"/>
          <w:szCs w:val="22"/>
        </w:rPr>
        <w:t>medida cautelar</w:t>
      </w:r>
      <w:r w:rsidR="009F3D6E" w:rsidRPr="00E23FCD">
        <w:rPr>
          <w:rFonts w:ascii="Arial" w:eastAsia="Arial Narrow" w:hAnsi="Arial" w:cs="Arial"/>
          <w:color w:val="000000" w:themeColor="text1"/>
          <w:sz w:val="22"/>
          <w:szCs w:val="22"/>
        </w:rPr>
        <w:t xml:space="preserve"> </w:t>
      </w:r>
      <w:r w:rsidR="009F3D6E" w:rsidRPr="002333C5">
        <w:rPr>
          <w:rFonts w:ascii="Arial" w:eastAsia="Arial Narrow" w:hAnsi="Arial" w:cs="Arial"/>
          <w:color w:val="000000" w:themeColor="text1"/>
          <w:sz w:val="22"/>
          <w:szCs w:val="22"/>
          <w:highlight w:val="green"/>
        </w:rPr>
        <w:t>fuera del proceso</w:t>
      </w:r>
      <w:r w:rsidR="006666E2" w:rsidRPr="002333C5">
        <w:rPr>
          <w:rFonts w:ascii="Arial" w:eastAsia="Arial Narrow" w:hAnsi="Arial" w:cs="Arial"/>
          <w:color w:val="000000" w:themeColor="text1"/>
          <w:sz w:val="22"/>
          <w:szCs w:val="22"/>
          <w:highlight w:val="green"/>
        </w:rPr>
        <w:t xml:space="preserve"> </w:t>
      </w:r>
      <w:r w:rsidR="00961014" w:rsidRPr="002333C5">
        <w:rPr>
          <w:rFonts w:ascii="Arial" w:eastAsia="Arial Narrow" w:hAnsi="Arial" w:cs="Arial"/>
          <w:color w:val="000000" w:themeColor="text1"/>
          <w:sz w:val="22"/>
          <w:szCs w:val="22"/>
          <w:highlight w:val="green"/>
        </w:rPr>
        <w:t xml:space="preserve">la reparación de la unidad </w:t>
      </w:r>
      <w:r w:rsidR="00AF1C01" w:rsidRPr="002333C5">
        <w:rPr>
          <w:rFonts w:ascii="Arial" w:eastAsia="Arial Narrow" w:hAnsi="Arial" w:cs="Arial"/>
          <w:color w:val="000000" w:themeColor="text1"/>
          <w:sz w:val="22"/>
          <w:szCs w:val="22"/>
          <w:highlight w:val="green"/>
        </w:rPr>
        <w:t>vehicular</w:t>
      </w:r>
      <w:r w:rsidR="00961014" w:rsidRPr="002333C5">
        <w:rPr>
          <w:rFonts w:ascii="Arial" w:eastAsia="Arial Narrow" w:hAnsi="Arial" w:cs="Arial"/>
          <w:color w:val="000000" w:themeColor="text1"/>
          <w:sz w:val="22"/>
          <w:szCs w:val="22"/>
          <w:highlight w:val="green"/>
        </w:rPr>
        <w:t xml:space="preserve"> y/o indemnización por la pérdida total del vehículo</w:t>
      </w:r>
      <w:r w:rsidR="004A70E7" w:rsidRPr="006666E2">
        <w:rPr>
          <w:rFonts w:ascii="Arial" w:eastAsia="Arial Narrow" w:hAnsi="Arial" w:cs="Arial"/>
          <w:color w:val="000000" w:themeColor="text1"/>
          <w:sz w:val="22"/>
          <w:szCs w:val="22"/>
        </w:rPr>
        <w:t>.</w:t>
      </w:r>
    </w:p>
    <w:p w14:paraId="1BF24A23" w14:textId="2AC2C48F" w:rsidR="001026B0" w:rsidRPr="00735E1B" w:rsidRDefault="006666E2" w:rsidP="00C9306D">
      <w:pPr>
        <w:jc w:val="both"/>
        <w:rPr>
          <w:rFonts w:ascii="Arial" w:hAnsi="Arial" w:cs="Arial"/>
          <w:iCs/>
          <w:sz w:val="22"/>
          <w:szCs w:val="22"/>
        </w:rPr>
      </w:pPr>
      <w:r w:rsidRPr="006666E2">
        <w:rPr>
          <w:rFonts w:ascii="Arial" w:eastAsia="Arial Narrow" w:hAnsi="Arial" w:cs="Arial"/>
          <w:b/>
          <w:bCs/>
          <w:sz w:val="22"/>
          <w:szCs w:val="22"/>
        </w:rPr>
        <w:t xml:space="preserve"> </w:t>
      </w:r>
    </w:p>
    <w:p w14:paraId="3912EF2A" w14:textId="77777777" w:rsidR="001026B0" w:rsidRPr="00735E1B" w:rsidRDefault="001026B0" w:rsidP="00A61A25">
      <w:pPr>
        <w:pStyle w:val="Prrafodelista"/>
        <w:spacing w:after="0" w:line="240" w:lineRule="auto"/>
        <w:ind w:left="567"/>
        <w:jc w:val="both"/>
        <w:rPr>
          <w:rFonts w:ascii="Arial" w:eastAsia="Arial" w:hAnsi="Arial" w:cs="Arial"/>
          <w:b/>
          <w:sz w:val="22"/>
          <w:szCs w:val="22"/>
        </w:rPr>
      </w:pPr>
    </w:p>
    <w:p w14:paraId="247493EA" w14:textId="0CFB7B58" w:rsidR="000301FA" w:rsidRPr="00735E1B" w:rsidRDefault="006666E2" w:rsidP="00A61A25">
      <w:pPr>
        <w:ind w:left="567" w:hanging="567"/>
        <w:jc w:val="both"/>
        <w:rPr>
          <w:rFonts w:ascii="Arial" w:eastAsia="Arial" w:hAnsi="Arial" w:cs="Arial"/>
          <w:b/>
          <w:bCs/>
          <w:sz w:val="22"/>
          <w:szCs w:val="22"/>
        </w:rPr>
      </w:pPr>
      <w:r w:rsidRPr="00735E1B">
        <w:rPr>
          <w:rFonts w:ascii="Arial" w:eastAsia="Arial" w:hAnsi="Arial" w:cs="Arial"/>
          <w:b/>
          <w:bCs/>
          <w:sz w:val="22"/>
          <w:szCs w:val="22"/>
        </w:rPr>
        <w:t xml:space="preserve">II </w:t>
      </w:r>
      <w:r w:rsidRPr="00735E1B">
        <w:rPr>
          <w:rFonts w:ascii="Arial" w:eastAsia="Arial" w:hAnsi="Arial" w:cs="Arial"/>
          <w:b/>
          <w:bCs/>
          <w:sz w:val="22"/>
          <w:szCs w:val="22"/>
        </w:rPr>
        <w:tab/>
        <w:t>DE LA SOLICITUD DE MEDIDA CAUTELAR</w:t>
      </w:r>
    </w:p>
    <w:p w14:paraId="423686BD" w14:textId="77777777" w:rsidR="000301FA" w:rsidRPr="00735E1B" w:rsidRDefault="000301FA" w:rsidP="00A61A25">
      <w:pPr>
        <w:pStyle w:val="Prrafodelista"/>
        <w:spacing w:after="0" w:line="240" w:lineRule="auto"/>
        <w:ind w:left="567" w:hanging="567"/>
        <w:jc w:val="both"/>
        <w:rPr>
          <w:rFonts w:ascii="Arial" w:eastAsia="Arial" w:hAnsi="Arial" w:cs="Arial"/>
          <w:sz w:val="22"/>
          <w:szCs w:val="22"/>
        </w:rPr>
      </w:pPr>
    </w:p>
    <w:p w14:paraId="33F91998"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735E1B">
        <w:rPr>
          <w:rFonts w:ascii="Arial" w:eastAsia="Arial Narrow" w:hAnsi="Arial" w:cs="Arial"/>
          <w:sz w:val="22"/>
          <w:szCs w:val="22"/>
        </w:rPr>
        <w:t xml:space="preserve">El literal b) del artículo 21 del Decreto Legislativo </w:t>
      </w:r>
      <w:proofErr w:type="spellStart"/>
      <w:r w:rsidRPr="00735E1B">
        <w:rPr>
          <w:rFonts w:ascii="Arial" w:eastAsia="Arial Narrow" w:hAnsi="Arial" w:cs="Arial"/>
          <w:sz w:val="22"/>
          <w:szCs w:val="22"/>
        </w:rPr>
        <w:t>N°</w:t>
      </w:r>
      <w:proofErr w:type="spellEnd"/>
      <w:r w:rsidRPr="00735E1B">
        <w:rPr>
          <w:rFonts w:ascii="Arial" w:eastAsia="Arial Narrow" w:hAnsi="Arial" w:cs="Arial"/>
          <w:sz w:val="22"/>
          <w:szCs w:val="22"/>
        </w:rPr>
        <w:t xml:space="preserve"> 1033, Ley de Organización y Funciones del </w:t>
      </w:r>
      <w:r w:rsidRPr="00735E1B">
        <w:rPr>
          <w:rFonts w:ascii="Arial" w:hAnsi="Arial" w:cs="Arial"/>
          <w:sz w:val="22"/>
          <w:szCs w:val="22"/>
        </w:rPr>
        <w:t>Indecopi</w:t>
      </w:r>
      <w:r w:rsidRPr="00735E1B">
        <w:rPr>
          <w:rFonts w:ascii="Arial" w:eastAsia="Arial Narrow" w:hAnsi="Arial" w:cs="Arial"/>
          <w:sz w:val="22"/>
          <w:szCs w:val="22"/>
        </w:rPr>
        <w:t>, en</w:t>
      </w:r>
      <w:r w:rsidRPr="00E23FCD">
        <w:rPr>
          <w:rFonts w:ascii="Arial" w:eastAsia="Arial Narrow" w:hAnsi="Arial" w:cs="Arial"/>
          <w:sz w:val="22"/>
          <w:szCs w:val="22"/>
        </w:rPr>
        <w:t xml:space="preserve"> </w:t>
      </w:r>
      <w:r w:rsidRPr="00E23FCD">
        <w:rPr>
          <w:rFonts w:ascii="Arial" w:eastAsia="Arial" w:hAnsi="Arial" w:cs="Arial"/>
          <w:sz w:val="22"/>
          <w:szCs w:val="22"/>
        </w:rPr>
        <w:t>concordancia</w:t>
      </w:r>
      <w:r w:rsidRPr="00E23FCD">
        <w:rPr>
          <w:rFonts w:ascii="Arial" w:eastAsia="Arial Narrow" w:hAnsi="Arial" w:cs="Arial"/>
          <w:sz w:val="22"/>
          <w:szCs w:val="22"/>
        </w:rPr>
        <w:t xml:space="preserve"> a lo dispuesto por el Reglamento de Organización y Funciones del Indecopi, aprobado por Decreto Supremo 009-2009-PCM y modificado por Decreto Supremo 107-2012-PCM, establece que las Comisiones resuelven, en primera instancia administrativa, los procesos de su competencia, la adopción de medidas </w:t>
      </w:r>
      <w:r w:rsidRPr="00E23FCD">
        <w:rPr>
          <w:rFonts w:ascii="Arial" w:eastAsia="Arial Narrow" w:hAnsi="Arial" w:cs="Arial"/>
          <w:sz w:val="22"/>
          <w:szCs w:val="22"/>
        </w:rPr>
        <w:lastRenderedPageBreak/>
        <w:t>cautelares y correctivas, la imposición de las sanciones correspondientes y la determinación de costas y costos</w:t>
      </w:r>
      <w:r w:rsidRPr="00E23FCD">
        <w:rPr>
          <w:rStyle w:val="Refdenotaalpie"/>
          <w:rFonts w:ascii="Arial" w:eastAsia="Arial Narrow" w:hAnsi="Arial" w:cs="Arial"/>
          <w:sz w:val="22"/>
          <w:szCs w:val="22"/>
        </w:rPr>
        <w:footnoteReference w:customMarkFollows="1" w:id="4"/>
        <w:t>2</w:t>
      </w:r>
      <w:r w:rsidRPr="00E23FCD">
        <w:rPr>
          <w:rFonts w:ascii="Arial" w:eastAsia="Arial Narrow" w:hAnsi="Arial" w:cs="Arial"/>
          <w:sz w:val="22"/>
          <w:szCs w:val="22"/>
        </w:rPr>
        <w:t xml:space="preserve">. </w:t>
      </w:r>
    </w:p>
    <w:p w14:paraId="7657A01A" w14:textId="77777777" w:rsidR="000408B2" w:rsidRPr="00E23FCD" w:rsidRDefault="000408B2" w:rsidP="00A61A25">
      <w:pPr>
        <w:ind w:left="567"/>
        <w:jc w:val="both"/>
        <w:rPr>
          <w:rFonts w:ascii="Arial" w:hAnsi="Arial" w:cs="Arial"/>
          <w:sz w:val="22"/>
          <w:szCs w:val="22"/>
        </w:rPr>
      </w:pPr>
    </w:p>
    <w:p w14:paraId="1AA5F504"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Por su parte, el artículo 109 del Código establece que, en cualquier etapa del procedimiento, de oficio o a pedido de parte, el Indecopi puede, dentro del ámbito de su correspondiente competencia, dictar una o varias de las medidas cautelares indicadas en dicho </w:t>
      </w:r>
      <w:r w:rsidRPr="00E23FCD">
        <w:rPr>
          <w:rFonts w:ascii="Arial" w:eastAsia="Arial" w:hAnsi="Arial" w:cs="Arial"/>
          <w:sz w:val="22"/>
          <w:szCs w:val="22"/>
        </w:rPr>
        <w:t>artículo</w:t>
      </w:r>
      <w:r w:rsidRPr="00E23FCD">
        <w:rPr>
          <w:rFonts w:ascii="Arial" w:eastAsia="Arial Narrow" w:hAnsi="Arial" w:cs="Arial"/>
          <w:sz w:val="22"/>
          <w:szCs w:val="22"/>
        </w:rPr>
        <w:t>, destinadas a asegurar el cumplimiento de la decisión definitiva</w:t>
      </w:r>
      <w:r w:rsidRPr="00E23FCD">
        <w:rPr>
          <w:rStyle w:val="Refdenotaalpie"/>
          <w:rFonts w:ascii="Arial" w:eastAsia="Arial Narrow" w:hAnsi="Arial" w:cs="Arial"/>
          <w:sz w:val="22"/>
          <w:szCs w:val="22"/>
        </w:rPr>
        <w:footnoteReference w:customMarkFollows="1" w:id="5"/>
        <w:t>3</w:t>
      </w:r>
      <w:r w:rsidRPr="00E23FCD">
        <w:rPr>
          <w:rFonts w:ascii="Arial" w:eastAsia="Arial Narrow" w:hAnsi="Arial" w:cs="Arial"/>
          <w:sz w:val="22"/>
          <w:szCs w:val="22"/>
        </w:rPr>
        <w:t>.</w:t>
      </w:r>
    </w:p>
    <w:p w14:paraId="6BB55FC2" w14:textId="77777777" w:rsidR="000408B2" w:rsidRPr="00E23FCD" w:rsidRDefault="000408B2" w:rsidP="00A61A25">
      <w:pPr>
        <w:ind w:left="567"/>
        <w:jc w:val="both"/>
        <w:rPr>
          <w:rFonts w:ascii="Arial" w:hAnsi="Arial" w:cs="Arial"/>
          <w:sz w:val="22"/>
          <w:szCs w:val="22"/>
        </w:rPr>
      </w:pPr>
    </w:p>
    <w:p w14:paraId="2827965B"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La Comisión considera que existen tres (3) presupuestos que deben presentarse de forma </w:t>
      </w:r>
      <w:r w:rsidRPr="00E23FCD">
        <w:rPr>
          <w:rFonts w:ascii="Arial" w:eastAsia="Arial" w:hAnsi="Arial" w:cs="Arial"/>
          <w:sz w:val="22"/>
          <w:szCs w:val="22"/>
        </w:rPr>
        <w:t>concurrente</w:t>
      </w:r>
      <w:r w:rsidRPr="00E23FCD">
        <w:rPr>
          <w:rFonts w:ascii="Arial" w:eastAsia="Arial Narrow" w:hAnsi="Arial" w:cs="Arial"/>
          <w:sz w:val="22"/>
          <w:szCs w:val="22"/>
        </w:rPr>
        <w:t xml:space="preserve"> a efectos de analizar la viabilidad de dictar una medida cautelar solicitada en los procedimientos por infracción a las normas de protección al consumidor:</w:t>
      </w:r>
    </w:p>
    <w:p w14:paraId="11BFE4B9" w14:textId="77777777" w:rsidR="000408B2" w:rsidRPr="00E23FCD" w:rsidRDefault="000408B2" w:rsidP="00A61A25">
      <w:pPr>
        <w:ind w:left="567"/>
        <w:jc w:val="both"/>
        <w:rPr>
          <w:rFonts w:ascii="Arial" w:hAnsi="Arial" w:cs="Arial"/>
          <w:sz w:val="22"/>
          <w:szCs w:val="22"/>
        </w:rPr>
      </w:pPr>
    </w:p>
    <w:p w14:paraId="09B64183" w14:textId="77777777" w:rsidR="000408B2" w:rsidRPr="00E23FCD" w:rsidRDefault="000408B2" w:rsidP="00A61A25">
      <w:pPr>
        <w:numPr>
          <w:ilvl w:val="0"/>
          <w:numId w:val="20"/>
        </w:numPr>
        <w:ind w:left="1140" w:hanging="570"/>
        <w:contextualSpacing/>
        <w:jc w:val="both"/>
        <w:rPr>
          <w:rFonts w:ascii="Arial" w:hAnsi="Arial" w:cs="Arial"/>
          <w:sz w:val="22"/>
          <w:szCs w:val="22"/>
        </w:rPr>
      </w:pPr>
      <w:r w:rsidRPr="00E23FCD">
        <w:rPr>
          <w:rFonts w:ascii="Arial" w:hAnsi="Arial" w:cs="Arial"/>
          <w:sz w:val="22"/>
          <w:szCs w:val="22"/>
        </w:rPr>
        <w:t>Acreditar la verosimilitud de la infracción;</w:t>
      </w:r>
    </w:p>
    <w:p w14:paraId="2FFBE9D3" w14:textId="77777777" w:rsidR="000408B2" w:rsidRPr="00E23FCD" w:rsidRDefault="000408B2" w:rsidP="00A61A25">
      <w:pPr>
        <w:numPr>
          <w:ilvl w:val="0"/>
          <w:numId w:val="20"/>
        </w:numPr>
        <w:ind w:left="1140" w:hanging="570"/>
        <w:contextualSpacing/>
        <w:jc w:val="both"/>
        <w:rPr>
          <w:rFonts w:ascii="Arial" w:hAnsi="Arial" w:cs="Arial"/>
          <w:sz w:val="22"/>
          <w:szCs w:val="22"/>
        </w:rPr>
      </w:pPr>
      <w:r w:rsidRPr="00E23FCD">
        <w:rPr>
          <w:rFonts w:ascii="Arial" w:hAnsi="Arial" w:cs="Arial"/>
          <w:sz w:val="22"/>
          <w:szCs w:val="22"/>
        </w:rPr>
        <w:lastRenderedPageBreak/>
        <w:t>demostrar que existe un peligro en la demora de la emisión del pronunciamiento que definirá la controversia; y,</w:t>
      </w:r>
    </w:p>
    <w:p w14:paraId="6E461612" w14:textId="77777777" w:rsidR="000408B2" w:rsidRPr="00E23FCD" w:rsidRDefault="000408B2" w:rsidP="00A61A25">
      <w:pPr>
        <w:numPr>
          <w:ilvl w:val="0"/>
          <w:numId w:val="20"/>
        </w:numPr>
        <w:ind w:left="1140" w:hanging="570"/>
        <w:contextualSpacing/>
        <w:jc w:val="both"/>
        <w:rPr>
          <w:rFonts w:ascii="Arial" w:hAnsi="Arial" w:cs="Arial"/>
          <w:sz w:val="22"/>
          <w:szCs w:val="22"/>
        </w:rPr>
      </w:pPr>
      <w:r w:rsidRPr="00E23FCD">
        <w:rPr>
          <w:rFonts w:ascii="Arial" w:hAnsi="Arial" w:cs="Arial"/>
          <w:sz w:val="22"/>
          <w:szCs w:val="22"/>
        </w:rPr>
        <w:t>señalar cuál es la medida adecuada para cautelar la decisión final.</w:t>
      </w:r>
    </w:p>
    <w:p w14:paraId="11C9A940" w14:textId="77777777" w:rsidR="000408B2" w:rsidRPr="00E23FCD" w:rsidRDefault="000408B2" w:rsidP="00A61A25">
      <w:pPr>
        <w:ind w:left="567"/>
        <w:jc w:val="both"/>
        <w:rPr>
          <w:rFonts w:ascii="Arial" w:hAnsi="Arial" w:cs="Arial"/>
          <w:sz w:val="22"/>
          <w:szCs w:val="22"/>
        </w:rPr>
      </w:pPr>
    </w:p>
    <w:p w14:paraId="006EC7B5"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Sobre el primer presupuesto, la Comisión considera que la verosimilitud de la infracción es un grado intermedio entre la duda y la certeza, sin constituir un estado que acredite fehacientemente la comisión de una infracción al Código</w:t>
      </w:r>
      <w:r w:rsidRPr="00E23FCD">
        <w:rPr>
          <w:rStyle w:val="Refdenotaalpie"/>
          <w:rFonts w:ascii="Arial" w:eastAsia="Arial Narrow" w:hAnsi="Arial" w:cs="Arial"/>
          <w:sz w:val="22"/>
          <w:szCs w:val="22"/>
        </w:rPr>
        <w:footnoteReference w:customMarkFollows="1" w:id="6"/>
        <w:t>4</w:t>
      </w:r>
      <w:r w:rsidRPr="00E23FCD">
        <w:rPr>
          <w:rFonts w:ascii="Arial" w:eastAsia="Arial Narrow" w:hAnsi="Arial" w:cs="Arial"/>
          <w:sz w:val="22"/>
          <w:szCs w:val="22"/>
        </w:rPr>
        <w:t>. Asimismo, este Colegiado entiende que la carga de acreditar el presente presupuesto corresponde al solicitante de la medida cautelar, por lo que deberá evaluarse, en cada caso concreto, la forma a través de la cual se está demostrando dicha verosimilitud</w:t>
      </w:r>
      <w:r w:rsidRPr="00E23FCD">
        <w:rPr>
          <w:rStyle w:val="Refdenotaalpie"/>
          <w:rFonts w:ascii="Arial" w:eastAsia="Arial Narrow" w:hAnsi="Arial" w:cs="Arial"/>
          <w:sz w:val="22"/>
          <w:szCs w:val="22"/>
        </w:rPr>
        <w:footnoteReference w:customMarkFollows="1" w:id="7"/>
        <w:t>5</w:t>
      </w:r>
      <w:r w:rsidRPr="00E23FCD">
        <w:rPr>
          <w:rFonts w:ascii="Arial" w:eastAsia="Arial Narrow" w:hAnsi="Arial" w:cs="Arial"/>
          <w:sz w:val="22"/>
          <w:szCs w:val="22"/>
        </w:rPr>
        <w:t>.</w:t>
      </w:r>
    </w:p>
    <w:p w14:paraId="34F01ADC" w14:textId="77777777" w:rsidR="000408B2" w:rsidRPr="00E23FCD" w:rsidRDefault="000408B2" w:rsidP="00A61A25">
      <w:pPr>
        <w:ind w:left="567"/>
        <w:jc w:val="both"/>
        <w:rPr>
          <w:rFonts w:ascii="Arial" w:hAnsi="Arial" w:cs="Arial"/>
          <w:sz w:val="22"/>
          <w:szCs w:val="22"/>
        </w:rPr>
      </w:pPr>
    </w:p>
    <w:p w14:paraId="7A4334EC"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De otro lado, sobre el segundo presupuesto que debe observar el peticionante de la medida, </w:t>
      </w:r>
      <w:r w:rsidRPr="00E23FCD">
        <w:rPr>
          <w:rFonts w:ascii="Arial" w:eastAsia="Arial" w:hAnsi="Arial" w:cs="Arial"/>
          <w:sz w:val="22"/>
          <w:szCs w:val="22"/>
        </w:rPr>
        <w:t>le</w:t>
      </w:r>
      <w:r w:rsidRPr="00E23FCD">
        <w:rPr>
          <w:rFonts w:ascii="Arial" w:eastAsia="Arial Narrow" w:hAnsi="Arial" w:cs="Arial"/>
          <w:sz w:val="22"/>
          <w:szCs w:val="22"/>
        </w:rPr>
        <w:t xml:space="preserve"> corresponde a éste demostrar que la intervención de la autoridad es necesaria en la medida que existe un peligro en la demora de la emisión de la decisión que definirá la controversia presentada ante la Comisión</w:t>
      </w:r>
      <w:r w:rsidRPr="00E23FCD">
        <w:rPr>
          <w:rStyle w:val="Refdenotaalpie"/>
          <w:rFonts w:ascii="Arial" w:eastAsia="Arial Narrow" w:hAnsi="Arial" w:cs="Arial"/>
          <w:sz w:val="22"/>
          <w:szCs w:val="22"/>
        </w:rPr>
        <w:footnoteReference w:customMarkFollows="1" w:id="8"/>
        <w:t>6</w:t>
      </w:r>
      <w:r w:rsidRPr="00E23FCD">
        <w:rPr>
          <w:rFonts w:ascii="Arial" w:eastAsia="Arial Narrow" w:hAnsi="Arial" w:cs="Arial"/>
          <w:sz w:val="22"/>
          <w:szCs w:val="22"/>
        </w:rPr>
        <w:t>.</w:t>
      </w:r>
    </w:p>
    <w:p w14:paraId="7F52469E" w14:textId="77777777" w:rsidR="000408B2" w:rsidRPr="00E23FCD" w:rsidRDefault="000408B2" w:rsidP="00A61A25">
      <w:pPr>
        <w:ind w:left="567"/>
        <w:jc w:val="both"/>
        <w:rPr>
          <w:rFonts w:ascii="Arial" w:hAnsi="Arial" w:cs="Arial"/>
          <w:sz w:val="22"/>
          <w:szCs w:val="22"/>
        </w:rPr>
      </w:pPr>
    </w:p>
    <w:p w14:paraId="126C0DD1"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Finalmente, sobre el tercer presupuesto para el dictado de una medida cautelar, la Comisión entiende que la adecuación es la necesidad que la medida cautelar peticionada sea </w:t>
      </w:r>
      <w:r w:rsidRPr="00E23FCD">
        <w:rPr>
          <w:rFonts w:ascii="Arial" w:eastAsia="Arial" w:hAnsi="Arial" w:cs="Arial"/>
          <w:sz w:val="22"/>
          <w:szCs w:val="22"/>
        </w:rPr>
        <w:t>congruente</w:t>
      </w:r>
      <w:r w:rsidRPr="00E23FCD">
        <w:rPr>
          <w:rFonts w:ascii="Arial" w:eastAsia="Arial Narrow" w:hAnsi="Arial" w:cs="Arial"/>
          <w:sz w:val="22"/>
          <w:szCs w:val="22"/>
        </w:rPr>
        <w:t xml:space="preserve"> y proporcional para lograr la finalidad de la tutela cautelar; esto es, asegurar la eficacia de la decisión final que pueda emitir la Comisión al término del procedimiento</w:t>
      </w:r>
      <w:r w:rsidRPr="00E23FCD">
        <w:rPr>
          <w:rStyle w:val="Refdenotaalpie"/>
          <w:rFonts w:ascii="Arial" w:eastAsia="Arial Narrow" w:hAnsi="Arial" w:cs="Arial"/>
          <w:sz w:val="22"/>
          <w:szCs w:val="22"/>
        </w:rPr>
        <w:footnoteReference w:customMarkFollows="1" w:id="9"/>
        <w:t>7</w:t>
      </w:r>
      <w:r w:rsidRPr="00E23FCD">
        <w:rPr>
          <w:rFonts w:ascii="Arial" w:eastAsia="Arial Narrow" w:hAnsi="Arial" w:cs="Arial"/>
          <w:sz w:val="22"/>
          <w:szCs w:val="22"/>
        </w:rPr>
        <w:t xml:space="preserve">. </w:t>
      </w:r>
    </w:p>
    <w:p w14:paraId="565ACC7D" w14:textId="77777777" w:rsidR="000408B2" w:rsidRPr="00E23FCD" w:rsidRDefault="000408B2" w:rsidP="00A61A25">
      <w:pPr>
        <w:ind w:left="567"/>
        <w:jc w:val="both"/>
        <w:rPr>
          <w:rFonts w:ascii="Arial" w:hAnsi="Arial" w:cs="Arial"/>
          <w:sz w:val="22"/>
          <w:szCs w:val="22"/>
        </w:rPr>
      </w:pPr>
    </w:p>
    <w:p w14:paraId="7463AEC6"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Así, para observar el presupuesto de la adecuación, la autoridad debe verificar la </w:t>
      </w:r>
      <w:r w:rsidRPr="00E23FCD">
        <w:rPr>
          <w:rFonts w:ascii="Arial" w:eastAsia="Arial" w:hAnsi="Arial" w:cs="Arial"/>
          <w:sz w:val="22"/>
          <w:szCs w:val="22"/>
        </w:rPr>
        <w:t>congruencia</w:t>
      </w:r>
      <w:r w:rsidRPr="00E23FCD">
        <w:rPr>
          <w:rFonts w:ascii="Arial" w:eastAsia="Arial Narrow" w:hAnsi="Arial" w:cs="Arial"/>
          <w:sz w:val="22"/>
          <w:szCs w:val="22"/>
        </w:rPr>
        <w:t xml:space="preserve">, esto es la existencia de correlación lógica entre el pedido cautelar y la pretensión u objeto de tutela en el proceso principal; y, además, la proporcionalidad, vale </w:t>
      </w:r>
      <w:r w:rsidRPr="00E23FCD">
        <w:rPr>
          <w:rFonts w:ascii="Arial" w:eastAsia="Arial Narrow" w:hAnsi="Arial" w:cs="Arial"/>
          <w:sz w:val="22"/>
          <w:szCs w:val="22"/>
        </w:rPr>
        <w:lastRenderedPageBreak/>
        <w:t>decir que la afectación que supone el dictado de la medida cautelar en quien la soporta sea la necesaria para alcanzar la plena efectividad de la decisión definitiva</w:t>
      </w:r>
      <w:r w:rsidRPr="00E23FCD">
        <w:rPr>
          <w:rStyle w:val="Refdenotaalpie"/>
          <w:rFonts w:ascii="Arial" w:eastAsia="Arial Narrow" w:hAnsi="Arial" w:cs="Arial"/>
          <w:sz w:val="22"/>
          <w:szCs w:val="22"/>
        </w:rPr>
        <w:footnoteReference w:customMarkFollows="1" w:id="10"/>
        <w:t>8</w:t>
      </w:r>
      <w:r w:rsidRPr="00E23FCD">
        <w:rPr>
          <w:rFonts w:ascii="Arial" w:eastAsia="Arial Narrow" w:hAnsi="Arial" w:cs="Arial"/>
          <w:sz w:val="22"/>
          <w:szCs w:val="22"/>
        </w:rPr>
        <w:t>.</w:t>
      </w:r>
    </w:p>
    <w:p w14:paraId="2F34DA31" w14:textId="77777777" w:rsidR="000408B2" w:rsidRPr="00E23FCD" w:rsidRDefault="000408B2" w:rsidP="00A61A25">
      <w:pPr>
        <w:ind w:left="567"/>
        <w:jc w:val="both"/>
        <w:rPr>
          <w:rFonts w:ascii="Arial" w:hAnsi="Arial" w:cs="Arial"/>
          <w:sz w:val="22"/>
          <w:szCs w:val="22"/>
        </w:rPr>
      </w:pPr>
    </w:p>
    <w:p w14:paraId="19A351CF"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Así, </w:t>
      </w:r>
      <w:r w:rsidRPr="00E23FCD">
        <w:rPr>
          <w:rFonts w:ascii="Arial" w:eastAsia="Arial" w:hAnsi="Arial" w:cs="Arial"/>
          <w:sz w:val="22"/>
          <w:szCs w:val="22"/>
        </w:rPr>
        <w:t>sobre</w:t>
      </w:r>
      <w:r w:rsidRPr="00E23FCD">
        <w:rPr>
          <w:rFonts w:ascii="Arial" w:eastAsia="Arial Narrow" w:hAnsi="Arial" w:cs="Arial"/>
          <w:sz w:val="22"/>
          <w:szCs w:val="22"/>
        </w:rPr>
        <w:t xml:space="preserve"> el principio de adecuación en teoría cautelar, el Tribunal Constitucional</w:t>
      </w:r>
      <w:r w:rsidRPr="00E23FCD">
        <w:rPr>
          <w:rStyle w:val="Refdenotaalpie"/>
          <w:rFonts w:ascii="Arial" w:eastAsia="Arial Narrow" w:hAnsi="Arial" w:cs="Arial"/>
          <w:sz w:val="22"/>
          <w:szCs w:val="22"/>
        </w:rPr>
        <w:footnoteReference w:customMarkFollows="1" w:id="11"/>
        <w:t>9</w:t>
      </w:r>
      <w:r w:rsidRPr="00E23FCD">
        <w:rPr>
          <w:rFonts w:ascii="Arial" w:eastAsia="Arial Narrow" w:hAnsi="Arial" w:cs="Arial"/>
          <w:sz w:val="22"/>
          <w:szCs w:val="22"/>
        </w:rPr>
        <w:t xml:space="preserve"> señaló que:</w:t>
      </w:r>
    </w:p>
    <w:p w14:paraId="29863B08" w14:textId="77777777" w:rsidR="000408B2" w:rsidRPr="00E23FCD" w:rsidRDefault="000408B2" w:rsidP="00A61A25">
      <w:pPr>
        <w:ind w:left="567"/>
        <w:jc w:val="both"/>
        <w:rPr>
          <w:rFonts w:ascii="Arial" w:hAnsi="Arial" w:cs="Arial"/>
          <w:sz w:val="22"/>
          <w:szCs w:val="22"/>
        </w:rPr>
      </w:pPr>
    </w:p>
    <w:p w14:paraId="1D936AAA" w14:textId="77777777" w:rsidR="000408B2" w:rsidRPr="006666E2" w:rsidRDefault="000408B2" w:rsidP="00A61A25">
      <w:pPr>
        <w:ind w:left="1140"/>
        <w:jc w:val="both"/>
        <w:rPr>
          <w:rFonts w:ascii="Arial" w:hAnsi="Arial" w:cs="Arial"/>
          <w:sz w:val="20"/>
          <w:szCs w:val="20"/>
        </w:rPr>
      </w:pPr>
      <w:r w:rsidRPr="006666E2">
        <w:rPr>
          <w:rFonts w:ascii="Arial" w:hAnsi="Arial" w:cs="Arial"/>
          <w:i/>
          <w:sz w:val="20"/>
          <w:szCs w:val="20"/>
        </w:rPr>
        <w:t xml:space="preserve">“(…) lo que desde una perspectiva procesal se conoce como </w:t>
      </w:r>
      <w:r w:rsidRPr="006666E2">
        <w:rPr>
          <w:rFonts w:ascii="Arial" w:hAnsi="Arial" w:cs="Arial"/>
          <w:b/>
          <w:i/>
          <w:sz w:val="20"/>
          <w:szCs w:val="20"/>
        </w:rPr>
        <w:t>principio de congruencia</w:t>
      </w:r>
      <w:r w:rsidRPr="006666E2">
        <w:rPr>
          <w:rFonts w:ascii="Arial" w:hAnsi="Arial" w:cs="Arial"/>
          <w:i/>
          <w:sz w:val="20"/>
          <w:szCs w:val="20"/>
        </w:rPr>
        <w:t xml:space="preserve"> o, en la teoría cautelar como </w:t>
      </w:r>
      <w:r w:rsidRPr="006666E2">
        <w:rPr>
          <w:rFonts w:ascii="Arial" w:hAnsi="Arial" w:cs="Arial"/>
          <w:b/>
          <w:i/>
          <w:sz w:val="20"/>
          <w:szCs w:val="20"/>
        </w:rPr>
        <w:t>principio de adecuación o principio de mínima injerencia,</w:t>
      </w:r>
      <w:r w:rsidRPr="006666E2">
        <w:rPr>
          <w:rFonts w:ascii="Arial" w:hAnsi="Arial" w:cs="Arial"/>
          <w:i/>
          <w:sz w:val="20"/>
          <w:szCs w:val="20"/>
        </w:rPr>
        <w:t xml:space="preserve"> sirve para delimitar las potestades cautelares del juez, ya que permite que la medida adoptada sea no sólo idónea a la finalidad que persigue, sino que al mismo tiempo no sea tan dañina que incluso cause mayores estragos al peligro de daño irreparable que se intenta garantizar al adoptarla“ (…) “Se trata de optimizar las técnicas procesales de tutela de los derechos a efectos de garantizar la vigencia de los derechos no sólo de quien solicita una medida cautelar, sino también y con mayor rigor aún, de quien los va a sufrir (…)”</w:t>
      </w:r>
      <w:r w:rsidRPr="006666E2">
        <w:rPr>
          <w:rFonts w:ascii="Arial" w:hAnsi="Arial" w:cs="Arial"/>
          <w:sz w:val="20"/>
          <w:szCs w:val="20"/>
        </w:rPr>
        <w:t>.</w:t>
      </w:r>
    </w:p>
    <w:p w14:paraId="3B6FBD8C" w14:textId="77777777" w:rsidR="000408B2" w:rsidRPr="00E23FCD" w:rsidRDefault="000408B2" w:rsidP="00A61A25">
      <w:pPr>
        <w:ind w:left="567"/>
        <w:jc w:val="both"/>
        <w:rPr>
          <w:rFonts w:ascii="Arial" w:hAnsi="Arial" w:cs="Arial"/>
          <w:sz w:val="22"/>
          <w:szCs w:val="22"/>
        </w:rPr>
      </w:pPr>
    </w:p>
    <w:p w14:paraId="48C769C4"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Narrow" w:hAnsi="Arial" w:cs="Arial"/>
          <w:sz w:val="22"/>
          <w:szCs w:val="22"/>
        </w:rPr>
        <w:t xml:space="preserve">En </w:t>
      </w:r>
      <w:r w:rsidRPr="00E23FCD">
        <w:rPr>
          <w:rFonts w:ascii="Arial" w:eastAsia="Arial" w:hAnsi="Arial" w:cs="Arial"/>
          <w:sz w:val="22"/>
          <w:szCs w:val="22"/>
        </w:rPr>
        <w:t>atención</w:t>
      </w:r>
      <w:r w:rsidRPr="00E23FCD">
        <w:rPr>
          <w:rFonts w:ascii="Arial" w:eastAsia="Arial Narrow" w:hAnsi="Arial" w:cs="Arial"/>
          <w:sz w:val="22"/>
          <w:szCs w:val="22"/>
        </w:rPr>
        <w:t xml:space="preserve"> a lo expuesto, la Comisión considera que, a efectos de evaluar la solicitud de medida cautelar presentada por la parte denunciante, se debe analizar, de forma independiente, la concurrencia de los tres (3) presupuestos señalados, a efectos de otorgar la tutela cautelar prevista en el procedimiento especial por infracción de las normas de protección al consumidor. Por tanto, la ausencia o falta de uno de los presupuestos, determinará que la medida cautelar no sea concedida por la autoridad.</w:t>
      </w:r>
    </w:p>
    <w:p w14:paraId="2531701A" w14:textId="77777777" w:rsidR="000408B2" w:rsidRPr="00E23FCD" w:rsidRDefault="000408B2" w:rsidP="00A61A25">
      <w:pPr>
        <w:pStyle w:val="Prrafodelista"/>
        <w:spacing w:after="0" w:line="240" w:lineRule="auto"/>
        <w:ind w:left="567"/>
        <w:jc w:val="both"/>
        <w:rPr>
          <w:rFonts w:ascii="Arial" w:hAnsi="Arial" w:cs="Arial"/>
          <w:sz w:val="22"/>
          <w:szCs w:val="22"/>
        </w:rPr>
      </w:pPr>
    </w:p>
    <w:p w14:paraId="74A65E7F" w14:textId="77777777" w:rsidR="000408B2" w:rsidRPr="00E23FCD"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hAnsi="Arial" w:cs="Arial"/>
          <w:sz w:val="22"/>
          <w:szCs w:val="22"/>
        </w:rPr>
        <w:t>Finalmente, en el orden establecido, para este Colegiado corresponderá verificar, en primer lugar, la verosimilitud del carácter ilegal del hecho infractor —a la luz de lo dispuesto en lo desarrollado en los párrafos precedentes—, luego de lo cual se analizará si es que la intervención preventiva es necesaria para evitar que el daño se torne en irreparable —peligro en la demora— y, finalmente, evaluará la adecuación de la medida a efectos de cautelar la decisión final.</w:t>
      </w:r>
    </w:p>
    <w:p w14:paraId="2D843229" w14:textId="77777777" w:rsidR="000408B2" w:rsidRPr="00E23FCD" w:rsidRDefault="000408B2" w:rsidP="00A61A25">
      <w:pPr>
        <w:jc w:val="both"/>
        <w:rPr>
          <w:rFonts w:ascii="Arial" w:hAnsi="Arial" w:cs="Arial"/>
          <w:sz w:val="22"/>
          <w:szCs w:val="22"/>
        </w:rPr>
      </w:pPr>
    </w:p>
    <w:p w14:paraId="363F8214" w14:textId="15D5A77B" w:rsidR="000408B2" w:rsidRPr="00E23FCD" w:rsidRDefault="00E74895" w:rsidP="00A61A25">
      <w:pPr>
        <w:pStyle w:val="Prrafodelista"/>
        <w:numPr>
          <w:ilvl w:val="1"/>
          <w:numId w:val="7"/>
        </w:numPr>
        <w:tabs>
          <w:tab w:val="clear" w:pos="1440"/>
        </w:tabs>
        <w:spacing w:after="0" w:line="240" w:lineRule="auto"/>
        <w:ind w:left="567" w:hanging="567"/>
        <w:jc w:val="both"/>
        <w:rPr>
          <w:rFonts w:ascii="Arial" w:eastAsia="Arial Narrow" w:hAnsi="Arial" w:cs="Arial"/>
          <w:sz w:val="22"/>
          <w:szCs w:val="22"/>
        </w:rPr>
      </w:pPr>
      <w:r w:rsidRPr="00E23FCD">
        <w:rPr>
          <w:rFonts w:ascii="Arial" w:eastAsia="Arial Narrow" w:hAnsi="Arial" w:cs="Arial"/>
          <w:sz w:val="22"/>
          <w:szCs w:val="22"/>
        </w:rPr>
        <w:t xml:space="preserve">En el </w:t>
      </w:r>
      <w:r w:rsidRPr="00E23FCD">
        <w:rPr>
          <w:rFonts w:ascii="Arial" w:eastAsia="Arial" w:hAnsi="Arial" w:cs="Arial"/>
          <w:sz w:val="22"/>
          <w:szCs w:val="22"/>
        </w:rPr>
        <w:t>presente</w:t>
      </w:r>
      <w:r w:rsidRPr="00E23FCD">
        <w:rPr>
          <w:rFonts w:ascii="Arial" w:eastAsia="Arial Narrow" w:hAnsi="Arial" w:cs="Arial"/>
          <w:sz w:val="22"/>
          <w:szCs w:val="22"/>
        </w:rPr>
        <w:t xml:space="preserve"> caso, </w:t>
      </w:r>
      <w:r w:rsidR="00D704DB" w:rsidRPr="0016783F">
        <w:rPr>
          <w:rFonts w:ascii="Arial" w:eastAsia="Arial Narrow" w:hAnsi="Arial" w:cs="Arial"/>
          <w:sz w:val="22"/>
          <w:szCs w:val="22"/>
          <w:highlight w:val="green"/>
        </w:rPr>
        <w:t>el señor Mavila</w:t>
      </w:r>
      <w:r w:rsidR="00D704DB">
        <w:rPr>
          <w:rFonts w:ascii="Arial" w:eastAsia="Arial Narrow" w:hAnsi="Arial" w:cs="Arial"/>
          <w:sz w:val="22"/>
          <w:szCs w:val="22"/>
        </w:rPr>
        <w:t xml:space="preserve"> </w:t>
      </w:r>
      <w:r w:rsidRPr="00E23FCD">
        <w:rPr>
          <w:rFonts w:ascii="Arial" w:eastAsia="Arial Narrow" w:hAnsi="Arial" w:cs="Arial"/>
          <w:sz w:val="22"/>
          <w:szCs w:val="22"/>
        </w:rPr>
        <w:t xml:space="preserve">denunció que </w:t>
      </w:r>
      <w:r w:rsidR="00D704DB" w:rsidRPr="0016783F">
        <w:rPr>
          <w:rFonts w:ascii="Arial" w:eastAsia="Arial Narrow" w:hAnsi="Arial" w:cs="Arial"/>
          <w:sz w:val="22"/>
          <w:szCs w:val="22"/>
          <w:highlight w:val="green"/>
        </w:rPr>
        <w:t>Pacífico</w:t>
      </w:r>
      <w:r w:rsidRPr="00E23FCD">
        <w:rPr>
          <w:rFonts w:ascii="Arial" w:eastAsia="Arial Narrow" w:hAnsi="Arial" w:cs="Arial"/>
          <w:sz w:val="22"/>
          <w:szCs w:val="22"/>
        </w:rPr>
        <w:t xml:space="preserve"> </w:t>
      </w:r>
      <w:r w:rsidR="00606AD6" w:rsidRPr="00E23FCD">
        <w:rPr>
          <w:rFonts w:ascii="Arial" w:hAnsi="Arial" w:cs="Arial"/>
          <w:sz w:val="22"/>
          <w:szCs w:val="22"/>
          <w:lang w:val="es-ES" w:eastAsia="es-ES"/>
        </w:rPr>
        <w:t xml:space="preserve">habría </w:t>
      </w:r>
      <w:r w:rsidR="00606AD6" w:rsidRPr="0016783F">
        <w:rPr>
          <w:rFonts w:ascii="Arial" w:hAnsi="Arial" w:cs="Arial"/>
          <w:sz w:val="22"/>
          <w:szCs w:val="22"/>
          <w:highlight w:val="cyan"/>
          <w:lang w:val="es-ES" w:eastAsia="es-ES"/>
        </w:rPr>
        <w:t xml:space="preserve">negado injustificadamente al denunciante la cobertura de la </w:t>
      </w:r>
      <w:r w:rsidR="00606AD6" w:rsidRPr="0016783F">
        <w:rPr>
          <w:rFonts w:ascii="Arial" w:eastAsia="Arial Narrow" w:hAnsi="Arial" w:cs="Arial"/>
          <w:color w:val="000000" w:themeColor="text1"/>
          <w:sz w:val="22"/>
          <w:szCs w:val="22"/>
          <w:highlight w:val="cyan"/>
        </w:rPr>
        <w:t xml:space="preserve">Póliza de Automóviles </w:t>
      </w:r>
      <w:proofErr w:type="spellStart"/>
      <w:r w:rsidR="00606AD6" w:rsidRPr="0016783F">
        <w:rPr>
          <w:rFonts w:ascii="Arial" w:eastAsia="Arial Narrow" w:hAnsi="Arial" w:cs="Arial"/>
          <w:color w:val="000000" w:themeColor="text1"/>
          <w:sz w:val="22"/>
          <w:szCs w:val="22"/>
          <w:highlight w:val="cyan"/>
        </w:rPr>
        <w:t>N°</w:t>
      </w:r>
      <w:proofErr w:type="spellEnd"/>
      <w:r w:rsidR="00606AD6" w:rsidRPr="0016783F">
        <w:rPr>
          <w:rFonts w:ascii="Arial" w:eastAsia="Arial Narrow" w:hAnsi="Arial" w:cs="Arial"/>
          <w:color w:val="000000" w:themeColor="text1"/>
          <w:sz w:val="22"/>
          <w:szCs w:val="22"/>
          <w:highlight w:val="cyan"/>
        </w:rPr>
        <w:t xml:space="preserve"> 2006445624 por el siniestro del 26 de enero de 2022</w:t>
      </w:r>
      <w:r w:rsidR="00C77155" w:rsidRPr="00E23FCD">
        <w:rPr>
          <w:rFonts w:ascii="Arial" w:eastAsia="Arial Narrow" w:hAnsi="Arial" w:cs="Arial"/>
          <w:sz w:val="22"/>
          <w:szCs w:val="22"/>
        </w:rPr>
        <w:t>.</w:t>
      </w:r>
    </w:p>
    <w:p w14:paraId="03879BD9" w14:textId="77777777" w:rsidR="000408B2" w:rsidRPr="00E23FCD" w:rsidRDefault="000408B2" w:rsidP="00A61A25">
      <w:pPr>
        <w:pStyle w:val="Prrafodelista"/>
        <w:spacing w:line="240" w:lineRule="auto"/>
        <w:ind w:left="1430"/>
        <w:jc w:val="both"/>
        <w:rPr>
          <w:rFonts w:ascii="Arial" w:eastAsia="Arial Narrow" w:hAnsi="Arial" w:cs="Arial"/>
          <w:sz w:val="22"/>
          <w:szCs w:val="22"/>
        </w:rPr>
      </w:pPr>
    </w:p>
    <w:p w14:paraId="4F91EADC" w14:textId="0DDAC155" w:rsidR="00C77155" w:rsidRPr="00E23FCD" w:rsidRDefault="000408B2" w:rsidP="00A61A25">
      <w:pPr>
        <w:pStyle w:val="Prrafodelista"/>
        <w:numPr>
          <w:ilvl w:val="1"/>
          <w:numId w:val="7"/>
        </w:numPr>
        <w:tabs>
          <w:tab w:val="clear" w:pos="1440"/>
        </w:tabs>
        <w:spacing w:after="0" w:line="240" w:lineRule="auto"/>
        <w:ind w:left="567" w:hanging="567"/>
        <w:jc w:val="both"/>
        <w:rPr>
          <w:rFonts w:ascii="Arial" w:eastAsia="Arial Narrow" w:hAnsi="Arial" w:cs="Arial"/>
          <w:sz w:val="22"/>
          <w:szCs w:val="22"/>
        </w:rPr>
      </w:pPr>
      <w:r w:rsidRPr="00E23FCD">
        <w:rPr>
          <w:rFonts w:ascii="Arial" w:eastAsia="Arial Narrow" w:hAnsi="Arial" w:cs="Arial"/>
          <w:sz w:val="22"/>
          <w:szCs w:val="22"/>
        </w:rPr>
        <w:t xml:space="preserve">En </w:t>
      </w:r>
      <w:r w:rsidRPr="00E23FCD">
        <w:rPr>
          <w:rFonts w:ascii="Arial" w:eastAsia="Arial" w:hAnsi="Arial" w:cs="Arial"/>
          <w:sz w:val="22"/>
          <w:szCs w:val="22"/>
        </w:rPr>
        <w:t>atención</w:t>
      </w:r>
      <w:r w:rsidRPr="00E23FCD">
        <w:rPr>
          <w:rFonts w:ascii="Arial" w:eastAsia="Arial Narrow" w:hAnsi="Arial" w:cs="Arial"/>
          <w:sz w:val="22"/>
          <w:szCs w:val="22"/>
        </w:rPr>
        <w:t xml:space="preserve"> a ello, </w:t>
      </w:r>
      <w:r w:rsidR="00E74895" w:rsidRPr="0016783F">
        <w:rPr>
          <w:rFonts w:ascii="Arial" w:eastAsia="Arial Narrow" w:hAnsi="Arial" w:cs="Arial"/>
          <w:sz w:val="22"/>
          <w:szCs w:val="22"/>
          <w:highlight w:val="magenta"/>
        </w:rPr>
        <w:t>la denunciante</w:t>
      </w:r>
      <w:r w:rsidR="00E74895" w:rsidRPr="00E23FCD">
        <w:rPr>
          <w:rFonts w:ascii="Arial" w:eastAsia="Arial Narrow" w:hAnsi="Arial" w:cs="Arial"/>
          <w:sz w:val="22"/>
          <w:szCs w:val="22"/>
        </w:rPr>
        <w:t xml:space="preserve"> solicitó como medida cautelar</w:t>
      </w:r>
      <w:r w:rsidR="00E74895" w:rsidRPr="0016783F">
        <w:rPr>
          <w:rFonts w:ascii="Arial" w:eastAsia="Arial Narrow" w:hAnsi="Arial" w:cs="Arial"/>
          <w:sz w:val="22"/>
          <w:szCs w:val="22"/>
          <w:highlight w:val="green"/>
        </w:rPr>
        <w:t xml:space="preserve">, </w:t>
      </w:r>
      <w:r w:rsidR="00D704DB" w:rsidRPr="0016783F">
        <w:rPr>
          <w:rFonts w:ascii="Arial" w:eastAsia="Arial Narrow" w:hAnsi="Arial" w:cs="Arial"/>
          <w:color w:val="000000" w:themeColor="text1"/>
          <w:sz w:val="22"/>
          <w:szCs w:val="22"/>
          <w:highlight w:val="green"/>
        </w:rPr>
        <w:t>la reparación de la unidad vehicular y/o indemnización por la pérdida total del vehículo</w:t>
      </w:r>
      <w:r w:rsidR="00C77155" w:rsidRPr="00E23FCD">
        <w:rPr>
          <w:rFonts w:ascii="Arial" w:hAnsi="Arial" w:cs="Arial"/>
          <w:color w:val="000000" w:themeColor="text1"/>
          <w:sz w:val="22"/>
          <w:szCs w:val="22"/>
        </w:rPr>
        <w:t>.</w:t>
      </w:r>
    </w:p>
    <w:p w14:paraId="6E9D2299" w14:textId="77777777" w:rsidR="00D752FA" w:rsidRPr="00AB2753" w:rsidRDefault="00D752FA" w:rsidP="00A61A25">
      <w:pPr>
        <w:jc w:val="both"/>
      </w:pPr>
    </w:p>
    <w:p w14:paraId="1D452D69" w14:textId="77777777" w:rsidR="00D752FA" w:rsidRPr="00AB2753" w:rsidRDefault="00D752FA" w:rsidP="00A61A25">
      <w:pPr>
        <w:tabs>
          <w:tab w:val="left" w:pos="566"/>
        </w:tabs>
        <w:jc w:val="both"/>
      </w:pPr>
      <w:r w:rsidRPr="00D752FA">
        <w:rPr>
          <w:rFonts w:ascii="Arial" w:hAnsi="Arial" w:cs="Arial"/>
          <w:b/>
          <w:sz w:val="22"/>
          <w:szCs w:val="22"/>
        </w:rPr>
        <w:lastRenderedPageBreak/>
        <w:t>(i)</w:t>
      </w:r>
      <w:r w:rsidRPr="00AB2753">
        <w:rPr>
          <w:b/>
          <w:i/>
        </w:rPr>
        <w:tab/>
      </w:r>
      <w:r w:rsidRPr="00D752FA">
        <w:rPr>
          <w:rFonts w:ascii="Arial" w:hAnsi="Arial" w:cs="Arial"/>
          <w:b/>
          <w:i/>
          <w:sz w:val="22"/>
          <w:szCs w:val="22"/>
        </w:rPr>
        <w:t>Sobre la verosimilitud de la infracción</w:t>
      </w:r>
    </w:p>
    <w:p w14:paraId="01EBE94B" w14:textId="77777777" w:rsidR="00D752FA" w:rsidRPr="00AB2753" w:rsidRDefault="00D752FA" w:rsidP="00A61A25">
      <w:pPr>
        <w:jc w:val="both"/>
      </w:pPr>
    </w:p>
    <w:p w14:paraId="0F182B08" w14:textId="40C7B321" w:rsidR="00D752FA" w:rsidRPr="00E23FCD"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hAnsi="Arial" w:cs="Arial"/>
          <w:sz w:val="22"/>
          <w:szCs w:val="22"/>
        </w:rPr>
        <w:t xml:space="preserve">En el presente caso, el objeto principal de discusión, con relación </w:t>
      </w:r>
      <w:r w:rsidR="00D704DB">
        <w:rPr>
          <w:rFonts w:ascii="Arial" w:hAnsi="Arial" w:cs="Arial"/>
          <w:sz w:val="22"/>
          <w:szCs w:val="22"/>
        </w:rPr>
        <w:t xml:space="preserve">a </w:t>
      </w:r>
      <w:r w:rsidR="00D704DB" w:rsidRPr="0016783F">
        <w:rPr>
          <w:rFonts w:ascii="Arial" w:hAnsi="Arial" w:cs="Arial"/>
          <w:sz w:val="22"/>
          <w:szCs w:val="22"/>
          <w:highlight w:val="green"/>
        </w:rPr>
        <w:t>Pacífico</w:t>
      </w:r>
      <w:r w:rsidRPr="00E23FCD">
        <w:rPr>
          <w:rFonts w:ascii="Arial" w:hAnsi="Arial" w:cs="Arial"/>
          <w:sz w:val="22"/>
          <w:szCs w:val="22"/>
        </w:rPr>
        <w:t xml:space="preserve">, versa sobre </w:t>
      </w:r>
      <w:r w:rsidRPr="0016783F">
        <w:rPr>
          <w:rFonts w:ascii="Arial" w:hAnsi="Arial" w:cs="Arial"/>
          <w:sz w:val="22"/>
          <w:szCs w:val="22"/>
          <w:highlight w:val="cyan"/>
        </w:rPr>
        <w:t>un</w:t>
      </w:r>
      <w:r w:rsidR="00B43BA8" w:rsidRPr="0016783F">
        <w:rPr>
          <w:rFonts w:ascii="Arial" w:hAnsi="Arial" w:cs="Arial"/>
          <w:sz w:val="22"/>
          <w:szCs w:val="22"/>
          <w:highlight w:val="cyan"/>
        </w:rPr>
        <w:t xml:space="preserve">a presunta negatoria </w:t>
      </w:r>
      <w:r w:rsidR="00282E7A" w:rsidRPr="0016783F">
        <w:rPr>
          <w:rFonts w:ascii="Arial" w:hAnsi="Arial" w:cs="Arial"/>
          <w:sz w:val="22"/>
          <w:szCs w:val="22"/>
          <w:highlight w:val="cyan"/>
        </w:rPr>
        <w:t xml:space="preserve">del otorgamiento de la cobertura de la </w:t>
      </w:r>
      <w:r w:rsidR="00282E7A" w:rsidRPr="0016783F">
        <w:rPr>
          <w:rFonts w:ascii="Arial" w:eastAsia="Arial Narrow" w:hAnsi="Arial" w:cs="Arial"/>
          <w:color w:val="000000" w:themeColor="text1"/>
          <w:sz w:val="22"/>
          <w:szCs w:val="22"/>
          <w:highlight w:val="cyan"/>
        </w:rPr>
        <w:t xml:space="preserve">Póliza de Automóviles </w:t>
      </w:r>
      <w:proofErr w:type="spellStart"/>
      <w:r w:rsidR="00282E7A" w:rsidRPr="0016783F">
        <w:rPr>
          <w:rFonts w:ascii="Arial" w:eastAsia="Arial Narrow" w:hAnsi="Arial" w:cs="Arial"/>
          <w:color w:val="000000" w:themeColor="text1"/>
          <w:sz w:val="22"/>
          <w:szCs w:val="22"/>
          <w:highlight w:val="cyan"/>
        </w:rPr>
        <w:t>N°</w:t>
      </w:r>
      <w:proofErr w:type="spellEnd"/>
      <w:r w:rsidR="00282E7A" w:rsidRPr="0016783F">
        <w:rPr>
          <w:rFonts w:ascii="Arial" w:eastAsia="Arial Narrow" w:hAnsi="Arial" w:cs="Arial"/>
          <w:color w:val="000000" w:themeColor="text1"/>
          <w:sz w:val="22"/>
          <w:szCs w:val="22"/>
          <w:highlight w:val="cyan"/>
        </w:rPr>
        <w:t xml:space="preserve"> 2006445624 de titularidad del denunciante</w:t>
      </w:r>
      <w:r w:rsidRPr="00E23FCD">
        <w:rPr>
          <w:rFonts w:ascii="Arial" w:hAnsi="Arial" w:cs="Arial"/>
          <w:sz w:val="22"/>
          <w:szCs w:val="22"/>
        </w:rPr>
        <w:t xml:space="preserve">; por lo que la solicitud de medida cautelar </w:t>
      </w:r>
      <w:r w:rsidRPr="0016783F">
        <w:rPr>
          <w:rFonts w:ascii="Arial" w:hAnsi="Arial" w:cs="Arial"/>
          <w:sz w:val="22"/>
          <w:szCs w:val="22"/>
          <w:highlight w:val="magenta"/>
        </w:rPr>
        <w:t xml:space="preserve">busca la </w:t>
      </w:r>
      <w:r w:rsidR="00BA2E19" w:rsidRPr="0016783F">
        <w:rPr>
          <w:rFonts w:ascii="Arial" w:hAnsi="Arial" w:cs="Arial"/>
          <w:sz w:val="22"/>
          <w:szCs w:val="22"/>
          <w:highlight w:val="magenta"/>
        </w:rPr>
        <w:t>que se atienda al vehículo siniestrado</w:t>
      </w:r>
      <w:r w:rsidRPr="00E23FCD">
        <w:rPr>
          <w:rFonts w:ascii="Arial" w:eastAsia="Arial Narrow" w:hAnsi="Arial" w:cs="Arial"/>
          <w:color w:val="000000" w:themeColor="text1"/>
          <w:sz w:val="22"/>
          <w:szCs w:val="22"/>
        </w:rPr>
        <w:t>.</w:t>
      </w:r>
    </w:p>
    <w:p w14:paraId="049FCD0D" w14:textId="77777777" w:rsidR="00D752FA" w:rsidRPr="00D752FA" w:rsidRDefault="00D752FA" w:rsidP="00A61A25">
      <w:pPr>
        <w:tabs>
          <w:tab w:val="left" w:pos="1140"/>
        </w:tabs>
        <w:contextualSpacing/>
        <w:jc w:val="both"/>
        <w:rPr>
          <w:rFonts w:ascii="Arial" w:hAnsi="Arial" w:cs="Arial"/>
          <w:sz w:val="22"/>
          <w:szCs w:val="22"/>
        </w:rPr>
      </w:pPr>
    </w:p>
    <w:p w14:paraId="018A0E1E" w14:textId="32F641C6"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 xml:space="preserve">Al respecto, la Comisión considera que, para acreditar la verosimilitud de dicha infracción, corresponde </w:t>
      </w:r>
      <w:r w:rsidRPr="0016783F">
        <w:rPr>
          <w:rFonts w:ascii="Arial" w:hAnsi="Arial" w:cs="Arial"/>
          <w:sz w:val="22"/>
          <w:szCs w:val="22"/>
          <w:highlight w:val="green"/>
        </w:rPr>
        <w:t>a</w:t>
      </w:r>
      <w:r w:rsidR="001F5BD5" w:rsidRPr="0016783F">
        <w:rPr>
          <w:rFonts w:ascii="Arial" w:hAnsi="Arial" w:cs="Arial"/>
          <w:sz w:val="22"/>
          <w:szCs w:val="22"/>
          <w:highlight w:val="green"/>
        </w:rPr>
        <w:t>l señor Mavila</w:t>
      </w:r>
      <w:r w:rsidR="001F5BD5">
        <w:rPr>
          <w:rFonts w:ascii="Arial" w:hAnsi="Arial" w:cs="Arial"/>
          <w:sz w:val="22"/>
          <w:szCs w:val="22"/>
        </w:rPr>
        <w:t xml:space="preserve"> </w:t>
      </w:r>
      <w:r w:rsidRPr="00D752FA">
        <w:rPr>
          <w:rFonts w:ascii="Arial" w:hAnsi="Arial" w:cs="Arial"/>
          <w:sz w:val="22"/>
          <w:szCs w:val="22"/>
        </w:rPr>
        <w:t xml:space="preserve">demostrar que resulta probable que, al término del presente procedimiento, se determinará que la conducta de </w:t>
      </w:r>
      <w:r w:rsidR="001F5BD5" w:rsidRPr="00BF540E">
        <w:rPr>
          <w:rFonts w:ascii="Arial" w:hAnsi="Arial" w:cs="Arial"/>
          <w:sz w:val="22"/>
          <w:szCs w:val="22"/>
          <w:highlight w:val="green"/>
        </w:rPr>
        <w:t>Pacífico</w:t>
      </w:r>
      <w:r>
        <w:rPr>
          <w:rFonts w:ascii="Arial" w:hAnsi="Arial" w:cs="Arial"/>
          <w:sz w:val="22"/>
          <w:szCs w:val="22"/>
        </w:rPr>
        <w:t xml:space="preserve"> </w:t>
      </w:r>
      <w:r w:rsidRPr="00D752FA">
        <w:rPr>
          <w:rFonts w:ascii="Arial" w:hAnsi="Arial" w:cs="Arial"/>
          <w:sz w:val="22"/>
          <w:szCs w:val="22"/>
        </w:rPr>
        <w:t>constituye una infracción administrativa al Código.</w:t>
      </w:r>
    </w:p>
    <w:p w14:paraId="284C56B0" w14:textId="77777777" w:rsidR="00D752FA" w:rsidRPr="00D752FA" w:rsidRDefault="00D752FA" w:rsidP="00A61A25">
      <w:pPr>
        <w:tabs>
          <w:tab w:val="left" w:pos="1140"/>
        </w:tabs>
        <w:jc w:val="both"/>
        <w:rPr>
          <w:rFonts w:ascii="Arial" w:hAnsi="Arial" w:cs="Arial"/>
          <w:sz w:val="22"/>
          <w:szCs w:val="22"/>
        </w:rPr>
      </w:pPr>
    </w:p>
    <w:p w14:paraId="13A663DA" w14:textId="0E2BE44B"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 xml:space="preserve">Del análisis del escrito </w:t>
      </w:r>
      <w:r>
        <w:rPr>
          <w:rFonts w:ascii="Arial" w:hAnsi="Arial" w:cs="Arial"/>
          <w:sz w:val="22"/>
          <w:szCs w:val="22"/>
        </w:rPr>
        <w:t>de denuncia</w:t>
      </w:r>
      <w:r w:rsidRPr="00D752FA">
        <w:rPr>
          <w:rFonts w:ascii="Arial" w:hAnsi="Arial" w:cs="Arial"/>
          <w:sz w:val="22"/>
          <w:szCs w:val="22"/>
        </w:rPr>
        <w:t xml:space="preserve">, se advierte que </w:t>
      </w:r>
      <w:r w:rsidR="009C2BE4" w:rsidRPr="00BF540E">
        <w:rPr>
          <w:rFonts w:ascii="Arial" w:hAnsi="Arial" w:cs="Arial"/>
          <w:sz w:val="22"/>
          <w:szCs w:val="22"/>
          <w:highlight w:val="green"/>
        </w:rPr>
        <w:t>el</w:t>
      </w:r>
      <w:r w:rsidRPr="00BF540E">
        <w:rPr>
          <w:rFonts w:ascii="Arial" w:hAnsi="Arial" w:cs="Arial"/>
          <w:sz w:val="22"/>
          <w:szCs w:val="22"/>
          <w:highlight w:val="green"/>
        </w:rPr>
        <w:t xml:space="preserve"> denunciante</w:t>
      </w:r>
      <w:r w:rsidRPr="00D752FA">
        <w:rPr>
          <w:rFonts w:ascii="Arial" w:hAnsi="Arial" w:cs="Arial"/>
          <w:sz w:val="22"/>
          <w:szCs w:val="22"/>
        </w:rPr>
        <w:t xml:space="preserve"> </w:t>
      </w:r>
      <w:r>
        <w:rPr>
          <w:rFonts w:ascii="Arial" w:hAnsi="Arial" w:cs="Arial"/>
          <w:sz w:val="22"/>
          <w:szCs w:val="22"/>
        </w:rPr>
        <w:t>ha</w:t>
      </w:r>
      <w:r w:rsidRPr="00D752FA">
        <w:rPr>
          <w:rFonts w:ascii="Arial" w:hAnsi="Arial" w:cs="Arial"/>
          <w:sz w:val="22"/>
          <w:szCs w:val="22"/>
        </w:rPr>
        <w:t xml:space="preserve"> </w:t>
      </w:r>
      <w:r>
        <w:rPr>
          <w:rFonts w:ascii="Arial" w:hAnsi="Arial" w:cs="Arial"/>
          <w:sz w:val="22"/>
          <w:szCs w:val="22"/>
        </w:rPr>
        <w:t xml:space="preserve">descrito </w:t>
      </w:r>
      <w:r w:rsidRPr="00D752FA">
        <w:rPr>
          <w:rFonts w:ascii="Arial" w:hAnsi="Arial" w:cs="Arial"/>
          <w:sz w:val="22"/>
          <w:szCs w:val="22"/>
        </w:rPr>
        <w:t xml:space="preserve">los hechos materia del caso; sin embargo, no se desprende, de manera indiciaria, </w:t>
      </w:r>
      <w:r>
        <w:rPr>
          <w:rFonts w:ascii="Arial" w:hAnsi="Arial" w:cs="Arial"/>
          <w:sz w:val="22"/>
          <w:szCs w:val="22"/>
        </w:rPr>
        <w:t xml:space="preserve">la presunta infracción </w:t>
      </w:r>
      <w:r w:rsidRPr="0079462C">
        <w:rPr>
          <w:rFonts w:ascii="Arial" w:hAnsi="Arial" w:cs="Arial"/>
          <w:sz w:val="22"/>
          <w:szCs w:val="22"/>
          <w:highlight w:val="magenta"/>
        </w:rPr>
        <w:t>del proveedor denunciado</w:t>
      </w:r>
      <w:r>
        <w:rPr>
          <w:rFonts w:ascii="Arial" w:hAnsi="Arial" w:cs="Arial"/>
          <w:sz w:val="22"/>
          <w:szCs w:val="22"/>
        </w:rPr>
        <w:t>.</w:t>
      </w:r>
    </w:p>
    <w:p w14:paraId="04F332E2" w14:textId="77777777" w:rsidR="00D752FA" w:rsidRPr="00D752FA" w:rsidRDefault="00D752FA" w:rsidP="00A61A25">
      <w:pPr>
        <w:jc w:val="both"/>
        <w:rPr>
          <w:rFonts w:ascii="Arial" w:hAnsi="Arial" w:cs="Arial"/>
          <w:sz w:val="22"/>
          <w:szCs w:val="22"/>
        </w:rPr>
      </w:pPr>
    </w:p>
    <w:p w14:paraId="00F3C7F2" w14:textId="77777777"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proofErr w:type="gramStart"/>
      <w:r w:rsidRPr="00D752FA">
        <w:rPr>
          <w:rFonts w:ascii="Arial" w:hAnsi="Arial" w:cs="Arial"/>
          <w:sz w:val="22"/>
          <w:szCs w:val="22"/>
        </w:rPr>
        <w:t>De acuerdo a</w:t>
      </w:r>
      <w:proofErr w:type="gramEnd"/>
      <w:r w:rsidRPr="00D752FA">
        <w:rPr>
          <w:rFonts w:ascii="Arial" w:hAnsi="Arial" w:cs="Arial"/>
          <w:sz w:val="22"/>
          <w:szCs w:val="22"/>
        </w:rPr>
        <w:t xml:space="preserve"> lo expuesto, la Comisión considera que se requiere realizar previamente una evaluación sobre los hechos materia de controversia, teniendo a la vista argumentaciones y medios probatorios adicionales a los aportados por las partes hasta esta etapa del procedimiento.</w:t>
      </w:r>
    </w:p>
    <w:p w14:paraId="234A391A" w14:textId="77777777" w:rsidR="00D752FA" w:rsidRPr="00D752FA" w:rsidRDefault="00D752FA" w:rsidP="00A61A25">
      <w:pPr>
        <w:pStyle w:val="Prrafodelista"/>
        <w:spacing w:after="0" w:line="240" w:lineRule="auto"/>
        <w:ind w:left="567"/>
        <w:jc w:val="both"/>
        <w:rPr>
          <w:rFonts w:ascii="Arial" w:hAnsi="Arial" w:cs="Arial"/>
          <w:sz w:val="22"/>
          <w:szCs w:val="22"/>
        </w:rPr>
      </w:pPr>
    </w:p>
    <w:p w14:paraId="70A74272" w14:textId="4DE5B7B3" w:rsid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 xml:space="preserve">Por tanto, </w:t>
      </w:r>
      <w:proofErr w:type="gramStart"/>
      <w:r w:rsidRPr="00D752FA">
        <w:rPr>
          <w:rFonts w:ascii="Arial" w:hAnsi="Arial" w:cs="Arial"/>
          <w:sz w:val="22"/>
          <w:szCs w:val="22"/>
        </w:rPr>
        <w:t>de acuerdo al</w:t>
      </w:r>
      <w:proofErr w:type="gramEnd"/>
      <w:r w:rsidRPr="00D752FA">
        <w:rPr>
          <w:rFonts w:ascii="Arial" w:hAnsi="Arial" w:cs="Arial"/>
          <w:sz w:val="22"/>
          <w:szCs w:val="22"/>
        </w:rPr>
        <w:t xml:space="preserve"> contenido de la solicitud de medida cautelar de</w:t>
      </w:r>
      <w:r w:rsidR="009C2BE4">
        <w:rPr>
          <w:rFonts w:ascii="Arial" w:hAnsi="Arial" w:cs="Arial"/>
          <w:sz w:val="22"/>
          <w:szCs w:val="22"/>
        </w:rPr>
        <w:t xml:space="preserve">l </w:t>
      </w:r>
      <w:r>
        <w:rPr>
          <w:rFonts w:ascii="Arial" w:hAnsi="Arial" w:cs="Arial"/>
          <w:sz w:val="22"/>
          <w:szCs w:val="22"/>
        </w:rPr>
        <w:t>denunciante</w:t>
      </w:r>
      <w:r w:rsidRPr="00D752FA">
        <w:rPr>
          <w:rFonts w:ascii="Arial" w:hAnsi="Arial" w:cs="Arial"/>
          <w:sz w:val="22"/>
          <w:szCs w:val="22"/>
        </w:rPr>
        <w:t xml:space="preserve"> y conforme a lo expuesto precedentemente, este Colegiado considera que no se configuraría el primer presupuesto de toda medida cautelar, esto es, la verosimilitud de la infracción, en tanto no se advierte que, de manera preliminar, la conducta efectuada por </w:t>
      </w:r>
      <w:r w:rsidR="00F8483B">
        <w:rPr>
          <w:rFonts w:ascii="Arial" w:hAnsi="Arial" w:cs="Arial"/>
          <w:sz w:val="22"/>
          <w:szCs w:val="22"/>
        </w:rPr>
        <w:t>el denunciante</w:t>
      </w:r>
      <w:r w:rsidRPr="00D752FA">
        <w:rPr>
          <w:rFonts w:ascii="Arial" w:hAnsi="Arial" w:cs="Arial"/>
          <w:sz w:val="22"/>
          <w:szCs w:val="22"/>
        </w:rPr>
        <w:t xml:space="preserve"> constituya una posible infracción a la normativa de protección al consumidor.</w:t>
      </w:r>
    </w:p>
    <w:p w14:paraId="248C9BA6" w14:textId="77777777" w:rsidR="009C2BE4" w:rsidRPr="009C2BE4" w:rsidRDefault="009C2BE4" w:rsidP="009C2BE4">
      <w:pPr>
        <w:jc w:val="both"/>
        <w:rPr>
          <w:rFonts w:ascii="Arial" w:hAnsi="Arial" w:cs="Arial"/>
          <w:sz w:val="22"/>
          <w:szCs w:val="22"/>
        </w:rPr>
      </w:pPr>
    </w:p>
    <w:p w14:paraId="5BAD0AAB" w14:textId="1BCB2441"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En este punto, resulta importante precisar que conforme lo ha señalado la Sala Especializada en Protección al Consumidor en un anterior pronunciamiento</w:t>
      </w:r>
      <w:r w:rsidRPr="00D752FA">
        <w:rPr>
          <w:rFonts w:ascii="Arial" w:hAnsi="Arial" w:cs="Arial"/>
          <w:sz w:val="22"/>
          <w:szCs w:val="22"/>
          <w:vertAlign w:val="superscript"/>
        </w:rPr>
        <w:footnoteReference w:id="12"/>
      </w:r>
      <w:r w:rsidRPr="00D752FA">
        <w:rPr>
          <w:rFonts w:ascii="Arial" w:hAnsi="Arial" w:cs="Arial"/>
          <w:sz w:val="22"/>
          <w:szCs w:val="22"/>
        </w:rPr>
        <w:t xml:space="preserve">, la conclusión antes arribada se ha realizado sin perjuicio de los medios probatorios y alegatos que se puedan presentar durante la tramitación del presente procedimiento, en el cual se verificará si </w:t>
      </w:r>
      <w:r w:rsidR="0031338F" w:rsidRPr="00D752FA">
        <w:rPr>
          <w:rFonts w:ascii="Arial" w:hAnsi="Arial" w:cs="Arial"/>
          <w:sz w:val="22"/>
          <w:szCs w:val="22"/>
        </w:rPr>
        <w:t xml:space="preserve">la conducta de </w:t>
      </w:r>
      <w:r w:rsidR="00F8483B">
        <w:rPr>
          <w:rFonts w:ascii="Arial" w:hAnsi="Arial" w:cs="Arial"/>
          <w:sz w:val="22"/>
          <w:szCs w:val="22"/>
        </w:rPr>
        <w:t>Pacífico</w:t>
      </w:r>
      <w:r w:rsidR="0031338F" w:rsidRPr="00D752FA">
        <w:rPr>
          <w:rFonts w:ascii="Arial" w:hAnsi="Arial" w:cs="Arial"/>
          <w:sz w:val="22"/>
          <w:szCs w:val="22"/>
        </w:rPr>
        <w:t xml:space="preserve"> constituye</w:t>
      </w:r>
      <w:r w:rsidRPr="00D752FA">
        <w:rPr>
          <w:rFonts w:ascii="Arial" w:hAnsi="Arial" w:cs="Arial"/>
          <w:sz w:val="22"/>
          <w:szCs w:val="22"/>
        </w:rPr>
        <w:t xml:space="preserve"> una infracción al Código. </w:t>
      </w:r>
    </w:p>
    <w:p w14:paraId="187F3AAF" w14:textId="77777777" w:rsidR="00D752FA" w:rsidRPr="00D752FA" w:rsidRDefault="00D752FA" w:rsidP="00A61A25">
      <w:pPr>
        <w:ind w:left="567"/>
        <w:jc w:val="both"/>
        <w:rPr>
          <w:rFonts w:ascii="Arial" w:hAnsi="Arial" w:cs="Arial"/>
          <w:sz w:val="22"/>
          <w:szCs w:val="22"/>
        </w:rPr>
      </w:pPr>
    </w:p>
    <w:p w14:paraId="63FB0903" w14:textId="05679E7B" w:rsidR="00D752FA" w:rsidRPr="00D752FA"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En consideración de lo expuesto precedentemente y sobre la base del prejuzgamiento que toda medida cautelar importa, conforme al artículo 612 del Código Procesal Civil</w:t>
      </w:r>
      <w:r w:rsidRPr="00D752FA">
        <w:rPr>
          <w:rFonts w:ascii="Arial" w:hAnsi="Arial" w:cs="Arial"/>
          <w:sz w:val="22"/>
          <w:szCs w:val="22"/>
          <w:vertAlign w:val="superscript"/>
        </w:rPr>
        <w:footnoteReference w:id="13"/>
      </w:r>
      <w:r w:rsidRPr="00D752FA">
        <w:rPr>
          <w:rFonts w:ascii="Arial" w:hAnsi="Arial" w:cs="Arial"/>
          <w:sz w:val="22"/>
          <w:szCs w:val="22"/>
        </w:rPr>
        <w:t xml:space="preserve">, este órgano colegiado estima que </w:t>
      </w:r>
      <w:r w:rsidR="00A61A25" w:rsidRPr="00D752FA">
        <w:rPr>
          <w:rFonts w:ascii="Arial" w:hAnsi="Arial" w:cs="Arial"/>
          <w:sz w:val="22"/>
          <w:szCs w:val="22"/>
        </w:rPr>
        <w:t xml:space="preserve">los documentos aportados por </w:t>
      </w:r>
      <w:r w:rsidR="00A61A25" w:rsidRPr="00903315">
        <w:rPr>
          <w:rFonts w:ascii="Arial" w:hAnsi="Arial" w:cs="Arial"/>
          <w:sz w:val="22"/>
          <w:szCs w:val="22"/>
          <w:highlight w:val="magenta"/>
        </w:rPr>
        <w:t>la denunciante</w:t>
      </w:r>
      <w:r w:rsidR="00A61A25" w:rsidRPr="00D752FA">
        <w:rPr>
          <w:rFonts w:ascii="Arial" w:hAnsi="Arial" w:cs="Arial"/>
          <w:sz w:val="22"/>
          <w:szCs w:val="22"/>
        </w:rPr>
        <w:t xml:space="preserve"> no se han</w:t>
      </w:r>
      <w:r w:rsidRPr="00D752FA">
        <w:rPr>
          <w:rFonts w:ascii="Arial" w:hAnsi="Arial" w:cs="Arial"/>
          <w:sz w:val="22"/>
          <w:szCs w:val="22"/>
        </w:rPr>
        <w:t xml:space="preserve"> verificado, en forma preliminar, la probabilidad suficiente de que su denuncia será </w:t>
      </w:r>
      <w:r w:rsidRPr="00D752FA">
        <w:rPr>
          <w:rFonts w:ascii="Arial" w:hAnsi="Arial" w:cs="Arial"/>
          <w:sz w:val="22"/>
          <w:szCs w:val="22"/>
        </w:rPr>
        <w:lastRenderedPageBreak/>
        <w:t>amparada, por lo que no se cumple el primer presupuesto relativo a la verosimilitud del hecho infractor denunciado.</w:t>
      </w:r>
    </w:p>
    <w:p w14:paraId="3095B632" w14:textId="77777777" w:rsidR="00D752FA" w:rsidRPr="00D752FA" w:rsidRDefault="00D752FA" w:rsidP="00A61A25">
      <w:pPr>
        <w:ind w:left="567"/>
        <w:jc w:val="both"/>
        <w:rPr>
          <w:rFonts w:ascii="Arial" w:hAnsi="Arial" w:cs="Arial"/>
          <w:sz w:val="22"/>
          <w:szCs w:val="22"/>
        </w:rPr>
      </w:pPr>
    </w:p>
    <w:p w14:paraId="7A7B6A89" w14:textId="77777777" w:rsidR="00D752FA" w:rsidRPr="00D752FA" w:rsidRDefault="00D752FA" w:rsidP="00A61A25">
      <w:pPr>
        <w:tabs>
          <w:tab w:val="left" w:pos="566"/>
        </w:tabs>
        <w:jc w:val="both"/>
        <w:rPr>
          <w:rFonts w:ascii="Arial" w:hAnsi="Arial" w:cs="Arial"/>
          <w:sz w:val="22"/>
          <w:szCs w:val="22"/>
        </w:rPr>
      </w:pPr>
      <w:r w:rsidRPr="00D752FA">
        <w:rPr>
          <w:rFonts w:ascii="Arial" w:hAnsi="Arial" w:cs="Arial"/>
          <w:b/>
          <w:sz w:val="22"/>
          <w:szCs w:val="22"/>
        </w:rPr>
        <w:t>(</w:t>
      </w:r>
      <w:proofErr w:type="spellStart"/>
      <w:r w:rsidRPr="00D752FA">
        <w:rPr>
          <w:rFonts w:ascii="Arial" w:hAnsi="Arial" w:cs="Arial"/>
          <w:b/>
          <w:sz w:val="22"/>
          <w:szCs w:val="22"/>
        </w:rPr>
        <w:t>ii</w:t>
      </w:r>
      <w:proofErr w:type="spellEnd"/>
      <w:r w:rsidRPr="00D752FA">
        <w:rPr>
          <w:rFonts w:ascii="Arial" w:hAnsi="Arial" w:cs="Arial"/>
          <w:b/>
          <w:sz w:val="22"/>
          <w:szCs w:val="22"/>
        </w:rPr>
        <w:t>)</w:t>
      </w:r>
      <w:r w:rsidRPr="00D752FA">
        <w:rPr>
          <w:rFonts w:ascii="Arial" w:hAnsi="Arial" w:cs="Arial"/>
          <w:b/>
          <w:i/>
          <w:sz w:val="22"/>
          <w:szCs w:val="22"/>
        </w:rPr>
        <w:tab/>
        <w:t>Sobre el peligro en la demora y la adecuación de la medida cautelar solicitada</w:t>
      </w:r>
    </w:p>
    <w:p w14:paraId="6BB309D2" w14:textId="77777777" w:rsidR="00D752FA" w:rsidRPr="00D752FA" w:rsidRDefault="00D752FA" w:rsidP="00A61A25">
      <w:pPr>
        <w:jc w:val="both"/>
        <w:rPr>
          <w:rFonts w:ascii="Arial" w:hAnsi="Arial" w:cs="Arial"/>
          <w:sz w:val="22"/>
          <w:szCs w:val="22"/>
        </w:rPr>
      </w:pPr>
    </w:p>
    <w:p w14:paraId="71507CBF" w14:textId="5C13D4A6" w:rsidR="000408B2" w:rsidRPr="0031338F" w:rsidRDefault="00D752FA"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D752FA">
        <w:rPr>
          <w:rFonts w:ascii="Arial" w:hAnsi="Arial" w:cs="Arial"/>
          <w:sz w:val="22"/>
          <w:szCs w:val="22"/>
        </w:rPr>
        <w:t xml:space="preserve">En tanto no se ha acreditado el primer requisito del peligro en la demora, y siendo que los presupuestos de toda medida cautelar son de naturaleza concurrente, por lo que basta que no se configure alguno para que dicha medida sea rechazada, carece de sentido realizar el análisis de la adecuación de la medida cautelar solicitada por </w:t>
      </w:r>
      <w:r w:rsidR="00F8483B" w:rsidRPr="009A6B3C">
        <w:rPr>
          <w:rFonts w:ascii="Arial" w:hAnsi="Arial" w:cs="Arial"/>
          <w:sz w:val="22"/>
          <w:szCs w:val="22"/>
          <w:highlight w:val="magenta"/>
        </w:rPr>
        <w:t>el señor Mavila</w:t>
      </w:r>
      <w:r w:rsidRPr="00D752FA">
        <w:rPr>
          <w:rFonts w:ascii="Arial" w:hAnsi="Arial" w:cs="Arial"/>
          <w:sz w:val="22"/>
          <w:szCs w:val="22"/>
        </w:rPr>
        <w:t>.</w:t>
      </w:r>
    </w:p>
    <w:p w14:paraId="37CE8C58" w14:textId="77777777" w:rsidR="000408B2" w:rsidRPr="00E23FCD" w:rsidRDefault="000408B2" w:rsidP="00A61A25">
      <w:pPr>
        <w:pStyle w:val="Prrafodelista"/>
        <w:spacing w:line="240" w:lineRule="auto"/>
        <w:rPr>
          <w:rFonts w:ascii="Arial" w:hAnsi="Arial" w:cs="Arial"/>
          <w:sz w:val="22"/>
          <w:szCs w:val="22"/>
        </w:rPr>
      </w:pPr>
    </w:p>
    <w:p w14:paraId="09EAE79C" w14:textId="5BEB0E32" w:rsidR="000408B2" w:rsidRPr="00CA1743" w:rsidRDefault="000408B2" w:rsidP="00A61A25">
      <w:pPr>
        <w:pStyle w:val="Prrafodelista"/>
        <w:numPr>
          <w:ilvl w:val="1"/>
          <w:numId w:val="7"/>
        </w:numPr>
        <w:tabs>
          <w:tab w:val="clear" w:pos="1440"/>
        </w:tabs>
        <w:spacing w:after="0" w:line="240" w:lineRule="auto"/>
        <w:ind w:left="567" w:hanging="567"/>
        <w:jc w:val="both"/>
        <w:rPr>
          <w:rFonts w:ascii="Arial" w:hAnsi="Arial" w:cs="Arial"/>
          <w:sz w:val="22"/>
          <w:szCs w:val="22"/>
        </w:rPr>
      </w:pPr>
      <w:r w:rsidRPr="00E23FCD">
        <w:rPr>
          <w:rFonts w:ascii="Arial" w:eastAsia="Arial" w:hAnsi="Arial" w:cs="Arial"/>
          <w:color w:val="000000"/>
          <w:sz w:val="22"/>
          <w:szCs w:val="22"/>
        </w:rPr>
        <w:t xml:space="preserve">En ese </w:t>
      </w:r>
      <w:r w:rsidRPr="00E23FCD">
        <w:rPr>
          <w:rFonts w:ascii="Arial" w:eastAsia="Arial" w:hAnsi="Arial" w:cs="Arial"/>
          <w:sz w:val="22"/>
          <w:szCs w:val="22"/>
        </w:rPr>
        <w:t>orden</w:t>
      </w:r>
      <w:r w:rsidRPr="00E23FCD">
        <w:rPr>
          <w:rFonts w:ascii="Arial" w:eastAsia="Arial" w:hAnsi="Arial" w:cs="Arial"/>
          <w:color w:val="000000"/>
          <w:sz w:val="22"/>
          <w:szCs w:val="22"/>
        </w:rPr>
        <w:t xml:space="preserve"> de ideas, en la medida que los fundamentos de la solicitud cautelar no </w:t>
      </w:r>
      <w:r w:rsidRPr="00E23FCD">
        <w:rPr>
          <w:rFonts w:ascii="Arial" w:eastAsia="Arial Narrow" w:hAnsi="Arial" w:cs="Arial"/>
          <w:sz w:val="22"/>
          <w:szCs w:val="22"/>
        </w:rPr>
        <w:t>resultan</w:t>
      </w:r>
      <w:r w:rsidRPr="00E23FCD">
        <w:rPr>
          <w:rFonts w:ascii="Arial" w:eastAsia="Arial" w:hAnsi="Arial" w:cs="Arial"/>
          <w:color w:val="000000"/>
          <w:sz w:val="22"/>
          <w:szCs w:val="22"/>
        </w:rPr>
        <w:t xml:space="preserve"> suficientes </w:t>
      </w:r>
      <w:r w:rsidRPr="00CA1743">
        <w:rPr>
          <w:rFonts w:ascii="Arial" w:eastAsia="Arial" w:hAnsi="Arial" w:cs="Arial"/>
          <w:color w:val="000000"/>
          <w:sz w:val="22"/>
          <w:szCs w:val="22"/>
        </w:rPr>
        <w:t>para generar verosimilitud respecto de la presunta</w:t>
      </w:r>
      <w:r w:rsidR="00F8483B" w:rsidRPr="00CA1743">
        <w:rPr>
          <w:rFonts w:ascii="Arial" w:eastAsia="Arial" w:hAnsi="Arial" w:cs="Arial"/>
          <w:color w:val="000000"/>
          <w:sz w:val="22"/>
          <w:szCs w:val="22"/>
        </w:rPr>
        <w:t xml:space="preserve"> </w:t>
      </w:r>
      <w:r w:rsidRPr="00CA1743">
        <w:rPr>
          <w:rFonts w:ascii="Arial" w:eastAsia="Arial" w:hAnsi="Arial" w:cs="Arial"/>
          <w:color w:val="000000"/>
          <w:sz w:val="22"/>
          <w:szCs w:val="22"/>
        </w:rPr>
        <w:t>infracc</w:t>
      </w:r>
      <w:r w:rsidR="00F8483B" w:rsidRPr="00CA1743">
        <w:rPr>
          <w:rFonts w:ascii="Arial" w:eastAsia="Arial" w:hAnsi="Arial" w:cs="Arial"/>
          <w:color w:val="000000"/>
          <w:sz w:val="22"/>
          <w:szCs w:val="22"/>
        </w:rPr>
        <w:t xml:space="preserve">ión </w:t>
      </w:r>
      <w:r w:rsidRPr="00CA1743">
        <w:rPr>
          <w:rFonts w:ascii="Arial" w:eastAsia="Arial" w:hAnsi="Arial" w:cs="Arial"/>
          <w:color w:val="000000"/>
          <w:sz w:val="22"/>
          <w:szCs w:val="22"/>
        </w:rPr>
        <w:t xml:space="preserve">denunciada, corresponde denegar la medida cautelar solicitada por </w:t>
      </w:r>
      <w:r w:rsidR="00F8483B" w:rsidRPr="00CA1743">
        <w:rPr>
          <w:rFonts w:ascii="Arial" w:eastAsia="Arial" w:hAnsi="Arial" w:cs="Arial"/>
          <w:color w:val="000000"/>
          <w:sz w:val="22"/>
          <w:szCs w:val="22"/>
          <w:highlight w:val="magenta"/>
        </w:rPr>
        <w:t>el señor Mavila</w:t>
      </w:r>
      <w:r w:rsidRPr="00CA1743">
        <w:rPr>
          <w:rFonts w:ascii="Arial" w:eastAsia="Arial" w:hAnsi="Arial" w:cs="Arial"/>
          <w:color w:val="000000"/>
          <w:sz w:val="22"/>
          <w:szCs w:val="22"/>
        </w:rPr>
        <w:t xml:space="preserve">.  </w:t>
      </w:r>
    </w:p>
    <w:p w14:paraId="0404BBD8" w14:textId="35635415" w:rsidR="001F5FEB" w:rsidRPr="00C27219" w:rsidRDefault="001F5FEB" w:rsidP="001238FD">
      <w:pPr>
        <w:jc w:val="both"/>
        <w:rPr>
          <w:rFonts w:ascii="Arial" w:hAnsi="Arial" w:cs="Arial"/>
          <w:color w:val="000000"/>
          <w:sz w:val="22"/>
          <w:szCs w:val="22"/>
          <w:u w:val="single"/>
          <w:lang w:val="es-ES" w:eastAsia="es-ES"/>
        </w:rPr>
      </w:pPr>
      <w:bookmarkStart w:id="1" w:name="_Hlk45797221"/>
    </w:p>
    <w:p w14:paraId="0BC6DA35" w14:textId="77777777" w:rsidR="00F62D8E" w:rsidRPr="00C27219" w:rsidRDefault="00F62D8E" w:rsidP="00A61A25">
      <w:pPr>
        <w:jc w:val="both"/>
        <w:rPr>
          <w:rFonts w:ascii="Arial" w:eastAsia="Arial Narrow" w:hAnsi="Arial" w:cs="Arial"/>
          <w:b/>
          <w:bCs/>
          <w:sz w:val="22"/>
          <w:szCs w:val="22"/>
        </w:rPr>
      </w:pPr>
    </w:p>
    <w:p w14:paraId="69B7A881" w14:textId="3CF7DC2F" w:rsidR="00965FE3" w:rsidRPr="00C27219" w:rsidRDefault="6AA8E620" w:rsidP="00A61A25">
      <w:pPr>
        <w:jc w:val="both"/>
        <w:rPr>
          <w:rFonts w:ascii="Arial" w:eastAsia="Arial Narrow" w:hAnsi="Arial" w:cs="Arial"/>
          <w:b/>
          <w:sz w:val="22"/>
          <w:szCs w:val="22"/>
        </w:rPr>
      </w:pPr>
      <w:r w:rsidRPr="00C27219">
        <w:rPr>
          <w:rFonts w:ascii="Arial" w:eastAsia="Arial Narrow" w:hAnsi="Arial" w:cs="Arial"/>
          <w:b/>
          <w:bCs/>
          <w:sz w:val="22"/>
          <w:szCs w:val="22"/>
        </w:rPr>
        <w:t>RESUELVE</w:t>
      </w:r>
    </w:p>
    <w:p w14:paraId="73E5C852" w14:textId="77777777" w:rsidR="00846C4D" w:rsidRPr="00846C4D" w:rsidRDefault="00846C4D" w:rsidP="00846C4D">
      <w:pPr>
        <w:jc w:val="both"/>
        <w:rPr>
          <w:rFonts w:ascii="Arial" w:eastAsia="Arial Narrow" w:hAnsi="Arial" w:cs="Arial"/>
          <w:b/>
          <w:sz w:val="22"/>
          <w:szCs w:val="22"/>
        </w:rPr>
      </w:pPr>
      <w:bookmarkStart w:id="2" w:name="_Hlk98421600"/>
      <w:bookmarkStart w:id="3" w:name="_Hlk109128834"/>
    </w:p>
    <w:p w14:paraId="11D086DB" w14:textId="45D98741" w:rsidR="00F573F5" w:rsidRPr="00E23FCD" w:rsidRDefault="00846C4D" w:rsidP="00A61A25">
      <w:pPr>
        <w:jc w:val="both"/>
        <w:rPr>
          <w:rFonts w:ascii="Arial" w:hAnsi="Arial" w:cs="Arial"/>
          <w:sz w:val="22"/>
          <w:szCs w:val="22"/>
        </w:rPr>
      </w:pPr>
      <w:r w:rsidRPr="00C27219">
        <w:rPr>
          <w:rFonts w:ascii="Arial" w:eastAsia="Arial Narrow" w:hAnsi="Arial" w:cs="Arial"/>
          <w:b/>
          <w:sz w:val="22"/>
          <w:szCs w:val="22"/>
        </w:rPr>
        <w:t>PRIMERO</w:t>
      </w:r>
      <w:r w:rsidR="00F573F5" w:rsidRPr="00C27219">
        <w:rPr>
          <w:rFonts w:ascii="Arial" w:hAnsi="Arial" w:cs="Arial"/>
          <w:b/>
          <w:sz w:val="22"/>
          <w:szCs w:val="22"/>
        </w:rPr>
        <w:t>:</w:t>
      </w:r>
      <w:r w:rsidR="00F573F5" w:rsidRPr="00C27219">
        <w:rPr>
          <w:rFonts w:ascii="Arial" w:hAnsi="Arial" w:cs="Arial"/>
          <w:sz w:val="22"/>
          <w:szCs w:val="22"/>
        </w:rPr>
        <w:t xml:space="preserve"> denegar la medida cautelar solicitada </w:t>
      </w:r>
      <w:r w:rsidR="00590E76" w:rsidRPr="00C27219">
        <w:rPr>
          <w:rFonts w:ascii="Arial" w:hAnsi="Arial" w:cs="Arial"/>
          <w:sz w:val="22"/>
          <w:szCs w:val="22"/>
        </w:rPr>
        <w:t xml:space="preserve">por </w:t>
      </w:r>
      <w:r w:rsidR="00B116C3" w:rsidRPr="00C27219">
        <w:rPr>
          <w:rFonts w:ascii="Arial" w:hAnsi="Arial" w:cs="Arial"/>
          <w:sz w:val="22"/>
          <w:szCs w:val="22"/>
          <w:highlight w:val="cyan"/>
        </w:rPr>
        <w:t>el señor</w:t>
      </w:r>
      <w:r w:rsidR="00B116C3" w:rsidRPr="00C27219">
        <w:rPr>
          <w:rFonts w:ascii="Arial" w:hAnsi="Arial" w:cs="Arial"/>
          <w:sz w:val="22"/>
          <w:szCs w:val="22"/>
        </w:rPr>
        <w:t xml:space="preserve"> </w:t>
      </w:r>
      <w:r w:rsidR="00B116C3" w:rsidRPr="00C27219">
        <w:rPr>
          <w:rFonts w:ascii="Arial" w:hAnsi="Arial" w:cs="Arial"/>
          <w:sz w:val="22"/>
          <w:szCs w:val="22"/>
          <w:highlight w:val="magenta"/>
        </w:rPr>
        <w:t>Julio Alberto Mavila Segura</w:t>
      </w:r>
      <w:r w:rsidR="00E62003" w:rsidRPr="00C27219">
        <w:rPr>
          <w:rFonts w:ascii="Arial" w:hAnsi="Arial" w:cs="Arial"/>
          <w:sz w:val="22"/>
          <w:szCs w:val="22"/>
        </w:rPr>
        <w:t xml:space="preserve"> </w:t>
      </w:r>
      <w:r w:rsidR="00E62003" w:rsidRPr="00C27219">
        <w:rPr>
          <w:rFonts w:ascii="Arial" w:eastAsia="Arial" w:hAnsi="Arial" w:cs="Arial"/>
          <w:sz w:val="22"/>
          <w:szCs w:val="22"/>
          <w:lang w:val="es-ES"/>
        </w:rPr>
        <w:t>toda vez que en el estado actual del procedimiento no</w:t>
      </w:r>
      <w:r w:rsidR="00E62003" w:rsidRPr="26EB425B">
        <w:rPr>
          <w:rFonts w:ascii="Arial" w:eastAsia="Arial" w:hAnsi="Arial" w:cs="Arial"/>
          <w:sz w:val="22"/>
          <w:szCs w:val="22"/>
          <w:lang w:val="es-ES"/>
        </w:rPr>
        <w:t xml:space="preserve"> se ha verificado la existencia </w:t>
      </w:r>
      <w:r w:rsidR="00E62003">
        <w:rPr>
          <w:rFonts w:ascii="Arial" w:eastAsia="Arial" w:hAnsi="Arial" w:cs="Arial"/>
          <w:sz w:val="22"/>
          <w:szCs w:val="22"/>
          <w:lang w:val="es-ES"/>
        </w:rPr>
        <w:t>de la verosimilitud de la infracción</w:t>
      </w:r>
      <w:r w:rsidR="00E62003" w:rsidRPr="26EB425B">
        <w:rPr>
          <w:rFonts w:ascii="Arial" w:eastAsia="Arial" w:hAnsi="Arial" w:cs="Arial"/>
          <w:sz w:val="22"/>
          <w:szCs w:val="22"/>
          <w:lang w:val="es-ES"/>
        </w:rPr>
        <w:t xml:space="preserve">. </w:t>
      </w:r>
      <w:r w:rsidR="00E62003" w:rsidRPr="26EB425B">
        <w:rPr>
          <w:rFonts w:ascii="Arial" w:eastAsia="Arial" w:hAnsi="Arial" w:cs="Arial"/>
          <w:sz w:val="22"/>
          <w:szCs w:val="22"/>
          <w:lang w:val="es"/>
        </w:rPr>
        <w:t xml:space="preserve">En tal sentido, se informa que de conformidad con lo dispuesto por el artículo 38 de la Ley sobre Facultades, Normas y Organización, aprobada por Decreto Legislativo </w:t>
      </w:r>
      <w:proofErr w:type="spellStart"/>
      <w:r w:rsidR="00E62003" w:rsidRPr="26EB425B">
        <w:rPr>
          <w:rFonts w:ascii="Arial" w:eastAsia="Arial" w:hAnsi="Arial" w:cs="Arial"/>
          <w:sz w:val="22"/>
          <w:szCs w:val="22"/>
          <w:lang w:val="es"/>
        </w:rPr>
        <w:t>N°</w:t>
      </w:r>
      <w:proofErr w:type="spellEnd"/>
      <w:r w:rsidR="00E62003" w:rsidRPr="26EB425B">
        <w:rPr>
          <w:rFonts w:ascii="Arial" w:eastAsia="Arial" w:hAnsi="Arial" w:cs="Arial"/>
          <w:sz w:val="22"/>
          <w:szCs w:val="22"/>
          <w:lang w:val="es"/>
        </w:rPr>
        <w:t xml:space="preserve"> 807 —modificado por la Primera Disposición Complementaria Modificatoria de la Ley </w:t>
      </w:r>
      <w:proofErr w:type="spellStart"/>
      <w:r w:rsidR="00E62003" w:rsidRPr="26EB425B">
        <w:rPr>
          <w:rFonts w:ascii="Arial" w:eastAsia="Arial" w:hAnsi="Arial" w:cs="Arial"/>
          <w:sz w:val="22"/>
          <w:szCs w:val="22"/>
          <w:lang w:val="es"/>
        </w:rPr>
        <w:t>N°</w:t>
      </w:r>
      <w:proofErr w:type="spellEnd"/>
      <w:r w:rsidR="00E62003" w:rsidRPr="26EB425B">
        <w:rPr>
          <w:rFonts w:ascii="Arial" w:eastAsia="Arial" w:hAnsi="Arial" w:cs="Arial"/>
          <w:sz w:val="22"/>
          <w:szCs w:val="22"/>
          <w:lang w:val="es"/>
        </w:rPr>
        <w:t xml:space="preserve"> 29571, Código de Protección y Defensa del Consumidor— el único recurso impugnativo que puede interponerse contra lo ordenado en este extremo es el de apelación</w:t>
      </w:r>
      <w:r w:rsidR="00E62003" w:rsidRPr="26EB425B">
        <w:rPr>
          <w:rFonts w:ascii="Arial" w:hAnsi="Arial" w:cs="Arial"/>
          <w:sz w:val="16"/>
          <w:szCs w:val="16"/>
          <w:vertAlign w:val="superscript"/>
        </w:rPr>
        <w:footnoteReference w:id="14"/>
      </w:r>
      <w:r w:rsidR="00E62003" w:rsidRPr="26EB425B">
        <w:rPr>
          <w:rFonts w:ascii="Arial" w:hAnsi="Arial" w:cs="Arial"/>
          <w:sz w:val="22"/>
          <w:szCs w:val="22"/>
        </w:rPr>
        <w:t xml:space="preserve">. </w:t>
      </w:r>
      <w:r w:rsidR="00E62003" w:rsidRPr="26EB425B">
        <w:rPr>
          <w:rFonts w:ascii="Arial" w:eastAsia="Arial" w:hAnsi="Arial" w:cs="Arial"/>
          <w:sz w:val="22"/>
          <w:szCs w:val="22"/>
          <w:lang w:val="es"/>
        </w:rPr>
        <w:t>Cabe señalar que dicho recurso deberá ser presentado ante la Comisión en un plazo máximo de quince (15) días hábiles contado a partir del día siguiente de la notificación de la presente resolución</w:t>
      </w:r>
      <w:r w:rsidR="00E62003" w:rsidRPr="26EB425B">
        <w:rPr>
          <w:rFonts w:ascii="Arial" w:eastAsia="Arial" w:hAnsi="Arial" w:cs="Arial"/>
          <w:sz w:val="16"/>
          <w:szCs w:val="16"/>
          <w:vertAlign w:val="superscript"/>
          <w:lang w:val="es"/>
        </w:rPr>
        <w:footnoteReference w:id="15"/>
      </w:r>
      <w:r w:rsidR="00BE0CBB" w:rsidRPr="00E23FCD">
        <w:rPr>
          <w:rFonts w:ascii="Arial" w:hAnsi="Arial" w:cs="Arial"/>
          <w:sz w:val="22"/>
          <w:szCs w:val="22"/>
        </w:rPr>
        <w:t>.</w:t>
      </w:r>
    </w:p>
    <w:p w14:paraId="42B0C05D" w14:textId="77777777" w:rsidR="00F573F5" w:rsidRPr="00E23FCD" w:rsidRDefault="00F573F5" w:rsidP="00A61A25">
      <w:pPr>
        <w:rPr>
          <w:rFonts w:ascii="Arial" w:eastAsia="Arial Narrow" w:hAnsi="Arial" w:cs="Arial"/>
          <w:sz w:val="22"/>
          <w:szCs w:val="22"/>
        </w:rPr>
      </w:pPr>
    </w:p>
    <w:p w14:paraId="5821FD92" w14:textId="4C1B25BF" w:rsidR="00CE4C05" w:rsidRPr="00E6216D" w:rsidRDefault="00846C4D" w:rsidP="00A61A25">
      <w:pPr>
        <w:jc w:val="both"/>
        <w:rPr>
          <w:rFonts w:ascii="Arial" w:eastAsia="Arial Narrow" w:hAnsi="Arial" w:cs="Arial"/>
          <w:sz w:val="22"/>
          <w:szCs w:val="22"/>
        </w:rPr>
      </w:pPr>
      <w:r>
        <w:rPr>
          <w:rFonts w:ascii="Arial" w:eastAsia="Arial Narrow" w:hAnsi="Arial" w:cs="Arial"/>
          <w:b/>
          <w:bCs/>
          <w:sz w:val="22"/>
          <w:szCs w:val="22"/>
        </w:rPr>
        <w:t>SEGUNDO</w:t>
      </w:r>
      <w:r w:rsidR="00965FE3" w:rsidRPr="00E23FCD">
        <w:rPr>
          <w:rFonts w:ascii="Arial" w:hAnsi="Arial" w:cs="Arial"/>
          <w:b/>
          <w:sz w:val="22"/>
          <w:szCs w:val="22"/>
        </w:rPr>
        <w:t>:</w:t>
      </w:r>
      <w:r w:rsidR="00965FE3" w:rsidRPr="00E23FCD">
        <w:rPr>
          <w:rFonts w:ascii="Arial" w:hAnsi="Arial" w:cs="Arial"/>
          <w:sz w:val="22"/>
          <w:szCs w:val="22"/>
        </w:rPr>
        <w:t xml:space="preserve"> poner en conocimiento </w:t>
      </w:r>
      <w:r w:rsidR="00E6216D" w:rsidRPr="00E23FCD">
        <w:rPr>
          <w:rFonts w:ascii="Arial" w:hAnsi="Arial" w:cs="Arial"/>
          <w:sz w:val="22"/>
          <w:szCs w:val="22"/>
        </w:rPr>
        <w:t>a la</w:t>
      </w:r>
      <w:r w:rsidR="00E6216D">
        <w:rPr>
          <w:rFonts w:ascii="Arial" w:hAnsi="Arial" w:cs="Arial"/>
          <w:sz w:val="22"/>
          <w:szCs w:val="22"/>
        </w:rPr>
        <w:t xml:space="preserve"> parte denunciante </w:t>
      </w:r>
      <w:r w:rsidR="00965FE3" w:rsidRPr="00E23FCD">
        <w:rPr>
          <w:rFonts w:ascii="Arial" w:hAnsi="Arial" w:cs="Arial"/>
          <w:sz w:val="22"/>
          <w:szCs w:val="22"/>
        </w:rPr>
        <w:t xml:space="preserve">que, antes de la emisión de la Resolución Final, tienen la posibilidad de formular su desistimiento o presentar el acuerdo </w:t>
      </w:r>
      <w:r w:rsidR="00965FE3" w:rsidRPr="00E23FCD">
        <w:rPr>
          <w:rFonts w:ascii="Arial" w:hAnsi="Arial" w:cs="Arial"/>
          <w:sz w:val="22"/>
          <w:szCs w:val="22"/>
        </w:rPr>
        <w:lastRenderedPageBreak/>
        <w:t>arribado mediante la conciliación, mediación, transacción o cualquier otro que, de forma indubitable, deje constancia que se ha solucionado la controversia materia de denuncia.</w:t>
      </w:r>
      <w:bookmarkEnd w:id="1"/>
    </w:p>
    <w:bookmarkEnd w:id="2"/>
    <w:p w14:paraId="78C8B744" w14:textId="3A07E165" w:rsidR="00E61A90" w:rsidRPr="00E23FCD" w:rsidRDefault="00E61A90" w:rsidP="00A61A25">
      <w:pPr>
        <w:jc w:val="both"/>
        <w:rPr>
          <w:rFonts w:ascii="Arial" w:hAnsi="Arial" w:cs="Arial"/>
          <w:sz w:val="22"/>
          <w:szCs w:val="22"/>
        </w:rPr>
      </w:pPr>
    </w:p>
    <w:p w14:paraId="5B5EACF1" w14:textId="52BBC028" w:rsidR="00722B37" w:rsidRPr="00E23FCD" w:rsidRDefault="005333D1" w:rsidP="00A61A25">
      <w:pPr>
        <w:widowControl w:val="0"/>
        <w:tabs>
          <w:tab w:val="left" w:pos="1134"/>
        </w:tabs>
        <w:jc w:val="both"/>
        <w:rPr>
          <w:rFonts w:ascii="Arial" w:hAnsi="Arial" w:cs="Arial"/>
          <w:sz w:val="22"/>
          <w:szCs w:val="22"/>
        </w:rPr>
      </w:pPr>
      <w:r>
        <w:rPr>
          <w:rFonts w:ascii="Arial" w:hAnsi="Arial" w:cs="Arial"/>
          <w:b/>
          <w:bCs/>
          <w:sz w:val="22"/>
          <w:szCs w:val="22"/>
        </w:rPr>
        <w:t>TERCERO</w:t>
      </w:r>
      <w:r w:rsidR="00722B37" w:rsidRPr="00E23FCD">
        <w:rPr>
          <w:rFonts w:ascii="Arial" w:hAnsi="Arial" w:cs="Arial"/>
          <w:b/>
          <w:bCs/>
          <w:sz w:val="22"/>
          <w:szCs w:val="22"/>
          <w:lang w:val="es-ES" w:eastAsia="es-ES"/>
        </w:rPr>
        <w:t>:</w:t>
      </w:r>
      <w:r w:rsidR="00722B37" w:rsidRPr="00E23FCD">
        <w:rPr>
          <w:rFonts w:ascii="Arial" w:hAnsi="Arial" w:cs="Arial"/>
          <w:bCs/>
          <w:sz w:val="22"/>
          <w:szCs w:val="22"/>
          <w:lang w:val="es-ES" w:eastAsia="es-ES"/>
        </w:rPr>
        <w:t xml:space="preserve"> </w:t>
      </w:r>
      <w:r w:rsidR="00722B37" w:rsidRPr="00E23FCD">
        <w:rPr>
          <w:rFonts w:ascii="Arial" w:hAnsi="Arial" w:cs="Arial"/>
          <w:sz w:val="22"/>
          <w:szCs w:val="22"/>
        </w:rPr>
        <w:t>informar a la</w:t>
      </w:r>
      <w:r w:rsidR="00383C5A">
        <w:rPr>
          <w:rFonts w:ascii="Arial" w:hAnsi="Arial" w:cs="Arial"/>
          <w:sz w:val="22"/>
          <w:szCs w:val="22"/>
        </w:rPr>
        <w:t xml:space="preserve"> parte denunciante </w:t>
      </w:r>
      <w:r w:rsidR="00722B37" w:rsidRPr="00E23FCD">
        <w:rPr>
          <w:rFonts w:ascii="Arial" w:hAnsi="Arial" w:cs="Arial"/>
          <w:sz w:val="22"/>
          <w:szCs w:val="22"/>
        </w:rPr>
        <w:t xml:space="preserve">que la presente resolución tiene vigencia desde el día de su notificación y no agota la vía administrativa. En tal sentido, de conformidad con lo dispuesto por el artículo 38° del Decreto Legislativo </w:t>
      </w:r>
      <w:proofErr w:type="spellStart"/>
      <w:r w:rsidR="00722B37" w:rsidRPr="00E23FCD">
        <w:rPr>
          <w:rFonts w:ascii="Arial" w:hAnsi="Arial" w:cs="Arial"/>
          <w:sz w:val="22"/>
          <w:szCs w:val="22"/>
        </w:rPr>
        <w:t>Nº</w:t>
      </w:r>
      <w:proofErr w:type="spellEnd"/>
      <w:r w:rsidR="00722B37" w:rsidRPr="00E23FCD">
        <w:rPr>
          <w:rFonts w:ascii="Arial" w:hAnsi="Arial" w:cs="Arial"/>
          <w:sz w:val="22"/>
          <w:szCs w:val="22"/>
        </w:rPr>
        <w:t xml:space="preserve"> 807, el único recurso impugnativo que puede interponerse contra lo dispuesto por la Comisión de Protección al Consumidor </w:t>
      </w:r>
      <w:proofErr w:type="spellStart"/>
      <w:r w:rsidR="00722B37" w:rsidRPr="00E23FCD">
        <w:rPr>
          <w:rFonts w:ascii="Arial" w:hAnsi="Arial" w:cs="Arial"/>
          <w:sz w:val="22"/>
          <w:szCs w:val="22"/>
        </w:rPr>
        <w:t>N°</w:t>
      </w:r>
      <w:proofErr w:type="spellEnd"/>
      <w:r w:rsidR="00722B37" w:rsidRPr="00E23FCD">
        <w:rPr>
          <w:rFonts w:ascii="Arial" w:hAnsi="Arial" w:cs="Arial"/>
          <w:sz w:val="22"/>
          <w:szCs w:val="22"/>
        </w:rPr>
        <w:t> 1 es el de apelación</w:t>
      </w:r>
      <w:r w:rsidR="00D51743" w:rsidRPr="00E23FCD">
        <w:rPr>
          <w:rStyle w:val="Refdenotaalpie"/>
          <w:rFonts w:ascii="Arial" w:hAnsi="Arial" w:cs="Arial"/>
          <w:sz w:val="22"/>
          <w:szCs w:val="22"/>
        </w:rPr>
        <w:footnoteReference w:id="16"/>
      </w:r>
      <w:r w:rsidR="00722B37" w:rsidRPr="00E23FCD">
        <w:rPr>
          <w:rFonts w:ascii="Arial" w:hAnsi="Arial" w:cs="Arial"/>
          <w:sz w:val="22"/>
          <w:szCs w:val="22"/>
        </w:rPr>
        <w:t>, el cual debe ser presentado ante dicho órgano colegiado en un plazo no mayor de quince (15) días hábiles, contado a partir del día siguiente de su notificación</w:t>
      </w:r>
      <w:r w:rsidR="00D51743" w:rsidRPr="00E23FCD">
        <w:rPr>
          <w:rStyle w:val="Refdenotaalpie"/>
          <w:rFonts w:ascii="Arial" w:hAnsi="Arial" w:cs="Arial"/>
          <w:sz w:val="22"/>
          <w:szCs w:val="22"/>
        </w:rPr>
        <w:footnoteReference w:id="17"/>
      </w:r>
      <w:r w:rsidR="00722B37" w:rsidRPr="00E23FCD">
        <w:rPr>
          <w:rFonts w:ascii="Arial" w:hAnsi="Arial" w:cs="Arial"/>
          <w:sz w:val="22"/>
          <w:szCs w:val="22"/>
        </w:rPr>
        <w:t xml:space="preserve">, ello de acuerdo a lo establecido en el artículo 218° del Texto Único Ordenado de la Ley </w:t>
      </w:r>
      <w:proofErr w:type="spellStart"/>
      <w:r w:rsidR="00722B37" w:rsidRPr="00E23FCD">
        <w:rPr>
          <w:rFonts w:ascii="Arial" w:hAnsi="Arial" w:cs="Arial"/>
          <w:sz w:val="22"/>
          <w:szCs w:val="22"/>
        </w:rPr>
        <w:t>N°</w:t>
      </w:r>
      <w:proofErr w:type="spellEnd"/>
      <w:r w:rsidR="00722B37" w:rsidRPr="00E23FCD">
        <w:rPr>
          <w:rFonts w:ascii="Arial" w:hAnsi="Arial" w:cs="Arial"/>
          <w:sz w:val="22"/>
          <w:szCs w:val="22"/>
        </w:rPr>
        <w:t> 27444, Ley del Procedimiento Administrativo General; caso contrario, la resolución quedará consentida</w:t>
      </w:r>
      <w:r w:rsidR="00D51743" w:rsidRPr="00E23FCD">
        <w:rPr>
          <w:rStyle w:val="Refdenotaalpie"/>
          <w:rFonts w:ascii="Arial" w:hAnsi="Arial" w:cs="Arial"/>
          <w:sz w:val="22"/>
          <w:szCs w:val="22"/>
        </w:rPr>
        <w:footnoteReference w:id="18"/>
      </w:r>
      <w:r w:rsidR="00722B37" w:rsidRPr="00E23FCD">
        <w:rPr>
          <w:rFonts w:ascii="Arial" w:hAnsi="Arial" w:cs="Arial"/>
          <w:sz w:val="22"/>
          <w:szCs w:val="22"/>
        </w:rPr>
        <w:t>.</w:t>
      </w:r>
      <w:bookmarkEnd w:id="0"/>
      <w:bookmarkEnd w:id="3"/>
    </w:p>
    <w:sectPr w:rsidR="00722B37" w:rsidRPr="00E23FCD" w:rsidSect="00B16299">
      <w:headerReference w:type="default" r:id="rId12"/>
      <w:footerReference w:type="default" r:id="rId13"/>
      <w:pgSz w:w="12240" w:h="15840"/>
      <w:pgMar w:top="1418" w:right="1467" w:bottom="1985" w:left="1418" w:header="993" w:footer="6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0B472" w14:textId="77777777" w:rsidR="006352BB" w:rsidRDefault="006352BB" w:rsidP="008B5FDB">
      <w:r>
        <w:separator/>
      </w:r>
    </w:p>
  </w:endnote>
  <w:endnote w:type="continuationSeparator" w:id="0">
    <w:p w14:paraId="1F688397" w14:textId="77777777" w:rsidR="006352BB" w:rsidRDefault="006352BB" w:rsidP="008B5FDB">
      <w:r>
        <w:continuationSeparator/>
      </w:r>
    </w:p>
  </w:endnote>
  <w:endnote w:type="continuationNotice" w:id="1">
    <w:p w14:paraId="493A735B" w14:textId="77777777" w:rsidR="006352BB" w:rsidRDefault="006352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A5AEC" w14:textId="77777777" w:rsidR="00722B37" w:rsidRDefault="00722B37" w:rsidP="00BF5593">
    <w:pPr>
      <w:tabs>
        <w:tab w:val="left" w:pos="325"/>
      </w:tabs>
      <w:jc w:val="center"/>
      <w:rPr>
        <w:rFonts w:ascii="Arial" w:hAnsi="Arial" w:cs="Arial"/>
        <w:sz w:val="16"/>
        <w:szCs w:val="16"/>
      </w:rPr>
    </w:pPr>
  </w:p>
  <w:p w14:paraId="4C130C19" w14:textId="77777777" w:rsidR="00722B37" w:rsidRDefault="00722B37" w:rsidP="00BF5593">
    <w:pPr>
      <w:tabs>
        <w:tab w:val="left" w:pos="325"/>
      </w:tabs>
      <w:jc w:val="center"/>
      <w:rPr>
        <w:rFonts w:ascii="Arial" w:hAnsi="Arial" w:cs="Arial"/>
        <w:sz w:val="16"/>
        <w:szCs w:val="16"/>
      </w:rPr>
    </w:pPr>
  </w:p>
  <w:p w14:paraId="25EB2FA8" w14:textId="77777777" w:rsidR="00722B37" w:rsidRDefault="00722B37" w:rsidP="00BF5593">
    <w:pPr>
      <w:tabs>
        <w:tab w:val="left" w:pos="325"/>
      </w:tabs>
      <w:jc w:val="center"/>
      <w:rPr>
        <w:rFonts w:ascii="Arial" w:hAnsi="Arial" w:cs="Arial"/>
        <w:sz w:val="16"/>
        <w:szCs w:val="16"/>
      </w:rPr>
    </w:pPr>
  </w:p>
  <w:p w14:paraId="14827A18" w14:textId="77777777" w:rsidR="00722B37" w:rsidRDefault="00722B37" w:rsidP="00BF5593">
    <w:pPr>
      <w:tabs>
        <w:tab w:val="left" w:pos="325"/>
      </w:tabs>
      <w:jc w:val="center"/>
      <w:rPr>
        <w:rFonts w:ascii="Arial" w:hAnsi="Arial" w:cs="Arial"/>
        <w:sz w:val="16"/>
        <w:szCs w:val="16"/>
      </w:rPr>
    </w:pPr>
  </w:p>
  <w:p w14:paraId="4FA097C6" w14:textId="77777777" w:rsidR="00722B37" w:rsidRDefault="00722B37" w:rsidP="00BF5593">
    <w:pPr>
      <w:tabs>
        <w:tab w:val="left" w:pos="325"/>
      </w:tabs>
      <w:jc w:val="center"/>
      <w:rPr>
        <w:rFonts w:ascii="Arial" w:hAnsi="Arial" w:cs="Arial"/>
        <w:sz w:val="16"/>
        <w:szCs w:val="16"/>
      </w:rPr>
    </w:pPr>
  </w:p>
  <w:p w14:paraId="6CE852BD" w14:textId="7831CD34" w:rsidR="00722B37" w:rsidRDefault="00722B37" w:rsidP="00BF5593">
    <w:pPr>
      <w:tabs>
        <w:tab w:val="left" w:pos="325"/>
      </w:tabs>
      <w:jc w:val="center"/>
      <w:rPr>
        <w:rFonts w:ascii="Arial" w:hAnsi="Arial" w:cs="Arial"/>
        <w:sz w:val="16"/>
        <w:szCs w:val="16"/>
      </w:rPr>
    </w:pPr>
    <w:r w:rsidRPr="008551C5">
      <w:rPr>
        <w:rFonts w:ascii="Arial" w:hAnsi="Arial" w:cs="Arial"/>
        <w:sz w:val="16"/>
        <w:szCs w:val="16"/>
      </w:rPr>
      <w:fldChar w:fldCharType="begin"/>
    </w:r>
    <w:r w:rsidRPr="008551C5">
      <w:rPr>
        <w:rFonts w:ascii="Arial" w:hAnsi="Arial" w:cs="Arial"/>
        <w:sz w:val="16"/>
        <w:szCs w:val="16"/>
      </w:rPr>
      <w:instrText>PAGE</w:instrText>
    </w:r>
    <w:r w:rsidRPr="008551C5">
      <w:rPr>
        <w:rFonts w:ascii="Arial" w:hAnsi="Arial" w:cs="Arial"/>
        <w:sz w:val="16"/>
        <w:szCs w:val="16"/>
      </w:rPr>
      <w:fldChar w:fldCharType="separate"/>
    </w:r>
    <w:r>
      <w:rPr>
        <w:rFonts w:ascii="Arial" w:hAnsi="Arial" w:cs="Arial"/>
        <w:noProof/>
        <w:sz w:val="16"/>
        <w:szCs w:val="16"/>
      </w:rPr>
      <w:t>10</w:t>
    </w:r>
    <w:r w:rsidRPr="008551C5">
      <w:rPr>
        <w:rFonts w:ascii="Arial" w:hAnsi="Arial" w:cs="Arial"/>
        <w:sz w:val="16"/>
        <w:szCs w:val="16"/>
      </w:rPr>
      <w:fldChar w:fldCharType="end"/>
    </w:r>
  </w:p>
  <w:p w14:paraId="092924C5" w14:textId="77777777" w:rsidR="00722B37" w:rsidRPr="00BF5593" w:rsidRDefault="00722B37" w:rsidP="00BF5593">
    <w:pPr>
      <w:tabs>
        <w:tab w:val="left" w:pos="325"/>
      </w:tabs>
      <w:jc w:val="center"/>
      <w:rPr>
        <w:rFonts w:ascii="Arial" w:hAnsi="Arial" w:cs="Arial"/>
        <w:sz w:val="16"/>
        <w:szCs w:val="16"/>
      </w:rPr>
    </w:pPr>
  </w:p>
  <w:p w14:paraId="22C34F2C" w14:textId="77777777" w:rsidR="00722B37" w:rsidRPr="00BF5593" w:rsidRDefault="00722B37" w:rsidP="00BF5593">
    <w:pPr>
      <w:pStyle w:val="Sinespaciado"/>
      <w:jc w:val="center"/>
      <w:rPr>
        <w:rFonts w:ascii="Arial" w:hAnsi="Arial" w:cs="Arial"/>
        <w:b/>
        <w:i/>
        <w:sz w:val="14"/>
        <w:szCs w:val="14"/>
      </w:rPr>
    </w:pPr>
    <w:r w:rsidRPr="00BF5593">
      <w:rPr>
        <w:rFonts w:ascii="Arial" w:hAnsi="Arial" w:cs="Arial"/>
        <w:b/>
        <w:i/>
        <w:sz w:val="14"/>
        <w:szCs w:val="14"/>
      </w:rPr>
      <w:t>INSTITUTO NACIONAL DE DEFENSA DE LA COMPETENCIA Y DE LA PROTECCIÓN DE LA PROPIEDAD INTELECTUAL</w:t>
    </w:r>
  </w:p>
  <w:p w14:paraId="39C0FF96" w14:textId="77777777" w:rsidR="00722B37" w:rsidRPr="00BF5593" w:rsidRDefault="00722B37" w:rsidP="00BF5593">
    <w:pPr>
      <w:pStyle w:val="Sinespaciado"/>
      <w:jc w:val="center"/>
      <w:rPr>
        <w:rFonts w:ascii="Arial" w:hAnsi="Arial" w:cs="Arial"/>
        <w:sz w:val="14"/>
        <w:szCs w:val="14"/>
      </w:rPr>
    </w:pPr>
    <w:r w:rsidRPr="00BF5593">
      <w:rPr>
        <w:rFonts w:ascii="Arial" w:hAnsi="Arial" w:cs="Arial"/>
        <w:sz w:val="14"/>
        <w:szCs w:val="14"/>
      </w:rPr>
      <w:t xml:space="preserve">Calle De la Prosa 104, San Borja, Lima 41 - Perú </w:t>
    </w:r>
    <w:proofErr w:type="spellStart"/>
    <w:r w:rsidRPr="00BF5593">
      <w:rPr>
        <w:rFonts w:ascii="Arial" w:hAnsi="Arial" w:cs="Arial"/>
        <w:sz w:val="14"/>
        <w:szCs w:val="14"/>
      </w:rPr>
      <w:t>Telf</w:t>
    </w:r>
    <w:proofErr w:type="spellEnd"/>
    <w:r w:rsidRPr="00BF5593">
      <w:rPr>
        <w:rFonts w:ascii="Arial" w:hAnsi="Arial" w:cs="Arial"/>
        <w:sz w:val="14"/>
        <w:szCs w:val="14"/>
      </w:rPr>
      <w:t>: 224 7800 / Fax: 224 0348</w:t>
    </w:r>
  </w:p>
  <w:p w14:paraId="3C19E49A" w14:textId="71BF3370" w:rsidR="00722B37" w:rsidRDefault="00722B37" w:rsidP="00BF5593">
    <w:pPr>
      <w:pStyle w:val="Sinespaciado"/>
      <w:jc w:val="center"/>
      <w:rPr>
        <w:rFonts w:ascii="Arial" w:hAnsi="Arial" w:cs="Arial"/>
        <w:sz w:val="14"/>
        <w:szCs w:val="14"/>
        <w:lang w:val="en-US"/>
      </w:rPr>
    </w:pPr>
    <w:r w:rsidRPr="00BF5593">
      <w:rPr>
        <w:rFonts w:ascii="Arial" w:hAnsi="Arial" w:cs="Arial"/>
        <w:sz w:val="14"/>
        <w:szCs w:val="14"/>
        <w:lang w:val="en-US"/>
      </w:rPr>
      <w:t xml:space="preserve">E-mail: postmaster@indecopi.gob.pe / Web: </w:t>
    </w:r>
    <w:hyperlink r:id="rId1" w:history="1">
      <w:r w:rsidRPr="000237CF">
        <w:rPr>
          <w:rStyle w:val="Hipervnculo"/>
          <w:rFonts w:ascii="Arial" w:hAnsi="Arial" w:cs="Arial"/>
          <w:sz w:val="14"/>
          <w:szCs w:val="14"/>
          <w:lang w:val="en-US"/>
        </w:rPr>
        <w:t>www.indecopi.gob.pe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BE4EB" w14:textId="77777777" w:rsidR="006352BB" w:rsidRDefault="006352BB" w:rsidP="008B5FDB">
      <w:r>
        <w:separator/>
      </w:r>
    </w:p>
  </w:footnote>
  <w:footnote w:type="continuationSeparator" w:id="0">
    <w:p w14:paraId="3A32258F" w14:textId="77777777" w:rsidR="006352BB" w:rsidRDefault="006352BB" w:rsidP="008B5FDB">
      <w:r>
        <w:continuationSeparator/>
      </w:r>
    </w:p>
  </w:footnote>
  <w:footnote w:type="continuationNotice" w:id="1">
    <w:p w14:paraId="5C048FA5" w14:textId="77777777" w:rsidR="006352BB" w:rsidRDefault="006352BB"/>
  </w:footnote>
  <w:footnote w:id="2">
    <w:p w14:paraId="6FEE84A6" w14:textId="77777777" w:rsidR="00B204CA" w:rsidRPr="00271C1B" w:rsidRDefault="00B204CA" w:rsidP="00B204CA">
      <w:pPr>
        <w:pStyle w:val="Textonotapie"/>
        <w:ind w:left="567" w:hanging="567"/>
        <w:jc w:val="both"/>
        <w:rPr>
          <w:rFonts w:ascii="Arial" w:hAnsi="Arial" w:cs="Arial"/>
          <w:sz w:val="16"/>
          <w:szCs w:val="16"/>
        </w:rPr>
      </w:pPr>
      <w:r w:rsidRPr="00271C1B">
        <w:rPr>
          <w:rStyle w:val="Refdenotaalpie"/>
          <w:rFonts w:ascii="Arial" w:hAnsi="Arial" w:cs="Arial"/>
        </w:rPr>
        <w:footnoteRef/>
      </w:r>
      <w:r w:rsidRPr="00271C1B">
        <w:rPr>
          <w:rFonts w:ascii="Arial" w:hAnsi="Arial" w:cs="Arial"/>
          <w:sz w:val="16"/>
          <w:szCs w:val="16"/>
        </w:rPr>
        <w:t xml:space="preserve"> </w:t>
      </w:r>
      <w:r w:rsidRPr="00271C1B">
        <w:rPr>
          <w:rFonts w:ascii="Arial" w:hAnsi="Arial" w:cs="Arial"/>
          <w:sz w:val="16"/>
          <w:szCs w:val="16"/>
        </w:rPr>
        <w:tab/>
      </w:r>
      <w:r w:rsidRPr="00271C1B">
        <w:rPr>
          <w:rFonts w:ascii="Arial" w:hAnsi="Arial" w:cs="Arial"/>
          <w:sz w:val="16"/>
          <w:szCs w:val="16"/>
          <w:highlight w:val="red"/>
        </w:rPr>
        <w:t xml:space="preserve">Denuncia remitida a esta Comisión mediante MEMORANDUM </w:t>
      </w:r>
      <w:proofErr w:type="spellStart"/>
      <w:r w:rsidRPr="00271C1B">
        <w:rPr>
          <w:rFonts w:ascii="Arial" w:hAnsi="Arial" w:cs="Arial"/>
          <w:sz w:val="16"/>
          <w:szCs w:val="16"/>
          <w:highlight w:val="red"/>
        </w:rPr>
        <w:t>N°</w:t>
      </w:r>
      <w:proofErr w:type="spellEnd"/>
      <w:r w:rsidRPr="00271C1B">
        <w:rPr>
          <w:rFonts w:ascii="Arial" w:hAnsi="Arial" w:cs="Arial"/>
          <w:sz w:val="16"/>
          <w:szCs w:val="16"/>
          <w:highlight w:val="red"/>
        </w:rPr>
        <w:t xml:space="preserve"> 000797-2025-PS2/INDECOPI de fecha 12 de mayo del 2025, </w:t>
      </w:r>
      <w:proofErr w:type="spellStart"/>
      <w:r w:rsidRPr="00271C1B">
        <w:rPr>
          <w:rFonts w:ascii="Arial" w:hAnsi="Arial" w:cs="Arial"/>
          <w:sz w:val="16"/>
          <w:szCs w:val="16"/>
          <w:highlight w:val="red"/>
        </w:rPr>
        <w:t>recepcionada</w:t>
      </w:r>
      <w:proofErr w:type="spellEnd"/>
      <w:r w:rsidRPr="00271C1B">
        <w:rPr>
          <w:rFonts w:ascii="Arial" w:hAnsi="Arial" w:cs="Arial"/>
          <w:sz w:val="16"/>
          <w:szCs w:val="16"/>
          <w:highlight w:val="red"/>
        </w:rPr>
        <w:t xml:space="preserve"> el 12 de mayo del 2025.</w:t>
      </w:r>
    </w:p>
    <w:p w14:paraId="2C63D5DB" w14:textId="77777777" w:rsidR="00B204CA" w:rsidRPr="00827364" w:rsidRDefault="00B204CA" w:rsidP="00B204CA">
      <w:pPr>
        <w:pStyle w:val="Textonotapie"/>
        <w:ind w:left="567" w:hanging="567"/>
        <w:jc w:val="both"/>
        <w:rPr>
          <w:rFonts w:ascii="Arial Narrow" w:hAnsi="Arial Narrow" w:cs="Arial"/>
          <w:sz w:val="16"/>
          <w:szCs w:val="16"/>
        </w:rPr>
      </w:pPr>
    </w:p>
  </w:footnote>
  <w:footnote w:id="3">
    <w:p w14:paraId="794E0CCF" w14:textId="77777777" w:rsidR="00722B37" w:rsidRPr="00A61A25" w:rsidRDefault="00722B37" w:rsidP="00A61A25">
      <w:pPr>
        <w:pStyle w:val="Textonotapie"/>
        <w:ind w:left="567" w:hanging="567"/>
        <w:jc w:val="both"/>
        <w:rPr>
          <w:rFonts w:ascii="Arial" w:hAnsi="Arial" w:cs="Arial"/>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t>Publicado</w:t>
      </w:r>
      <w:r w:rsidRPr="00A61A25">
        <w:rPr>
          <w:rFonts w:ascii="Arial" w:hAnsi="Arial" w:cs="Arial"/>
          <w:b/>
          <w:sz w:val="16"/>
          <w:szCs w:val="16"/>
        </w:rPr>
        <w:t xml:space="preserve"> </w:t>
      </w:r>
      <w:r w:rsidRPr="00A61A25">
        <w:rPr>
          <w:rFonts w:ascii="Arial" w:hAnsi="Arial" w:cs="Arial"/>
          <w:sz w:val="16"/>
          <w:szCs w:val="16"/>
        </w:rPr>
        <w:t>el 2 de setiembre del 2010 en el Diario Oficial El Peruano, vigente desde el 2 de octubre del 2010 y modificado por Decreto Legislativo 1308.</w:t>
      </w:r>
    </w:p>
  </w:footnote>
  <w:footnote w:id="4">
    <w:p w14:paraId="66C90258"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2</w:t>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DECRETO LEGISLATIVO 1033, LEY DE ORGANIZACIÓN Y FUNCIONES DEL INDECOPI</w:t>
      </w:r>
      <w:r w:rsidRPr="00A61A25">
        <w:rPr>
          <w:rFonts w:ascii="Arial" w:eastAsia="Arial Narrow" w:hAnsi="Arial" w:cs="Arial"/>
          <w:b/>
          <w:sz w:val="16"/>
          <w:szCs w:val="16"/>
        </w:rPr>
        <w:t>, publicada el 18 de abril de 1996</w:t>
      </w:r>
    </w:p>
    <w:p w14:paraId="486BE96C"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b/>
          <w:sz w:val="16"/>
          <w:szCs w:val="16"/>
        </w:rPr>
        <w:t xml:space="preserve">Artículo </w:t>
      </w:r>
      <w:proofErr w:type="gramStart"/>
      <w:r w:rsidRPr="00A61A25">
        <w:rPr>
          <w:rFonts w:ascii="Arial" w:hAnsi="Arial" w:cs="Arial"/>
          <w:b/>
          <w:sz w:val="16"/>
          <w:szCs w:val="16"/>
        </w:rPr>
        <w:t>21 .</w:t>
      </w:r>
      <w:proofErr w:type="gramEnd"/>
      <w:r w:rsidRPr="00A61A25">
        <w:rPr>
          <w:rFonts w:ascii="Arial" w:hAnsi="Arial" w:cs="Arial"/>
          <w:b/>
          <w:sz w:val="16"/>
          <w:szCs w:val="16"/>
        </w:rPr>
        <w:t>- Régimen de las Comisiones</w:t>
      </w:r>
    </w:p>
    <w:p w14:paraId="6EE6ACF2"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Las Comisiones mencionadas en el artículo anterior tienen las siguientes características:</w:t>
      </w:r>
    </w:p>
    <w:p w14:paraId="2285C284"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w:t>
      </w:r>
    </w:p>
    <w:p w14:paraId="00840C83"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b) Resuelven en primera instancia administrativa los procesos de su competencia, la adopción de medidas cautelares y correctivas, la imposición de las sanciones correspondientes y la determinación de costas y costos;</w:t>
      </w:r>
    </w:p>
    <w:p w14:paraId="64E0A6CC" w14:textId="77777777" w:rsidR="000408B2" w:rsidRPr="00A61A25" w:rsidRDefault="000408B2" w:rsidP="00A61A25">
      <w:pPr>
        <w:ind w:left="570" w:hanging="570"/>
        <w:contextualSpacing/>
        <w:jc w:val="both"/>
        <w:rPr>
          <w:rFonts w:ascii="Arial" w:hAnsi="Arial" w:cs="Arial"/>
          <w:sz w:val="16"/>
          <w:szCs w:val="16"/>
        </w:rPr>
      </w:pPr>
    </w:p>
    <w:p w14:paraId="196BDC92"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b/>
          <w:sz w:val="16"/>
          <w:szCs w:val="16"/>
        </w:rPr>
        <w:t>DECRETO SUPREMO 009-2009-PCM, REGLAMENTO DE ORGANIZACIÓN Y FUNCIONES DEL INDECOPI</w:t>
      </w:r>
    </w:p>
    <w:p w14:paraId="59F980AA"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b/>
          <w:sz w:val="16"/>
          <w:szCs w:val="16"/>
        </w:rPr>
        <w:t xml:space="preserve">Artículo </w:t>
      </w:r>
      <w:proofErr w:type="gramStart"/>
      <w:r w:rsidRPr="00A61A25">
        <w:rPr>
          <w:rFonts w:ascii="Arial" w:hAnsi="Arial" w:cs="Arial"/>
          <w:b/>
          <w:sz w:val="16"/>
          <w:szCs w:val="16"/>
        </w:rPr>
        <w:t>37 .</w:t>
      </w:r>
      <w:proofErr w:type="gramEnd"/>
      <w:r w:rsidRPr="00A61A25">
        <w:rPr>
          <w:rFonts w:ascii="Arial" w:hAnsi="Arial" w:cs="Arial"/>
          <w:b/>
          <w:sz w:val="16"/>
          <w:szCs w:val="16"/>
        </w:rPr>
        <w:t>- Atribuciones generales de las Comisiones del Indecopi</w:t>
      </w:r>
    </w:p>
    <w:p w14:paraId="53C9D95E"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Son atribuciones generales de las Comisiones:</w:t>
      </w:r>
    </w:p>
    <w:p w14:paraId="01A4BC4D"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w:t>
      </w:r>
    </w:p>
    <w:p w14:paraId="27D87E96"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c) Disponer la adopción de medidas cautelares, correctivas, coercitivas, y determinación de costas y costos, con arreglo a lo que sus correspondientes normas legales de creación o las que regulan materias de su competencia establezcan;</w:t>
      </w:r>
    </w:p>
    <w:p w14:paraId="377D0534" w14:textId="77777777" w:rsidR="000408B2" w:rsidRPr="00A61A25" w:rsidRDefault="000408B2" w:rsidP="00A61A25">
      <w:pPr>
        <w:ind w:left="570"/>
        <w:contextualSpacing/>
        <w:jc w:val="both"/>
        <w:rPr>
          <w:rFonts w:ascii="Arial" w:hAnsi="Arial" w:cs="Arial"/>
          <w:sz w:val="16"/>
          <w:szCs w:val="16"/>
        </w:rPr>
      </w:pPr>
      <w:r w:rsidRPr="00A61A25">
        <w:rPr>
          <w:rFonts w:ascii="Arial" w:hAnsi="Arial" w:cs="Arial"/>
          <w:sz w:val="16"/>
          <w:szCs w:val="16"/>
        </w:rPr>
        <w:t>(…)</w:t>
      </w:r>
    </w:p>
    <w:p w14:paraId="523D7085" w14:textId="77777777" w:rsidR="000408B2" w:rsidRPr="00A61A25" w:rsidRDefault="000408B2" w:rsidP="00A61A25">
      <w:pPr>
        <w:contextualSpacing/>
        <w:jc w:val="both"/>
        <w:rPr>
          <w:rFonts w:ascii="Arial" w:hAnsi="Arial" w:cs="Arial"/>
          <w:sz w:val="16"/>
          <w:szCs w:val="16"/>
        </w:rPr>
      </w:pPr>
    </w:p>
  </w:footnote>
  <w:footnote w:id="5">
    <w:p w14:paraId="1A12918F" w14:textId="77777777" w:rsidR="000408B2" w:rsidRPr="00A61A25" w:rsidRDefault="000408B2" w:rsidP="00A61A25">
      <w:pPr>
        <w:widowControl w:val="0"/>
        <w:ind w:left="567" w:hanging="567"/>
        <w:jc w:val="both"/>
        <w:rPr>
          <w:rFonts w:ascii="Arial" w:hAnsi="Arial" w:cs="Arial"/>
          <w:b/>
          <w:sz w:val="16"/>
          <w:szCs w:val="16"/>
        </w:rPr>
      </w:pPr>
      <w:r w:rsidRPr="00A61A25">
        <w:rPr>
          <w:rStyle w:val="Refdenotaalpie"/>
          <w:rFonts w:ascii="Arial" w:eastAsiaTheme="minorHAnsi" w:hAnsi="Arial" w:cs="Arial"/>
          <w:sz w:val="16"/>
          <w:szCs w:val="16"/>
          <w:lang w:eastAsia="en-US"/>
        </w:rPr>
        <w:t>3</w:t>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LEY 29571, CÓDIGO DE PROTECCIÓN Y DEFENSA DEL CONSUMIDOR, publicada el 2 de setiembre de 2010 y modificada por el Decreto Legislativo 1308, publicado el 30 de diciembre de 2016</w:t>
      </w:r>
    </w:p>
    <w:p w14:paraId="5566DC5C" w14:textId="77777777" w:rsidR="000408B2" w:rsidRPr="00A61A25" w:rsidRDefault="000408B2" w:rsidP="00A61A25">
      <w:pPr>
        <w:ind w:left="577" w:hanging="571"/>
        <w:contextualSpacing/>
        <w:jc w:val="both"/>
        <w:rPr>
          <w:rFonts w:ascii="Arial" w:hAnsi="Arial" w:cs="Arial"/>
          <w:sz w:val="16"/>
          <w:szCs w:val="16"/>
        </w:rPr>
      </w:pPr>
      <w:r w:rsidRPr="00A61A25">
        <w:rPr>
          <w:rFonts w:ascii="Arial" w:hAnsi="Arial" w:cs="Arial"/>
          <w:b/>
          <w:sz w:val="16"/>
          <w:szCs w:val="16"/>
        </w:rPr>
        <w:tab/>
        <w:t xml:space="preserve">Artículo </w:t>
      </w:r>
      <w:proofErr w:type="gramStart"/>
      <w:r w:rsidRPr="00A61A25">
        <w:rPr>
          <w:rFonts w:ascii="Arial" w:hAnsi="Arial" w:cs="Arial"/>
          <w:b/>
          <w:sz w:val="16"/>
          <w:szCs w:val="16"/>
        </w:rPr>
        <w:t>109 .</w:t>
      </w:r>
      <w:proofErr w:type="gramEnd"/>
      <w:r w:rsidRPr="00A61A25">
        <w:rPr>
          <w:rFonts w:ascii="Arial" w:hAnsi="Arial" w:cs="Arial"/>
          <w:b/>
          <w:sz w:val="16"/>
          <w:szCs w:val="16"/>
        </w:rPr>
        <w:t>- Medidas cautelares</w:t>
      </w:r>
    </w:p>
    <w:p w14:paraId="6620A536" w14:textId="77777777" w:rsidR="000408B2" w:rsidRPr="00A61A25" w:rsidRDefault="000408B2" w:rsidP="00A61A25">
      <w:pPr>
        <w:ind w:left="577" w:hanging="7"/>
        <w:contextualSpacing/>
        <w:jc w:val="both"/>
        <w:rPr>
          <w:rFonts w:ascii="Arial" w:hAnsi="Arial" w:cs="Arial"/>
          <w:sz w:val="16"/>
          <w:szCs w:val="16"/>
        </w:rPr>
      </w:pPr>
      <w:r w:rsidRPr="00A61A25">
        <w:rPr>
          <w:rFonts w:ascii="Arial" w:hAnsi="Arial" w:cs="Arial"/>
          <w:sz w:val="16"/>
          <w:szCs w:val="16"/>
        </w:rPr>
        <w:t>En cualquier etapa del procedimiento, de oficio o a pedido de parte, el Indecopi puede, dentro del ámbito de su correspondiente competencia, dictar una o varias de las siguientes medidas cautelares destinadas a asegurar el cumplimiento de la decisión definitiva:</w:t>
      </w:r>
    </w:p>
    <w:p w14:paraId="0D6F091F" w14:textId="77777777" w:rsidR="000408B2" w:rsidRPr="00A61A25" w:rsidRDefault="000408B2" w:rsidP="00A61A25">
      <w:pPr>
        <w:ind w:left="577" w:hanging="571"/>
        <w:contextualSpacing/>
        <w:jc w:val="both"/>
        <w:rPr>
          <w:rFonts w:ascii="Arial" w:hAnsi="Arial" w:cs="Arial"/>
          <w:sz w:val="16"/>
          <w:szCs w:val="16"/>
        </w:rPr>
      </w:pPr>
      <w:r w:rsidRPr="00A61A25">
        <w:rPr>
          <w:rFonts w:ascii="Arial" w:hAnsi="Arial" w:cs="Arial"/>
          <w:sz w:val="16"/>
          <w:szCs w:val="16"/>
        </w:rPr>
        <w:t xml:space="preserve"> </w:t>
      </w:r>
      <w:r w:rsidRPr="00A61A25">
        <w:rPr>
          <w:rFonts w:ascii="Arial" w:hAnsi="Arial" w:cs="Arial"/>
          <w:sz w:val="16"/>
          <w:szCs w:val="16"/>
        </w:rPr>
        <w:tab/>
      </w:r>
    </w:p>
    <w:p w14:paraId="77BDB171" w14:textId="77777777" w:rsidR="000408B2" w:rsidRPr="00A61A25" w:rsidRDefault="000408B2" w:rsidP="00A61A25">
      <w:pPr>
        <w:ind w:left="577" w:hanging="7"/>
        <w:contextualSpacing/>
        <w:jc w:val="both"/>
        <w:rPr>
          <w:rFonts w:ascii="Arial" w:hAnsi="Arial" w:cs="Arial"/>
          <w:sz w:val="16"/>
          <w:szCs w:val="16"/>
        </w:rPr>
      </w:pPr>
      <w:r w:rsidRPr="00A61A25">
        <w:rPr>
          <w:rFonts w:ascii="Arial" w:hAnsi="Arial" w:cs="Arial"/>
          <w:sz w:val="16"/>
          <w:szCs w:val="16"/>
        </w:rPr>
        <w:t>a. La cesación de los actos materia de denuncia.</w:t>
      </w:r>
    </w:p>
    <w:p w14:paraId="434D2B52" w14:textId="77777777" w:rsidR="000408B2" w:rsidRPr="00A61A25" w:rsidRDefault="000408B2" w:rsidP="00A61A25">
      <w:pPr>
        <w:ind w:left="570" w:firstLine="7"/>
        <w:contextualSpacing/>
        <w:jc w:val="both"/>
        <w:rPr>
          <w:rFonts w:ascii="Arial" w:hAnsi="Arial" w:cs="Arial"/>
          <w:sz w:val="16"/>
          <w:szCs w:val="16"/>
        </w:rPr>
      </w:pPr>
      <w:r w:rsidRPr="00A61A25">
        <w:rPr>
          <w:rFonts w:ascii="Arial" w:hAnsi="Arial" w:cs="Arial"/>
          <w:sz w:val="16"/>
          <w:szCs w:val="16"/>
        </w:rPr>
        <w:t>b. El comiso, el depósito o la inmovilización de los productos, etiquetas, envases y de cualquier otro bien que sea materia de denuncia.</w:t>
      </w:r>
    </w:p>
    <w:p w14:paraId="0283B897" w14:textId="77777777" w:rsidR="000408B2" w:rsidRPr="00A61A25" w:rsidRDefault="000408B2" w:rsidP="00A61A25">
      <w:pPr>
        <w:ind w:left="570" w:firstLine="7"/>
        <w:contextualSpacing/>
        <w:jc w:val="both"/>
        <w:rPr>
          <w:rFonts w:ascii="Arial" w:hAnsi="Arial" w:cs="Arial"/>
          <w:sz w:val="16"/>
          <w:szCs w:val="16"/>
        </w:rPr>
      </w:pPr>
      <w:r w:rsidRPr="00A61A25">
        <w:rPr>
          <w:rFonts w:ascii="Arial" w:hAnsi="Arial" w:cs="Arial"/>
          <w:sz w:val="16"/>
          <w:szCs w:val="16"/>
        </w:rPr>
        <w:t>c. La adopción de las medidas necesarias para que las autoridades aduaneras impidan el ingreso al país de los productos materia de denuncia.</w:t>
      </w:r>
    </w:p>
    <w:p w14:paraId="124D3D7E" w14:textId="77777777" w:rsidR="000408B2" w:rsidRPr="00A61A25" w:rsidRDefault="000408B2" w:rsidP="00A61A25">
      <w:pPr>
        <w:ind w:left="1140" w:hanging="562"/>
        <w:contextualSpacing/>
        <w:jc w:val="both"/>
        <w:rPr>
          <w:rFonts w:ascii="Arial" w:hAnsi="Arial" w:cs="Arial"/>
          <w:sz w:val="16"/>
          <w:szCs w:val="16"/>
        </w:rPr>
      </w:pPr>
      <w:r w:rsidRPr="00A61A25">
        <w:rPr>
          <w:rFonts w:ascii="Arial" w:hAnsi="Arial" w:cs="Arial"/>
          <w:sz w:val="16"/>
          <w:szCs w:val="16"/>
        </w:rPr>
        <w:t>d. El cierre temporal del establecimiento del denunciado.</w:t>
      </w:r>
    </w:p>
    <w:p w14:paraId="383CCCF0" w14:textId="77777777" w:rsidR="000408B2" w:rsidRPr="00A61A25" w:rsidRDefault="000408B2" w:rsidP="00A61A25">
      <w:pPr>
        <w:ind w:left="570" w:firstLine="7"/>
        <w:contextualSpacing/>
        <w:jc w:val="both"/>
        <w:rPr>
          <w:rFonts w:ascii="Arial" w:hAnsi="Arial" w:cs="Arial"/>
          <w:sz w:val="16"/>
          <w:szCs w:val="16"/>
        </w:rPr>
      </w:pPr>
      <w:r w:rsidRPr="00A61A25">
        <w:rPr>
          <w:rFonts w:ascii="Arial" w:hAnsi="Arial" w:cs="Arial"/>
          <w:sz w:val="16"/>
          <w:szCs w:val="16"/>
        </w:rPr>
        <w:t>e. Cualquier otra medida que tenga por objeto evitar que se produzca algún perjuicio derivado del acto denunciado o que tenga como finalidad la cesación de este.</w:t>
      </w:r>
    </w:p>
    <w:p w14:paraId="0F8EEC95" w14:textId="77777777" w:rsidR="000408B2" w:rsidRPr="00A61A25" w:rsidRDefault="000408B2" w:rsidP="00A61A25">
      <w:pPr>
        <w:ind w:left="570" w:firstLine="7"/>
        <w:contextualSpacing/>
        <w:jc w:val="both"/>
        <w:rPr>
          <w:rFonts w:ascii="Arial" w:hAnsi="Arial" w:cs="Arial"/>
          <w:sz w:val="16"/>
          <w:szCs w:val="16"/>
        </w:rPr>
      </w:pPr>
    </w:p>
    <w:p w14:paraId="7916B7FD" w14:textId="77777777" w:rsidR="000408B2" w:rsidRPr="00A61A25" w:rsidRDefault="000408B2" w:rsidP="00A61A25">
      <w:pPr>
        <w:ind w:left="570" w:firstLine="7"/>
        <w:contextualSpacing/>
        <w:jc w:val="both"/>
        <w:rPr>
          <w:rFonts w:ascii="Arial" w:hAnsi="Arial" w:cs="Arial"/>
          <w:sz w:val="16"/>
          <w:szCs w:val="16"/>
        </w:rPr>
      </w:pPr>
      <w:r w:rsidRPr="00A61A25">
        <w:rPr>
          <w:rFonts w:ascii="Arial" w:hAnsi="Arial" w:cs="Arial"/>
          <w:sz w:val="16"/>
          <w:szCs w:val="16"/>
        </w:rPr>
        <w:t>El Indecopi puede, de considerarlo pertinente, ordenar una medida cautelar distinta a la solicitada por la parte interesada. En caso de existir peligro actual o inminente si es que no se adoptan las medidas cautelares correspondientes, el secretario técnico puede imponerlas, con cargo a dar cuenta inmediatamente a la comisión. La comisión ratifica o levanta la medida cautelar impuesta. El Órgano Resolutivo de Procedimientos Sumarísimos en materia de protección al consumidor goza también de la facultad de ordenar medidas cautelares.</w:t>
      </w:r>
    </w:p>
    <w:p w14:paraId="779D5706" w14:textId="77777777" w:rsidR="000408B2" w:rsidRPr="00A61A25" w:rsidRDefault="000408B2" w:rsidP="00A61A25">
      <w:pPr>
        <w:contextualSpacing/>
        <w:jc w:val="both"/>
        <w:rPr>
          <w:rFonts w:ascii="Arial" w:hAnsi="Arial" w:cs="Arial"/>
          <w:sz w:val="16"/>
          <w:szCs w:val="16"/>
        </w:rPr>
      </w:pPr>
    </w:p>
  </w:footnote>
  <w:footnote w:id="6">
    <w:p w14:paraId="6A207398"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4</w:t>
      </w:r>
      <w:r w:rsidRPr="00A61A25">
        <w:rPr>
          <w:rFonts w:ascii="Arial" w:hAnsi="Arial" w:cs="Arial"/>
          <w:sz w:val="16"/>
          <w:szCs w:val="16"/>
        </w:rPr>
        <w:t xml:space="preserve"> </w:t>
      </w:r>
      <w:r w:rsidRPr="00A61A25">
        <w:rPr>
          <w:rFonts w:ascii="Arial" w:hAnsi="Arial" w:cs="Arial"/>
          <w:sz w:val="16"/>
          <w:szCs w:val="16"/>
        </w:rPr>
        <w:tab/>
        <w:t xml:space="preserve">Al respecto, la Sala ha señalado en diversos pronunciamientos que el grado de </w:t>
      </w:r>
      <w:r w:rsidRPr="00A61A25">
        <w:rPr>
          <w:rFonts w:ascii="Arial" w:hAnsi="Arial" w:cs="Arial"/>
          <w:i/>
          <w:sz w:val="16"/>
          <w:szCs w:val="16"/>
        </w:rPr>
        <w:t>verosimilitud</w:t>
      </w:r>
      <w:r w:rsidRPr="00A61A25">
        <w:rPr>
          <w:rFonts w:ascii="Arial" w:hAnsi="Arial" w:cs="Arial"/>
          <w:sz w:val="16"/>
          <w:szCs w:val="16"/>
        </w:rPr>
        <w:t xml:space="preserve"> requerido para el dictado de una medida cautelar puede ser equiparado a un nivel intermedio de certeza en el cual la autoridad administrativa debe tener la percepción que la presunta infracción denunciada tiene apariencia de verdadera, existiendo la probabilidad que el procedimiento sea declarado fundado. Ver Resolución 0820-2021/SPC-INDECOPI de fecha 14 de abril de 2021.</w:t>
      </w:r>
    </w:p>
    <w:p w14:paraId="79FF7624" w14:textId="77777777" w:rsidR="000408B2" w:rsidRPr="00A61A25" w:rsidRDefault="000408B2" w:rsidP="00A61A25">
      <w:pPr>
        <w:ind w:left="570" w:hanging="570"/>
        <w:contextualSpacing/>
        <w:jc w:val="both"/>
        <w:rPr>
          <w:rFonts w:ascii="Arial" w:hAnsi="Arial" w:cs="Arial"/>
          <w:sz w:val="16"/>
          <w:szCs w:val="16"/>
        </w:rPr>
      </w:pPr>
    </w:p>
  </w:footnote>
  <w:footnote w:id="7">
    <w:p w14:paraId="586440CF"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5</w:t>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i/>
          <w:sz w:val="16"/>
          <w:szCs w:val="16"/>
        </w:rPr>
        <w:t xml:space="preserve">“El análisis sobre la fundabilidad de la pretensión no puede ser entonces un juicio de certeza como aquel que se hace en el proceso principal y que resulta necesario para el dictado de una sentencia, sino que debe ser un análisis basado en la probabilidad de que se obtenga una sentencia que ampare la pretensión planteada. Así, al juicio de certeza propio del proceso principal, se le opone el juicio de probabilidad propio del proceso cautelar.” </w:t>
      </w:r>
      <w:r w:rsidRPr="00A61A25">
        <w:rPr>
          <w:rFonts w:ascii="Arial" w:hAnsi="Arial" w:cs="Arial"/>
          <w:sz w:val="16"/>
          <w:szCs w:val="16"/>
        </w:rPr>
        <w:t xml:space="preserve">(Cfr.: PRIORI POSADA, Giovanni. </w:t>
      </w:r>
      <w:r w:rsidRPr="00A61A25">
        <w:rPr>
          <w:rFonts w:ascii="Arial" w:hAnsi="Arial" w:cs="Arial"/>
          <w:i/>
          <w:sz w:val="16"/>
          <w:szCs w:val="16"/>
        </w:rPr>
        <w:t>La tutela cautelar.</w:t>
      </w:r>
      <w:r w:rsidRPr="00A61A25">
        <w:rPr>
          <w:rFonts w:ascii="Arial" w:hAnsi="Arial" w:cs="Arial"/>
          <w:sz w:val="16"/>
          <w:szCs w:val="16"/>
        </w:rPr>
        <w:t xml:space="preserve"> ARA EDITORES, Lima, 2006, p. 73).</w:t>
      </w:r>
    </w:p>
    <w:p w14:paraId="19171740" w14:textId="77777777" w:rsidR="000408B2" w:rsidRPr="00A61A25" w:rsidRDefault="000408B2" w:rsidP="00A61A25">
      <w:pPr>
        <w:ind w:left="570" w:hanging="570"/>
        <w:contextualSpacing/>
        <w:jc w:val="both"/>
        <w:rPr>
          <w:rFonts w:ascii="Arial" w:hAnsi="Arial" w:cs="Arial"/>
          <w:sz w:val="16"/>
          <w:szCs w:val="16"/>
        </w:rPr>
      </w:pPr>
    </w:p>
  </w:footnote>
  <w:footnote w:id="8">
    <w:p w14:paraId="25E3A1C2"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6</w:t>
      </w:r>
      <w:r w:rsidRPr="00A61A25">
        <w:rPr>
          <w:rFonts w:ascii="Arial" w:hAnsi="Arial" w:cs="Arial"/>
          <w:sz w:val="16"/>
          <w:szCs w:val="16"/>
        </w:rPr>
        <w:t xml:space="preserve"> </w:t>
      </w:r>
      <w:r w:rsidRPr="00A61A25">
        <w:rPr>
          <w:rFonts w:ascii="Arial" w:hAnsi="Arial" w:cs="Arial"/>
          <w:sz w:val="16"/>
          <w:szCs w:val="16"/>
        </w:rPr>
        <w:tab/>
        <w:t xml:space="preserve">En este punto, la Sala ha establecido que dentro del </w:t>
      </w:r>
      <w:r w:rsidRPr="00A61A25">
        <w:rPr>
          <w:rFonts w:ascii="Arial" w:hAnsi="Arial" w:cs="Arial"/>
          <w:i/>
          <w:sz w:val="16"/>
          <w:szCs w:val="16"/>
        </w:rPr>
        <w:t>peligro en la demora</w:t>
      </w:r>
      <w:r w:rsidRPr="00A61A25">
        <w:rPr>
          <w:rFonts w:ascii="Arial" w:hAnsi="Arial" w:cs="Arial"/>
          <w:sz w:val="16"/>
          <w:szCs w:val="16"/>
        </w:rPr>
        <w:t xml:space="preserve"> debe analizarse la posibilidad que el retraso en la decisión genere un </w:t>
      </w:r>
      <w:r w:rsidRPr="00A61A25">
        <w:rPr>
          <w:rFonts w:ascii="Arial" w:hAnsi="Arial" w:cs="Arial"/>
          <w:i/>
          <w:sz w:val="16"/>
          <w:szCs w:val="16"/>
        </w:rPr>
        <w:t>daño irreparable</w:t>
      </w:r>
      <w:r w:rsidRPr="00A61A25">
        <w:rPr>
          <w:rFonts w:ascii="Arial" w:hAnsi="Arial" w:cs="Arial"/>
          <w:sz w:val="16"/>
          <w:szCs w:val="16"/>
        </w:rPr>
        <w:t>, entendiendo por éste, el perjuicio que se puede ocasionar a los administrados de no disponerse la medida cautelar solicitada. Ver Resolución 0820-2021/SPC-INDECOPI de fecha 14 de abril de 2021.</w:t>
      </w:r>
    </w:p>
    <w:p w14:paraId="28C14919" w14:textId="77777777" w:rsidR="000408B2" w:rsidRPr="00A61A25" w:rsidRDefault="000408B2" w:rsidP="00A61A25">
      <w:pPr>
        <w:ind w:left="570" w:hanging="570"/>
        <w:contextualSpacing/>
        <w:jc w:val="both"/>
        <w:rPr>
          <w:rFonts w:ascii="Arial" w:hAnsi="Arial" w:cs="Arial"/>
          <w:sz w:val="16"/>
          <w:szCs w:val="16"/>
        </w:rPr>
      </w:pPr>
      <w:r w:rsidRPr="00A61A25">
        <w:rPr>
          <w:rFonts w:ascii="Arial" w:hAnsi="Arial" w:cs="Arial"/>
          <w:sz w:val="16"/>
          <w:szCs w:val="16"/>
        </w:rPr>
        <w:t xml:space="preserve"> </w:t>
      </w:r>
    </w:p>
  </w:footnote>
  <w:footnote w:id="9">
    <w:p w14:paraId="1A1E11B6"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7</w:t>
      </w:r>
      <w:r w:rsidRPr="00A61A25">
        <w:rPr>
          <w:rFonts w:ascii="Arial" w:hAnsi="Arial" w:cs="Arial"/>
          <w:sz w:val="16"/>
          <w:szCs w:val="16"/>
        </w:rPr>
        <w:t xml:space="preserve"> </w:t>
      </w:r>
      <w:r w:rsidRPr="00A61A25">
        <w:rPr>
          <w:rFonts w:ascii="Arial" w:hAnsi="Arial" w:cs="Arial"/>
          <w:sz w:val="16"/>
          <w:szCs w:val="16"/>
        </w:rPr>
        <w:tab/>
        <w:t xml:space="preserve">La necesidad de la adecuación como un tercer presupuesto de la medida cautelar se justifica plenamente en la existencia de dos premisas fundamentales que inspiran la tutela cautelar y que son señaladas en este pasaje por la doctrina nacional: </w:t>
      </w:r>
      <w:r w:rsidRPr="00A61A25">
        <w:rPr>
          <w:rFonts w:ascii="Arial" w:hAnsi="Arial" w:cs="Arial"/>
          <w:i/>
          <w:sz w:val="16"/>
          <w:szCs w:val="16"/>
        </w:rPr>
        <w:t>“Con estas dos premisas: a)mantener la igualdad en el proceso, y b) evitar perjuicios innecesarios, por medio de la represión de actos ilegítimos o que impliquen un abuso del derecho procesal, es que consideramos que pueden ser perfilados los lineamientos de un nuevo presupuesto cautelar que debe estar presente junto con los otros dos ya ampliamente conocidos y estudiados por la doctrina. Se trata de la adecuación, es decir, de la necesidad de que se otorguen medidas cautelares que sean congruentes y proporcionales con, precisamente, el objeto que es materia de esta tutela de aseguración.”</w:t>
      </w:r>
      <w:r w:rsidRPr="00A61A25">
        <w:rPr>
          <w:rFonts w:ascii="Arial" w:hAnsi="Arial" w:cs="Arial"/>
          <w:sz w:val="16"/>
          <w:szCs w:val="16"/>
        </w:rPr>
        <w:t xml:space="preserve"> (MONROY PALACIOS, Juan. </w:t>
      </w:r>
      <w:r w:rsidRPr="00A61A25">
        <w:rPr>
          <w:rFonts w:ascii="Arial" w:hAnsi="Arial" w:cs="Arial"/>
          <w:i/>
          <w:sz w:val="16"/>
          <w:szCs w:val="16"/>
        </w:rPr>
        <w:t xml:space="preserve">Bases para la formación de una teoría cautelar. </w:t>
      </w:r>
      <w:r w:rsidRPr="00A61A25">
        <w:rPr>
          <w:rFonts w:ascii="Arial" w:hAnsi="Arial" w:cs="Arial"/>
          <w:sz w:val="16"/>
          <w:szCs w:val="16"/>
        </w:rPr>
        <w:t>Lima: Comunidad, 2002, p. 189).</w:t>
      </w:r>
    </w:p>
    <w:p w14:paraId="0E9A2D7D" w14:textId="77777777" w:rsidR="000408B2" w:rsidRPr="00A61A25" w:rsidRDefault="000408B2" w:rsidP="00A61A25">
      <w:pPr>
        <w:ind w:left="570" w:hanging="570"/>
        <w:contextualSpacing/>
        <w:jc w:val="both"/>
        <w:rPr>
          <w:rFonts w:ascii="Arial" w:hAnsi="Arial" w:cs="Arial"/>
          <w:sz w:val="16"/>
          <w:szCs w:val="16"/>
        </w:rPr>
      </w:pPr>
    </w:p>
  </w:footnote>
  <w:footnote w:id="10">
    <w:p w14:paraId="4BCFDAFE" w14:textId="77777777" w:rsidR="000408B2" w:rsidRPr="00A61A25" w:rsidRDefault="000408B2" w:rsidP="00A61A25">
      <w:pPr>
        <w:ind w:left="570" w:hanging="570"/>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8</w:t>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i/>
          <w:sz w:val="16"/>
          <w:szCs w:val="16"/>
        </w:rPr>
        <w:t>“Esta relación de idoneidad que supone la adecuación, determina “la necesidad de que se otorguen medidas cautelares que sean congruentes y proporcionales con, precisamente, el objeto que es materia de esta tutela de aseguración”. El hecho de que la medida cautelar sea congruente con la pretensión planteada, supone que exista una “correlación lógica que necesariamente deberá establecerse entre la cautelar concedida y el objeto de la tutela”. Proporcional quiere decir que el sacrificio que supone la concesión de una medida cautelar sea el necesario para lograr la garantía de efectividad que se requiere con la medida cautelar obtenida.”</w:t>
      </w:r>
      <w:r w:rsidRPr="00A61A25">
        <w:rPr>
          <w:rFonts w:ascii="Arial" w:hAnsi="Arial" w:cs="Arial"/>
          <w:sz w:val="16"/>
          <w:szCs w:val="16"/>
        </w:rPr>
        <w:t xml:space="preserve"> (PRIORI POSADA, Giovanni. </w:t>
      </w:r>
      <w:proofErr w:type="spellStart"/>
      <w:r w:rsidRPr="00A61A25">
        <w:rPr>
          <w:rFonts w:ascii="Arial" w:hAnsi="Arial" w:cs="Arial"/>
          <w:i/>
          <w:sz w:val="16"/>
          <w:szCs w:val="16"/>
        </w:rPr>
        <w:t>Op</w:t>
      </w:r>
      <w:proofErr w:type="spellEnd"/>
      <w:r w:rsidRPr="00A61A25">
        <w:rPr>
          <w:rFonts w:ascii="Arial" w:hAnsi="Arial" w:cs="Arial"/>
          <w:i/>
          <w:sz w:val="16"/>
          <w:szCs w:val="16"/>
        </w:rPr>
        <w:t xml:space="preserve">. cit., </w:t>
      </w:r>
      <w:r w:rsidRPr="00A61A25">
        <w:rPr>
          <w:rFonts w:ascii="Arial" w:hAnsi="Arial" w:cs="Arial"/>
          <w:sz w:val="16"/>
          <w:szCs w:val="16"/>
        </w:rPr>
        <w:t>p. 87).</w:t>
      </w:r>
    </w:p>
    <w:p w14:paraId="0011202A" w14:textId="77777777" w:rsidR="000408B2" w:rsidRPr="00A61A25" w:rsidRDefault="000408B2" w:rsidP="00A61A25">
      <w:pPr>
        <w:ind w:left="570" w:hanging="570"/>
        <w:contextualSpacing/>
        <w:jc w:val="both"/>
        <w:rPr>
          <w:rFonts w:ascii="Arial" w:hAnsi="Arial" w:cs="Arial"/>
          <w:sz w:val="16"/>
          <w:szCs w:val="16"/>
        </w:rPr>
      </w:pPr>
    </w:p>
  </w:footnote>
  <w:footnote w:id="11">
    <w:p w14:paraId="2C0B8F3A" w14:textId="77777777" w:rsidR="000408B2" w:rsidRPr="00A61A25" w:rsidRDefault="000408B2" w:rsidP="00A61A25">
      <w:pPr>
        <w:ind w:left="577" w:hanging="571"/>
        <w:contextualSpacing/>
        <w:jc w:val="both"/>
        <w:rPr>
          <w:rFonts w:ascii="Arial" w:hAnsi="Arial" w:cs="Arial"/>
          <w:sz w:val="16"/>
          <w:szCs w:val="16"/>
        </w:rPr>
      </w:pPr>
      <w:r w:rsidRPr="00A61A25">
        <w:rPr>
          <w:rStyle w:val="Refdenotaalpie"/>
          <w:rFonts w:ascii="Arial" w:eastAsiaTheme="minorHAnsi" w:hAnsi="Arial" w:cs="Arial"/>
          <w:sz w:val="16"/>
          <w:szCs w:val="16"/>
          <w:lang w:eastAsia="en-US"/>
        </w:rPr>
        <w:t>9</w:t>
      </w:r>
      <w:r w:rsidRPr="00A61A25">
        <w:rPr>
          <w:rFonts w:ascii="Arial" w:hAnsi="Arial" w:cs="Arial"/>
          <w:sz w:val="16"/>
          <w:szCs w:val="16"/>
        </w:rPr>
        <w:t xml:space="preserve"> </w:t>
      </w:r>
      <w:r w:rsidRPr="00A61A25">
        <w:rPr>
          <w:rFonts w:ascii="Arial" w:hAnsi="Arial" w:cs="Arial"/>
          <w:sz w:val="16"/>
          <w:szCs w:val="16"/>
        </w:rPr>
        <w:tab/>
        <w:t xml:space="preserve">Sentencia del Tribunal Constitucional recaída en el Expediente </w:t>
      </w:r>
      <w:proofErr w:type="spellStart"/>
      <w:r w:rsidRPr="00A61A25">
        <w:rPr>
          <w:rFonts w:ascii="Arial" w:hAnsi="Arial" w:cs="Arial"/>
          <w:sz w:val="16"/>
          <w:szCs w:val="16"/>
        </w:rPr>
        <w:t>N°</w:t>
      </w:r>
      <w:proofErr w:type="spellEnd"/>
      <w:r w:rsidRPr="00A61A25">
        <w:rPr>
          <w:rFonts w:ascii="Arial" w:hAnsi="Arial" w:cs="Arial"/>
          <w:sz w:val="16"/>
          <w:szCs w:val="16"/>
        </w:rPr>
        <w:t xml:space="preserve"> 1209-2006-PA/TC (Caso Compañía Cervecera </w:t>
      </w:r>
      <w:proofErr w:type="spellStart"/>
      <w:r w:rsidRPr="00A61A25">
        <w:rPr>
          <w:rFonts w:ascii="Arial" w:hAnsi="Arial" w:cs="Arial"/>
          <w:sz w:val="16"/>
          <w:szCs w:val="16"/>
        </w:rPr>
        <w:t>Ambev</w:t>
      </w:r>
      <w:proofErr w:type="spellEnd"/>
      <w:r w:rsidRPr="00A61A25">
        <w:rPr>
          <w:rFonts w:ascii="Arial" w:hAnsi="Arial" w:cs="Arial"/>
          <w:sz w:val="16"/>
          <w:szCs w:val="16"/>
        </w:rPr>
        <w:t xml:space="preserve"> Perú S.A.C.).</w:t>
      </w:r>
    </w:p>
  </w:footnote>
  <w:footnote w:id="12">
    <w:p w14:paraId="0501428C" w14:textId="77777777" w:rsidR="00D752FA" w:rsidRPr="00A61A25" w:rsidRDefault="00D752FA" w:rsidP="00A61A25">
      <w:pPr>
        <w:ind w:left="577" w:hanging="570"/>
        <w:jc w:val="both"/>
        <w:rPr>
          <w:rFonts w:ascii="Arial" w:hAnsi="Arial" w:cs="Arial"/>
          <w:sz w:val="16"/>
          <w:szCs w:val="16"/>
        </w:rPr>
      </w:pPr>
      <w:r w:rsidRPr="00A61A25">
        <w:rPr>
          <w:rFonts w:ascii="Arial" w:hAnsi="Arial" w:cs="Arial"/>
          <w:sz w:val="16"/>
          <w:szCs w:val="16"/>
          <w:vertAlign w:val="superscript"/>
        </w:rPr>
        <w:footnoteRef/>
      </w:r>
      <w:r w:rsidRPr="00A61A25">
        <w:rPr>
          <w:rFonts w:ascii="Arial" w:hAnsi="Arial" w:cs="Arial"/>
          <w:sz w:val="16"/>
          <w:szCs w:val="16"/>
        </w:rPr>
        <w:t xml:space="preserve"> </w:t>
      </w:r>
      <w:r w:rsidRPr="00A61A25">
        <w:rPr>
          <w:rFonts w:ascii="Arial" w:hAnsi="Arial" w:cs="Arial"/>
          <w:sz w:val="16"/>
          <w:szCs w:val="16"/>
        </w:rPr>
        <w:tab/>
        <w:t>Ver Resolución 1860­-2014/SPC-­INDECOPI del 5 de junio de 2014 recaída en el procedimiento iniciado por el señor Mario Francisco Saldaña Castro contra Banco Ripley Perú S.A.</w:t>
      </w:r>
    </w:p>
    <w:p w14:paraId="1C629ED2" w14:textId="77777777" w:rsidR="00D752FA" w:rsidRPr="00A61A25" w:rsidRDefault="00D752FA" w:rsidP="00A61A25">
      <w:pPr>
        <w:ind w:left="577" w:hanging="570"/>
        <w:jc w:val="both"/>
        <w:rPr>
          <w:rFonts w:ascii="Arial" w:hAnsi="Arial" w:cs="Arial"/>
          <w:sz w:val="16"/>
          <w:szCs w:val="16"/>
        </w:rPr>
      </w:pPr>
    </w:p>
  </w:footnote>
  <w:footnote w:id="13">
    <w:p w14:paraId="0E73AD57" w14:textId="77777777" w:rsidR="00D752FA" w:rsidRPr="00A61A25" w:rsidRDefault="00D752FA" w:rsidP="00A61A25">
      <w:pPr>
        <w:ind w:left="570" w:hanging="570"/>
        <w:jc w:val="both"/>
        <w:rPr>
          <w:rFonts w:ascii="Arial" w:hAnsi="Arial" w:cs="Arial"/>
          <w:sz w:val="16"/>
          <w:szCs w:val="16"/>
        </w:rPr>
      </w:pPr>
      <w:r w:rsidRPr="00A61A25">
        <w:rPr>
          <w:rFonts w:ascii="Arial" w:hAnsi="Arial" w:cs="Arial"/>
          <w:sz w:val="16"/>
          <w:szCs w:val="16"/>
          <w:vertAlign w:val="superscript"/>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CÓDIGO PROCESAL CIVIL, publicado el 22 de abril de 1993</w:t>
      </w:r>
    </w:p>
    <w:p w14:paraId="06CDAE49" w14:textId="77777777" w:rsidR="00D752FA" w:rsidRPr="00A61A25" w:rsidRDefault="00D752FA" w:rsidP="00A61A25">
      <w:pPr>
        <w:ind w:firstLine="570"/>
        <w:jc w:val="both"/>
        <w:rPr>
          <w:rFonts w:ascii="Arial" w:hAnsi="Arial" w:cs="Arial"/>
          <w:sz w:val="16"/>
          <w:szCs w:val="16"/>
        </w:rPr>
      </w:pPr>
      <w:r w:rsidRPr="00A61A25">
        <w:rPr>
          <w:rFonts w:ascii="Arial" w:hAnsi="Arial" w:cs="Arial"/>
          <w:b/>
          <w:sz w:val="16"/>
          <w:szCs w:val="16"/>
        </w:rPr>
        <w:t>Artículo 612.- Características de la medida cautelar</w:t>
      </w:r>
    </w:p>
    <w:p w14:paraId="1BA3EB88" w14:textId="77777777" w:rsidR="00D752FA" w:rsidRPr="00A61A25" w:rsidRDefault="00D752FA" w:rsidP="00A61A25">
      <w:pPr>
        <w:ind w:firstLine="570"/>
        <w:jc w:val="both"/>
        <w:rPr>
          <w:rFonts w:ascii="Arial" w:hAnsi="Arial" w:cs="Arial"/>
          <w:sz w:val="16"/>
          <w:szCs w:val="16"/>
        </w:rPr>
      </w:pPr>
      <w:r w:rsidRPr="00A61A25">
        <w:rPr>
          <w:rFonts w:ascii="Arial" w:hAnsi="Arial" w:cs="Arial"/>
          <w:sz w:val="16"/>
          <w:szCs w:val="16"/>
        </w:rPr>
        <w:t>Toda medida cautelar importa un prejuzgamiento y es provisoria, instrumental y variable.</w:t>
      </w:r>
    </w:p>
  </w:footnote>
  <w:footnote w:id="14">
    <w:p w14:paraId="06B36C61" w14:textId="32459747" w:rsidR="00E62003" w:rsidRPr="00E62003" w:rsidRDefault="00E62003" w:rsidP="00E62003">
      <w:pPr>
        <w:ind w:left="567" w:hanging="567"/>
        <w:jc w:val="both"/>
        <w:rPr>
          <w:rFonts w:ascii="Arial" w:eastAsia="Arial" w:hAnsi="Arial" w:cs="Arial"/>
          <w:b/>
          <w:bCs/>
          <w:sz w:val="16"/>
          <w:szCs w:val="16"/>
        </w:rPr>
      </w:pPr>
      <w:r w:rsidRPr="00E62003">
        <w:rPr>
          <w:rFonts w:ascii="Arial" w:eastAsia="Arial" w:hAnsi="Arial" w:cs="Arial"/>
          <w:sz w:val="16"/>
          <w:szCs w:val="16"/>
          <w:vertAlign w:val="superscript"/>
        </w:rPr>
        <w:footnoteRef/>
      </w:r>
      <w:r w:rsidRPr="00E62003">
        <w:rPr>
          <w:rFonts w:ascii="Arial" w:eastAsia="Arial" w:hAnsi="Arial" w:cs="Arial"/>
          <w:sz w:val="16"/>
          <w:szCs w:val="16"/>
        </w:rPr>
        <w:t xml:space="preserve"> </w:t>
      </w:r>
      <w:r>
        <w:rPr>
          <w:rFonts w:ascii="Arial" w:eastAsia="Arial" w:hAnsi="Arial" w:cs="Arial"/>
          <w:sz w:val="16"/>
          <w:szCs w:val="16"/>
        </w:rPr>
        <w:tab/>
      </w:r>
      <w:r w:rsidRPr="00E62003">
        <w:rPr>
          <w:rFonts w:ascii="Arial" w:eastAsia="Arial" w:hAnsi="Arial" w:cs="Arial"/>
          <w:b/>
          <w:bCs/>
          <w:sz w:val="16"/>
          <w:szCs w:val="16"/>
        </w:rPr>
        <w:t xml:space="preserve">LEY 29571, CÓDIGO DE PROTECCIÓN Y DEFENSA DEL CONSUMIDOR, publicada el 2 de setiembre de 2010 y modificado por Decreto Legislativo </w:t>
      </w:r>
      <w:proofErr w:type="spellStart"/>
      <w:r w:rsidRPr="00E62003">
        <w:rPr>
          <w:rFonts w:ascii="Arial" w:eastAsia="Arial" w:hAnsi="Arial" w:cs="Arial"/>
          <w:b/>
          <w:bCs/>
          <w:sz w:val="16"/>
          <w:szCs w:val="16"/>
        </w:rPr>
        <w:t>N°</w:t>
      </w:r>
      <w:proofErr w:type="spellEnd"/>
      <w:r w:rsidRPr="00E62003">
        <w:rPr>
          <w:rFonts w:ascii="Arial" w:eastAsia="Arial" w:hAnsi="Arial" w:cs="Arial"/>
          <w:b/>
          <w:bCs/>
          <w:sz w:val="16"/>
          <w:szCs w:val="16"/>
        </w:rPr>
        <w:t xml:space="preserve"> 1308</w:t>
      </w:r>
    </w:p>
    <w:p w14:paraId="2C518813" w14:textId="77777777" w:rsidR="00E62003" w:rsidRPr="00E62003" w:rsidRDefault="00E62003" w:rsidP="00E62003">
      <w:pPr>
        <w:ind w:firstLine="567"/>
        <w:jc w:val="both"/>
        <w:rPr>
          <w:rFonts w:ascii="Arial" w:eastAsia="Arial" w:hAnsi="Arial" w:cs="Arial"/>
          <w:b/>
          <w:bCs/>
          <w:sz w:val="16"/>
          <w:szCs w:val="16"/>
        </w:rPr>
      </w:pPr>
      <w:r w:rsidRPr="00E62003">
        <w:rPr>
          <w:rFonts w:ascii="Arial" w:eastAsia="Arial" w:hAnsi="Arial" w:cs="Arial"/>
          <w:b/>
          <w:bCs/>
          <w:sz w:val="16"/>
          <w:szCs w:val="16"/>
        </w:rPr>
        <w:t>DISPOSICIONES COMPLEMENTARIAS MODIFICATORIAS</w:t>
      </w:r>
    </w:p>
    <w:p w14:paraId="4EDE1BA4" w14:textId="77777777" w:rsidR="00E62003" w:rsidRPr="00E62003" w:rsidRDefault="00E62003" w:rsidP="00E62003">
      <w:pPr>
        <w:ind w:firstLine="567"/>
        <w:jc w:val="both"/>
        <w:rPr>
          <w:rFonts w:ascii="Arial" w:eastAsia="Arial" w:hAnsi="Arial" w:cs="Arial"/>
          <w:b/>
          <w:bCs/>
          <w:sz w:val="16"/>
          <w:szCs w:val="16"/>
        </w:rPr>
      </w:pPr>
      <w:proofErr w:type="gramStart"/>
      <w:r w:rsidRPr="00E62003">
        <w:rPr>
          <w:rFonts w:ascii="Arial" w:eastAsia="Arial" w:hAnsi="Arial" w:cs="Arial"/>
          <w:b/>
          <w:bCs/>
          <w:sz w:val="16"/>
          <w:szCs w:val="16"/>
        </w:rPr>
        <w:t>PRIMERA.-</w:t>
      </w:r>
      <w:proofErr w:type="gramEnd"/>
      <w:r w:rsidRPr="00E62003">
        <w:rPr>
          <w:rFonts w:ascii="Arial" w:eastAsia="Arial" w:hAnsi="Arial" w:cs="Arial"/>
          <w:b/>
          <w:bCs/>
          <w:sz w:val="16"/>
          <w:szCs w:val="16"/>
        </w:rPr>
        <w:t xml:space="preserve"> Modificación del artículo 38º del Decreto Legislativo núm. 807</w:t>
      </w:r>
    </w:p>
    <w:p w14:paraId="39D73B25" w14:textId="77777777" w:rsidR="00E62003" w:rsidRPr="00E62003" w:rsidRDefault="00E62003" w:rsidP="00E62003">
      <w:pPr>
        <w:ind w:left="567"/>
        <w:jc w:val="both"/>
        <w:rPr>
          <w:rFonts w:ascii="Arial" w:eastAsia="Arial" w:hAnsi="Arial" w:cs="Arial"/>
          <w:sz w:val="16"/>
          <w:szCs w:val="16"/>
        </w:rPr>
      </w:pPr>
      <w:r w:rsidRPr="00E62003">
        <w:rPr>
          <w:rFonts w:ascii="Arial" w:eastAsia="Arial" w:hAnsi="Arial" w:cs="Arial"/>
          <w:sz w:val="16"/>
          <w:szCs w:val="16"/>
        </w:rPr>
        <w:t>Modificase el artículo 38º del Decreto Legislativo núm. 807, Ley sobre Facultades, Normas y Organización del Indecopi, con el siguiente texto:</w:t>
      </w:r>
    </w:p>
    <w:p w14:paraId="1104C8BF" w14:textId="77777777" w:rsidR="00E62003" w:rsidRPr="00E62003" w:rsidRDefault="00E62003" w:rsidP="00E62003">
      <w:pPr>
        <w:ind w:left="567"/>
        <w:jc w:val="both"/>
        <w:rPr>
          <w:rFonts w:ascii="Arial" w:eastAsia="Arial" w:hAnsi="Arial" w:cs="Arial"/>
          <w:sz w:val="16"/>
          <w:szCs w:val="16"/>
        </w:rPr>
      </w:pPr>
      <w:r w:rsidRPr="00E62003">
        <w:rPr>
          <w:rFonts w:ascii="Arial" w:eastAsia="Arial" w:hAnsi="Arial" w:cs="Arial"/>
          <w:b/>
          <w:bCs/>
          <w:sz w:val="16"/>
          <w:szCs w:val="16"/>
        </w:rPr>
        <w:t>“Artículo 38.-</w:t>
      </w:r>
      <w:r w:rsidRPr="00E62003">
        <w:rPr>
          <w:rFonts w:ascii="Arial" w:eastAsia="Arial" w:hAnsi="Arial" w:cs="Arial"/>
          <w:sz w:val="16"/>
          <w:szCs w:val="16"/>
        </w:rPr>
        <w:t xml:space="preserve">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7F95F3BE" w14:textId="77777777" w:rsidR="00E62003" w:rsidRDefault="00E62003" w:rsidP="00E62003"/>
  </w:footnote>
  <w:footnote w:id="15">
    <w:p w14:paraId="36B4AE3E" w14:textId="5794A4E6" w:rsidR="00E62003" w:rsidRDefault="00E62003" w:rsidP="00E62003">
      <w:pPr>
        <w:ind w:left="567" w:hanging="567"/>
        <w:jc w:val="both"/>
      </w:pPr>
      <w:r w:rsidRPr="00E62003">
        <w:rPr>
          <w:rFonts w:ascii="Arial" w:eastAsia="Arial" w:hAnsi="Arial" w:cs="Arial"/>
          <w:sz w:val="16"/>
          <w:szCs w:val="16"/>
          <w:vertAlign w:val="superscript"/>
        </w:rPr>
        <w:footnoteRef/>
      </w:r>
      <w:r w:rsidRPr="00E62003">
        <w:rPr>
          <w:vertAlign w:val="superscript"/>
        </w:rPr>
        <w:t xml:space="preserve"> </w:t>
      </w:r>
      <w:r>
        <w:tab/>
      </w:r>
      <w:r w:rsidRPr="26EB425B">
        <w:rPr>
          <w:rFonts w:ascii="Arial" w:eastAsia="Arial" w:hAnsi="Arial" w:cs="Arial"/>
          <w:b/>
          <w:bCs/>
          <w:sz w:val="16"/>
          <w:szCs w:val="16"/>
        </w:rPr>
        <w:t xml:space="preserve">DECRETO SUPREMO </w:t>
      </w:r>
      <w:proofErr w:type="spellStart"/>
      <w:r w:rsidRPr="26EB425B">
        <w:rPr>
          <w:rFonts w:ascii="Arial" w:eastAsia="Arial" w:hAnsi="Arial" w:cs="Arial"/>
          <w:b/>
          <w:bCs/>
          <w:sz w:val="16"/>
          <w:szCs w:val="16"/>
        </w:rPr>
        <w:t>N°</w:t>
      </w:r>
      <w:proofErr w:type="spellEnd"/>
      <w:r w:rsidRPr="26EB425B">
        <w:rPr>
          <w:rFonts w:ascii="Arial" w:eastAsia="Arial" w:hAnsi="Arial" w:cs="Arial"/>
          <w:b/>
          <w:bCs/>
          <w:sz w:val="16"/>
          <w:szCs w:val="16"/>
        </w:rPr>
        <w:t xml:space="preserve"> 004-2019-JUS, TEXTO ÚNICO ORDENADO DE LA LEY DEL PROCEDIMIENTO ADMINISTRATIVO GENERAL, publicado el 25 de enero de 2019 </w:t>
      </w:r>
    </w:p>
    <w:p w14:paraId="4C8D61DB" w14:textId="77777777" w:rsidR="00E62003" w:rsidRDefault="00E62003" w:rsidP="00E62003">
      <w:pPr>
        <w:ind w:left="567"/>
        <w:jc w:val="both"/>
      </w:pPr>
      <w:r w:rsidRPr="26EB425B">
        <w:rPr>
          <w:rFonts w:ascii="Arial" w:eastAsia="Arial" w:hAnsi="Arial" w:cs="Arial"/>
          <w:b/>
          <w:bCs/>
          <w:sz w:val="16"/>
          <w:szCs w:val="16"/>
        </w:rPr>
        <w:t xml:space="preserve">Artículo 218. Recursos administrativos </w:t>
      </w:r>
    </w:p>
    <w:p w14:paraId="66EFE686" w14:textId="77777777" w:rsidR="00E62003" w:rsidRDefault="00E62003" w:rsidP="00E62003">
      <w:pPr>
        <w:ind w:left="567"/>
        <w:jc w:val="both"/>
      </w:pPr>
      <w:r w:rsidRPr="26EB425B">
        <w:rPr>
          <w:rFonts w:ascii="Arial" w:eastAsia="Arial" w:hAnsi="Arial" w:cs="Arial"/>
          <w:sz w:val="16"/>
          <w:szCs w:val="16"/>
        </w:rPr>
        <w:t xml:space="preserve">218.1 Los recursos administrativos son: (…) </w:t>
      </w:r>
    </w:p>
    <w:p w14:paraId="1C6B85F6" w14:textId="77777777" w:rsidR="00E62003" w:rsidRDefault="00E62003" w:rsidP="00E62003">
      <w:pPr>
        <w:ind w:left="567"/>
        <w:jc w:val="both"/>
      </w:pPr>
      <w:r w:rsidRPr="26EB425B">
        <w:rPr>
          <w:rFonts w:ascii="Arial" w:eastAsia="Arial" w:hAnsi="Arial" w:cs="Arial"/>
          <w:sz w:val="16"/>
          <w:szCs w:val="16"/>
        </w:rPr>
        <w:t xml:space="preserve">b) Recurso de apelación (…) </w:t>
      </w:r>
    </w:p>
    <w:p w14:paraId="63FEFBB1" w14:textId="77777777" w:rsidR="00E62003" w:rsidRDefault="00E62003" w:rsidP="00E62003">
      <w:pPr>
        <w:ind w:left="567"/>
        <w:jc w:val="both"/>
      </w:pPr>
      <w:r w:rsidRPr="26EB425B">
        <w:rPr>
          <w:rFonts w:ascii="Arial" w:eastAsia="Arial" w:hAnsi="Arial" w:cs="Arial"/>
          <w:sz w:val="16"/>
          <w:szCs w:val="16"/>
        </w:rPr>
        <w:t>218.2 El término para la interposición de los recursos es de quince (15) días perentorios (…)</w:t>
      </w:r>
    </w:p>
    <w:p w14:paraId="480AA086" w14:textId="77777777" w:rsidR="00E62003" w:rsidRDefault="00E62003" w:rsidP="00E62003"/>
  </w:footnote>
  <w:footnote w:id="16">
    <w:p w14:paraId="437099A3" w14:textId="77777777" w:rsidR="00D51743" w:rsidRPr="00A61A25" w:rsidRDefault="00D51743" w:rsidP="00A61A25">
      <w:pPr>
        <w:widowControl w:val="0"/>
        <w:ind w:left="567" w:hanging="567"/>
        <w:jc w:val="both"/>
        <w:rPr>
          <w:rFonts w:ascii="Arial" w:hAnsi="Arial" w:cs="Arial"/>
          <w:b/>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LEY 29571, CÓDIGO DE PROTECCIÓN Y DEFENSA DEL CONSUMIDOR, publicada el 2 de setiembre de 2010 y modificada por el Decreto Legislativo 1308, publicado el 30 de diciembre de 2016</w:t>
      </w:r>
    </w:p>
    <w:p w14:paraId="51C2E1AC" w14:textId="77777777" w:rsidR="00D51743" w:rsidRPr="00A61A25" w:rsidRDefault="00D51743" w:rsidP="00A61A25">
      <w:pPr>
        <w:widowControl w:val="0"/>
        <w:ind w:left="567"/>
        <w:jc w:val="both"/>
        <w:rPr>
          <w:rFonts w:ascii="Arial" w:hAnsi="Arial" w:cs="Arial"/>
          <w:sz w:val="16"/>
          <w:szCs w:val="16"/>
        </w:rPr>
      </w:pPr>
      <w:r w:rsidRPr="00A61A25">
        <w:rPr>
          <w:rFonts w:ascii="Arial" w:hAnsi="Arial" w:cs="Arial"/>
          <w:b/>
          <w:sz w:val="16"/>
          <w:szCs w:val="16"/>
        </w:rPr>
        <w:t>DISPOSICIONES COMPLEMENTARIAS MODIFICATORIAS.</w:t>
      </w:r>
    </w:p>
    <w:p w14:paraId="3C586D0F" w14:textId="77777777" w:rsidR="00D51743" w:rsidRPr="00A61A25" w:rsidRDefault="00D51743" w:rsidP="00A61A25">
      <w:pPr>
        <w:widowControl w:val="0"/>
        <w:ind w:left="567"/>
        <w:jc w:val="both"/>
        <w:rPr>
          <w:rFonts w:ascii="Arial" w:hAnsi="Arial" w:cs="Arial"/>
          <w:sz w:val="16"/>
          <w:szCs w:val="16"/>
        </w:rPr>
      </w:pPr>
      <w:r w:rsidRPr="00A61A25">
        <w:rPr>
          <w:rFonts w:ascii="Arial" w:hAnsi="Arial" w:cs="Arial"/>
          <w:b/>
          <w:sz w:val="16"/>
          <w:szCs w:val="16"/>
        </w:rPr>
        <w:t>PRIMERA. - Modificación del artículo 38º del Decreto Legislativo núm. 807</w:t>
      </w:r>
    </w:p>
    <w:p w14:paraId="275CAFAB" w14:textId="77777777" w:rsidR="00D51743" w:rsidRPr="00A61A25" w:rsidRDefault="00D51743" w:rsidP="00A61A25">
      <w:pPr>
        <w:widowControl w:val="0"/>
        <w:ind w:left="567"/>
        <w:jc w:val="both"/>
        <w:rPr>
          <w:rFonts w:ascii="Arial" w:hAnsi="Arial" w:cs="Arial"/>
          <w:sz w:val="16"/>
          <w:szCs w:val="16"/>
        </w:rPr>
      </w:pPr>
      <w:r w:rsidRPr="00A61A25">
        <w:rPr>
          <w:rFonts w:ascii="Arial" w:hAnsi="Arial" w:cs="Arial"/>
          <w:sz w:val="16"/>
          <w:szCs w:val="16"/>
        </w:rPr>
        <w:t>Modificase el artículo 38º del Decreto Legislativo núm. 807, Ley sobre Facultades, Normas y Organización del Indecopi, con el siguiente texto:</w:t>
      </w:r>
    </w:p>
    <w:p w14:paraId="29CBF715" w14:textId="77777777" w:rsidR="00D51743" w:rsidRPr="00A61A25" w:rsidRDefault="00D51743" w:rsidP="00A61A25">
      <w:pPr>
        <w:widowControl w:val="0"/>
        <w:ind w:left="567"/>
        <w:jc w:val="both"/>
        <w:rPr>
          <w:rFonts w:ascii="Arial" w:hAnsi="Arial" w:cs="Arial"/>
          <w:sz w:val="16"/>
          <w:szCs w:val="16"/>
        </w:rPr>
      </w:pPr>
      <w:r w:rsidRPr="00A61A25">
        <w:rPr>
          <w:rFonts w:ascii="Arial" w:hAnsi="Arial" w:cs="Arial"/>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0F50C6C9" w14:textId="10D2B0CE" w:rsidR="00D51743" w:rsidRPr="00A61A25" w:rsidRDefault="00D51743" w:rsidP="00A61A25">
      <w:pPr>
        <w:pStyle w:val="Textonotapie"/>
        <w:ind w:left="567" w:hanging="567"/>
        <w:jc w:val="both"/>
        <w:rPr>
          <w:rFonts w:ascii="Arial" w:hAnsi="Arial" w:cs="Arial"/>
          <w:sz w:val="16"/>
          <w:szCs w:val="16"/>
          <w:lang w:val="es-PE"/>
        </w:rPr>
      </w:pPr>
    </w:p>
  </w:footnote>
  <w:footnote w:id="17">
    <w:p w14:paraId="3B390619" w14:textId="77777777" w:rsidR="00D51743" w:rsidRPr="00A61A25" w:rsidRDefault="00D51743" w:rsidP="00A61A25">
      <w:pPr>
        <w:ind w:left="567" w:hanging="582"/>
        <w:jc w:val="both"/>
        <w:rPr>
          <w:rFonts w:ascii="Arial" w:hAnsi="Arial" w:cs="Arial"/>
          <w:b/>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 xml:space="preserve">DECRETO SUPREMO </w:t>
      </w:r>
      <w:proofErr w:type="spellStart"/>
      <w:r w:rsidRPr="00A61A25">
        <w:rPr>
          <w:rFonts w:ascii="Arial" w:hAnsi="Arial" w:cs="Arial"/>
          <w:b/>
          <w:sz w:val="16"/>
          <w:szCs w:val="16"/>
        </w:rPr>
        <w:t>N°</w:t>
      </w:r>
      <w:proofErr w:type="spellEnd"/>
      <w:r w:rsidRPr="00A61A25">
        <w:rPr>
          <w:rFonts w:ascii="Arial" w:hAnsi="Arial" w:cs="Arial"/>
          <w:b/>
          <w:sz w:val="16"/>
          <w:szCs w:val="16"/>
        </w:rPr>
        <w:t xml:space="preserve"> 004-2019-JUS, TEXTO ÚNICO ORDENADO DE LA LEY DEL PROCEDIMIENTO ADMINISTRATIVO GENERAL, publicado el 25 de enero de 2019</w:t>
      </w:r>
    </w:p>
    <w:p w14:paraId="15ABB88A" w14:textId="77777777" w:rsidR="00D51743" w:rsidRPr="00A61A25" w:rsidRDefault="00D51743" w:rsidP="00A61A25">
      <w:pPr>
        <w:ind w:left="567"/>
        <w:jc w:val="both"/>
        <w:rPr>
          <w:rFonts w:ascii="Arial" w:hAnsi="Arial" w:cs="Arial"/>
          <w:b/>
          <w:sz w:val="16"/>
          <w:szCs w:val="16"/>
        </w:rPr>
      </w:pPr>
      <w:r w:rsidRPr="00A61A25">
        <w:rPr>
          <w:rFonts w:ascii="Arial" w:hAnsi="Arial" w:cs="Arial"/>
          <w:b/>
          <w:sz w:val="16"/>
          <w:szCs w:val="16"/>
        </w:rPr>
        <w:t>Artículo 218.- Recursos administrativos</w:t>
      </w:r>
    </w:p>
    <w:p w14:paraId="77D3363C" w14:textId="77777777" w:rsidR="00D51743" w:rsidRPr="00A61A25" w:rsidRDefault="00D51743" w:rsidP="00A61A25">
      <w:pPr>
        <w:ind w:left="1134" w:hanging="567"/>
        <w:jc w:val="both"/>
        <w:rPr>
          <w:rFonts w:ascii="Arial" w:hAnsi="Arial" w:cs="Arial"/>
          <w:sz w:val="16"/>
          <w:szCs w:val="16"/>
        </w:rPr>
      </w:pPr>
      <w:r w:rsidRPr="00A61A25">
        <w:rPr>
          <w:rFonts w:ascii="Arial" w:hAnsi="Arial" w:cs="Arial"/>
          <w:sz w:val="16"/>
          <w:szCs w:val="16"/>
        </w:rPr>
        <w:t xml:space="preserve">218.1 </w:t>
      </w:r>
      <w:r w:rsidRPr="00A61A25">
        <w:rPr>
          <w:rFonts w:ascii="Arial" w:hAnsi="Arial" w:cs="Arial"/>
          <w:sz w:val="16"/>
          <w:szCs w:val="16"/>
        </w:rPr>
        <w:tab/>
        <w:t>Los recursos administrativos son:</w:t>
      </w:r>
    </w:p>
    <w:p w14:paraId="7CD48D29" w14:textId="77777777" w:rsidR="00D51743" w:rsidRPr="00A61A25" w:rsidRDefault="00D51743" w:rsidP="00A61A25">
      <w:pPr>
        <w:ind w:left="1418" w:hanging="284"/>
        <w:jc w:val="both"/>
        <w:rPr>
          <w:rFonts w:ascii="Arial" w:hAnsi="Arial" w:cs="Arial"/>
          <w:sz w:val="16"/>
          <w:szCs w:val="16"/>
        </w:rPr>
      </w:pPr>
      <w:r w:rsidRPr="00A61A25">
        <w:rPr>
          <w:rFonts w:ascii="Arial" w:hAnsi="Arial" w:cs="Arial"/>
          <w:sz w:val="16"/>
          <w:szCs w:val="16"/>
        </w:rPr>
        <w:t>(…)</w:t>
      </w:r>
    </w:p>
    <w:p w14:paraId="0138575C" w14:textId="77777777" w:rsidR="00D51743" w:rsidRPr="00A61A25" w:rsidRDefault="00D51743" w:rsidP="00A61A25">
      <w:pPr>
        <w:ind w:left="1418" w:hanging="284"/>
        <w:jc w:val="both"/>
        <w:rPr>
          <w:rFonts w:ascii="Arial" w:hAnsi="Arial" w:cs="Arial"/>
          <w:sz w:val="16"/>
          <w:szCs w:val="16"/>
        </w:rPr>
      </w:pPr>
      <w:r w:rsidRPr="00A61A25">
        <w:rPr>
          <w:rFonts w:ascii="Arial" w:hAnsi="Arial" w:cs="Arial"/>
          <w:sz w:val="16"/>
          <w:szCs w:val="16"/>
        </w:rPr>
        <w:t xml:space="preserve">b) </w:t>
      </w:r>
      <w:r w:rsidRPr="00A61A25">
        <w:rPr>
          <w:rFonts w:ascii="Arial" w:hAnsi="Arial" w:cs="Arial"/>
          <w:sz w:val="16"/>
          <w:szCs w:val="16"/>
        </w:rPr>
        <w:tab/>
        <w:t>Recurso de apelación</w:t>
      </w:r>
    </w:p>
    <w:p w14:paraId="697C0277" w14:textId="77777777" w:rsidR="00D51743" w:rsidRPr="00A61A25" w:rsidRDefault="00D51743" w:rsidP="00A61A25">
      <w:pPr>
        <w:ind w:left="1134" w:hanging="141"/>
        <w:jc w:val="both"/>
        <w:rPr>
          <w:rFonts w:ascii="Arial" w:hAnsi="Arial" w:cs="Arial"/>
          <w:sz w:val="16"/>
          <w:szCs w:val="16"/>
        </w:rPr>
      </w:pPr>
      <w:r w:rsidRPr="00A61A25">
        <w:rPr>
          <w:rFonts w:ascii="Arial" w:hAnsi="Arial" w:cs="Arial"/>
          <w:sz w:val="16"/>
          <w:szCs w:val="16"/>
        </w:rPr>
        <w:tab/>
        <w:t>(…)</w:t>
      </w:r>
    </w:p>
    <w:p w14:paraId="55778937" w14:textId="77777777" w:rsidR="00D51743" w:rsidRPr="00A61A25" w:rsidRDefault="00D51743" w:rsidP="00A61A25">
      <w:pPr>
        <w:ind w:left="1134" w:hanging="567"/>
        <w:jc w:val="both"/>
        <w:rPr>
          <w:rFonts w:ascii="Arial" w:hAnsi="Arial" w:cs="Arial"/>
          <w:sz w:val="16"/>
          <w:szCs w:val="16"/>
        </w:rPr>
      </w:pPr>
      <w:r w:rsidRPr="00A61A25">
        <w:rPr>
          <w:rFonts w:ascii="Arial" w:hAnsi="Arial" w:cs="Arial"/>
          <w:sz w:val="16"/>
          <w:szCs w:val="16"/>
        </w:rPr>
        <w:t xml:space="preserve">218.2 </w:t>
      </w:r>
      <w:r w:rsidRPr="00A61A25">
        <w:rPr>
          <w:rFonts w:ascii="Arial" w:hAnsi="Arial" w:cs="Arial"/>
          <w:sz w:val="16"/>
          <w:szCs w:val="16"/>
        </w:rPr>
        <w:tab/>
        <w:t>El término para la interposición de los recursos es de quince (15) días perentorios (…).</w:t>
      </w:r>
    </w:p>
    <w:p w14:paraId="234972C8" w14:textId="65D7DD31" w:rsidR="00D51743" w:rsidRPr="00A61A25" w:rsidRDefault="00D51743" w:rsidP="00A61A25">
      <w:pPr>
        <w:pStyle w:val="Textonotapie"/>
        <w:ind w:left="567" w:hanging="567"/>
        <w:jc w:val="both"/>
        <w:rPr>
          <w:rFonts w:ascii="Arial" w:hAnsi="Arial" w:cs="Arial"/>
          <w:sz w:val="16"/>
          <w:szCs w:val="16"/>
          <w:lang w:val="es-PE"/>
        </w:rPr>
      </w:pPr>
    </w:p>
  </w:footnote>
  <w:footnote w:id="18">
    <w:p w14:paraId="4E1913E6" w14:textId="77777777" w:rsidR="00D51743" w:rsidRPr="00A61A25" w:rsidRDefault="00D51743" w:rsidP="00A61A25">
      <w:pPr>
        <w:ind w:left="567" w:hanging="582"/>
        <w:jc w:val="both"/>
        <w:rPr>
          <w:rFonts w:ascii="Arial" w:hAnsi="Arial" w:cs="Arial"/>
          <w:b/>
          <w:sz w:val="16"/>
          <w:szCs w:val="16"/>
        </w:rPr>
      </w:pPr>
      <w:r w:rsidRPr="00A61A25">
        <w:rPr>
          <w:rStyle w:val="Refdenotaalpie"/>
          <w:rFonts w:ascii="Arial" w:hAnsi="Arial" w:cs="Arial"/>
          <w:sz w:val="16"/>
          <w:szCs w:val="16"/>
        </w:rPr>
        <w:footnoteRef/>
      </w:r>
      <w:r w:rsidRPr="00A61A25">
        <w:rPr>
          <w:rFonts w:ascii="Arial" w:hAnsi="Arial" w:cs="Arial"/>
          <w:sz w:val="16"/>
          <w:szCs w:val="16"/>
        </w:rPr>
        <w:t xml:space="preserve"> </w:t>
      </w:r>
      <w:r w:rsidRPr="00A61A25">
        <w:rPr>
          <w:rFonts w:ascii="Arial" w:hAnsi="Arial" w:cs="Arial"/>
          <w:sz w:val="16"/>
          <w:szCs w:val="16"/>
        </w:rPr>
        <w:tab/>
      </w:r>
      <w:r w:rsidRPr="00A61A25">
        <w:rPr>
          <w:rFonts w:ascii="Arial" w:hAnsi="Arial" w:cs="Arial"/>
          <w:b/>
          <w:sz w:val="16"/>
          <w:szCs w:val="16"/>
        </w:rPr>
        <w:t xml:space="preserve">DECRETO SUPREMO </w:t>
      </w:r>
      <w:proofErr w:type="spellStart"/>
      <w:r w:rsidRPr="00A61A25">
        <w:rPr>
          <w:rFonts w:ascii="Arial" w:hAnsi="Arial" w:cs="Arial"/>
          <w:b/>
          <w:sz w:val="16"/>
          <w:szCs w:val="16"/>
        </w:rPr>
        <w:t>N°</w:t>
      </w:r>
      <w:proofErr w:type="spellEnd"/>
      <w:r w:rsidRPr="00A61A25">
        <w:rPr>
          <w:rFonts w:ascii="Arial" w:hAnsi="Arial" w:cs="Arial"/>
          <w:b/>
          <w:sz w:val="16"/>
          <w:szCs w:val="16"/>
        </w:rPr>
        <w:t xml:space="preserve"> 004-2019-JUS, TEXTO ÚNICO ORDENADO DE LA LEY DEL PROCEDIMIENTO ADMINISTRATIVO GENERAL, publicado el 25 de enero de 2019</w:t>
      </w:r>
    </w:p>
    <w:p w14:paraId="331D4C07" w14:textId="77777777" w:rsidR="00D51743" w:rsidRPr="00A61A25" w:rsidRDefault="00D51743" w:rsidP="00A61A25">
      <w:pPr>
        <w:ind w:left="567" w:hanging="582"/>
        <w:jc w:val="both"/>
        <w:rPr>
          <w:rFonts w:ascii="Arial" w:hAnsi="Arial" w:cs="Arial"/>
          <w:b/>
          <w:bCs/>
          <w:sz w:val="16"/>
          <w:szCs w:val="16"/>
        </w:rPr>
      </w:pPr>
      <w:r w:rsidRPr="00A61A25">
        <w:rPr>
          <w:rFonts w:ascii="Arial" w:hAnsi="Arial" w:cs="Arial"/>
          <w:b/>
          <w:bCs/>
          <w:sz w:val="16"/>
          <w:szCs w:val="16"/>
        </w:rPr>
        <w:tab/>
        <w:t>Artículo 222.- Acto firme</w:t>
      </w:r>
    </w:p>
    <w:p w14:paraId="05FA6A7C" w14:textId="77777777" w:rsidR="00D51743" w:rsidRPr="00A61A25" w:rsidRDefault="00D51743" w:rsidP="00A61A25">
      <w:pPr>
        <w:ind w:left="567" w:hanging="582"/>
        <w:jc w:val="both"/>
        <w:rPr>
          <w:rFonts w:ascii="Arial" w:hAnsi="Arial" w:cs="Arial"/>
          <w:sz w:val="16"/>
          <w:szCs w:val="16"/>
        </w:rPr>
      </w:pPr>
      <w:r w:rsidRPr="00A61A25">
        <w:rPr>
          <w:rFonts w:ascii="Arial" w:hAnsi="Arial" w:cs="Arial"/>
          <w:sz w:val="16"/>
          <w:szCs w:val="16"/>
        </w:rPr>
        <w:tab/>
        <w:t>Una vez vencidos los plazos para interponer los recursos administrativos se perderá el derecho a articularlos quedando firme el acto.</w:t>
      </w:r>
    </w:p>
    <w:p w14:paraId="79D3F999" w14:textId="72D3C487" w:rsidR="00D51743" w:rsidRPr="00A61A25" w:rsidRDefault="00D51743" w:rsidP="00A61A25">
      <w:pPr>
        <w:pStyle w:val="Textonotapie"/>
        <w:ind w:left="567" w:hanging="567"/>
        <w:jc w:val="both"/>
        <w:rPr>
          <w:rFonts w:ascii="Arial" w:hAnsi="Arial" w:cs="Arial"/>
          <w:sz w:val="16"/>
          <w:szCs w:val="16"/>
          <w:lang w:val="es-P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0F9D" w14:textId="77777777" w:rsidR="00722B37" w:rsidRPr="008F6853" w:rsidRDefault="00722B37" w:rsidP="006D3D40">
    <w:pPr>
      <w:tabs>
        <w:tab w:val="left" w:pos="840"/>
        <w:tab w:val="right" w:pos="9355"/>
      </w:tabs>
      <w:rPr>
        <w:rFonts w:ascii="Arial Narrow" w:hAnsi="Arial Narrow" w:cs="Arial Narrow"/>
        <w:b/>
        <w:i/>
        <w:color w:val="000000"/>
        <w:sz w:val="15"/>
        <w:szCs w:val="15"/>
      </w:rPr>
    </w:pPr>
    <w:r>
      <w:rPr>
        <w:rFonts w:ascii="Arial Narrow" w:hAnsi="Arial Narrow" w:cs="Arial Narrow"/>
        <w:b/>
        <w:i/>
        <w:color w:val="000000"/>
        <w:sz w:val="15"/>
        <w:szCs w:val="15"/>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3739"/>
    </w:tblGrid>
    <w:tr w:rsidR="00722B37" w:rsidRPr="006D3D40" w14:paraId="5712D106" w14:textId="77777777" w:rsidTr="006C5507">
      <w:tc>
        <w:tcPr>
          <w:tcW w:w="4530" w:type="dxa"/>
        </w:tcPr>
        <w:p w14:paraId="04AFED5B" w14:textId="77777777" w:rsidR="00722B37" w:rsidRPr="006D3D40" w:rsidRDefault="00722B37" w:rsidP="006D3D40">
          <w:pPr>
            <w:tabs>
              <w:tab w:val="center" w:pos="4419"/>
              <w:tab w:val="right" w:pos="8838"/>
            </w:tabs>
            <w:jc w:val="both"/>
            <w:rPr>
              <w:rFonts w:ascii="Arial Narrow" w:eastAsia="Arial Narrow" w:hAnsi="Arial Narrow" w:cs="Arial Narrow"/>
              <w:b/>
              <w:i/>
              <w:sz w:val="15"/>
              <w:szCs w:val="15"/>
            </w:rPr>
          </w:pPr>
          <w:r w:rsidRPr="006D3D40">
            <w:rPr>
              <w:rFonts w:ascii="Arial" w:eastAsia="Arial" w:hAnsi="Arial" w:cs="Arial"/>
              <w:noProof/>
              <w:sz w:val="22"/>
              <w:szCs w:val="22"/>
            </w:rPr>
            <w:drawing>
              <wp:inline distT="0" distB="0" distL="0" distR="0" wp14:anchorId="07E9A767" wp14:editId="29C7D430">
                <wp:extent cx="3429000" cy="520700"/>
                <wp:effectExtent l="0" t="0" r="0" b="0"/>
                <wp:docPr id="38" name="Imagen 38"/>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20700"/>
                        </a:xfrm>
                        <a:prstGeom prst="rect">
                          <a:avLst/>
                        </a:prstGeom>
                        <a:noFill/>
                        <a:ln>
                          <a:noFill/>
                        </a:ln>
                      </pic:spPr>
                    </pic:pic>
                  </a:graphicData>
                </a:graphic>
              </wp:inline>
            </w:drawing>
          </w:r>
        </w:p>
      </w:tc>
      <w:tc>
        <w:tcPr>
          <w:tcW w:w="4530" w:type="dxa"/>
        </w:tcPr>
        <w:p w14:paraId="6C315E26" w14:textId="77777777" w:rsidR="00722B37" w:rsidRPr="006D3D40" w:rsidRDefault="00722B37" w:rsidP="006D3D40">
          <w:pPr>
            <w:tabs>
              <w:tab w:val="center" w:pos="4419"/>
              <w:tab w:val="right" w:pos="8838"/>
            </w:tabs>
            <w:jc w:val="right"/>
            <w:rPr>
              <w:rFonts w:ascii="Arial" w:eastAsia="Arial" w:hAnsi="Arial" w:cs="Arial"/>
              <w:sz w:val="15"/>
              <w:szCs w:val="15"/>
            </w:rPr>
          </w:pPr>
          <w:r w:rsidRPr="006D3D40">
            <w:rPr>
              <w:rFonts w:ascii="Arial Narrow" w:eastAsia="Arial Narrow" w:hAnsi="Arial Narrow" w:cs="Arial Narrow"/>
              <w:b/>
              <w:i/>
              <w:sz w:val="15"/>
              <w:szCs w:val="15"/>
            </w:rPr>
            <w:t xml:space="preserve">COMISIÓN DE PROTECCIÓN AL CONSUMIDOR </w:t>
          </w:r>
          <w:proofErr w:type="spellStart"/>
          <w:r w:rsidRPr="006D3D40">
            <w:rPr>
              <w:rFonts w:ascii="Arial Narrow" w:eastAsia="Arial Narrow" w:hAnsi="Arial Narrow" w:cs="Arial Narrow"/>
              <w:b/>
              <w:i/>
              <w:sz w:val="15"/>
              <w:szCs w:val="15"/>
            </w:rPr>
            <w:t>Nº</w:t>
          </w:r>
          <w:proofErr w:type="spellEnd"/>
          <w:r w:rsidRPr="006D3D40">
            <w:rPr>
              <w:rFonts w:ascii="Arial Narrow" w:eastAsia="Arial Narrow" w:hAnsi="Arial Narrow" w:cs="Arial Narrow"/>
              <w:b/>
              <w:i/>
              <w:sz w:val="15"/>
              <w:szCs w:val="15"/>
            </w:rPr>
            <w:t xml:space="preserve"> 1</w:t>
          </w:r>
        </w:p>
        <w:p w14:paraId="3CF5CA72" w14:textId="77777777" w:rsidR="00722B37" w:rsidRPr="006D3D40" w:rsidRDefault="00722B37" w:rsidP="006D3D40">
          <w:pPr>
            <w:jc w:val="right"/>
            <w:rPr>
              <w:rFonts w:ascii="Arial" w:eastAsia="Arial" w:hAnsi="Arial" w:cs="Arial"/>
              <w:sz w:val="15"/>
              <w:szCs w:val="15"/>
            </w:rPr>
          </w:pPr>
          <w:r w:rsidRPr="006D3D40">
            <w:rPr>
              <w:rFonts w:ascii="Arial Narrow" w:eastAsia="Arial Narrow" w:hAnsi="Arial Narrow" w:cs="Arial Narrow"/>
              <w:b/>
              <w:i/>
              <w:sz w:val="15"/>
              <w:szCs w:val="15"/>
            </w:rPr>
            <w:t>SEDE CENTRAL</w:t>
          </w:r>
        </w:p>
        <w:p w14:paraId="3C644DF5" w14:textId="77777777" w:rsidR="00722B37" w:rsidRPr="006D3D40" w:rsidRDefault="00722B37" w:rsidP="006D3D40">
          <w:pPr>
            <w:rPr>
              <w:rFonts w:ascii="Arial" w:eastAsia="Arial" w:hAnsi="Arial" w:cs="Arial"/>
              <w:sz w:val="15"/>
              <w:szCs w:val="15"/>
            </w:rPr>
          </w:pPr>
        </w:p>
        <w:p w14:paraId="6F0F81F9" w14:textId="355577DC" w:rsidR="00722B37" w:rsidRPr="006D3D40" w:rsidRDefault="00722B37" w:rsidP="006D3D40">
          <w:pPr>
            <w:jc w:val="right"/>
            <w:rPr>
              <w:rFonts w:ascii="Arial" w:eastAsia="Arial" w:hAnsi="Arial" w:cs="Arial"/>
              <w:sz w:val="15"/>
              <w:szCs w:val="15"/>
            </w:rPr>
          </w:pPr>
          <w:r w:rsidRPr="006D3D40">
            <w:rPr>
              <w:rFonts w:ascii="Arial Narrow" w:eastAsia="Arial Narrow" w:hAnsi="Arial Narrow" w:cs="Arial Narrow"/>
              <w:b/>
              <w:i/>
              <w:sz w:val="15"/>
              <w:szCs w:val="15"/>
            </w:rPr>
            <w:t xml:space="preserve">EXPEDIENTE </w:t>
          </w:r>
          <w:proofErr w:type="spellStart"/>
          <w:r w:rsidRPr="006D3D40">
            <w:rPr>
              <w:rFonts w:ascii="Arial Narrow" w:eastAsia="Arial Narrow" w:hAnsi="Arial Narrow" w:cs="Arial Narrow"/>
              <w:b/>
              <w:i/>
              <w:sz w:val="15"/>
              <w:szCs w:val="15"/>
            </w:rPr>
            <w:t>N°</w:t>
          </w:r>
          <w:proofErr w:type="spellEnd"/>
          <w:r w:rsidRPr="006D3D40">
            <w:rPr>
              <w:rFonts w:ascii="Arial Narrow" w:eastAsia="Arial Narrow" w:hAnsi="Arial Narrow" w:cs="Arial Narrow"/>
              <w:b/>
              <w:i/>
              <w:sz w:val="15"/>
              <w:szCs w:val="15"/>
            </w:rPr>
            <w:t xml:space="preserve"> </w:t>
          </w:r>
          <w:r w:rsidR="00CC055D" w:rsidRPr="00426EB3">
            <w:rPr>
              <w:rFonts w:ascii="Arial Narrow" w:eastAsia="Arial Narrow" w:hAnsi="Arial Narrow" w:cs="Arial Narrow"/>
              <w:b/>
              <w:i/>
              <w:sz w:val="15"/>
              <w:szCs w:val="15"/>
              <w:highlight w:val="green"/>
            </w:rPr>
            <w:t>1123</w:t>
          </w:r>
          <w:r w:rsidR="00892F0F" w:rsidRPr="00426EB3">
            <w:rPr>
              <w:rFonts w:ascii="Arial Narrow" w:eastAsia="Arial Narrow" w:hAnsi="Arial Narrow" w:cs="Arial Narrow"/>
              <w:b/>
              <w:i/>
              <w:sz w:val="15"/>
              <w:szCs w:val="15"/>
              <w:highlight w:val="green"/>
            </w:rPr>
            <w:t>-2022</w:t>
          </w:r>
          <w:r w:rsidRPr="006D3D40">
            <w:rPr>
              <w:rFonts w:ascii="Arial Narrow" w:eastAsia="Arial Narrow" w:hAnsi="Arial Narrow" w:cs="Arial Narrow"/>
              <w:b/>
              <w:i/>
              <w:sz w:val="15"/>
              <w:szCs w:val="15"/>
            </w:rPr>
            <w:t>/CC1</w:t>
          </w:r>
        </w:p>
        <w:p w14:paraId="40FA22B8" w14:textId="77777777" w:rsidR="00722B37" w:rsidRPr="006D3D40" w:rsidRDefault="00722B37" w:rsidP="006D3D40">
          <w:pPr>
            <w:tabs>
              <w:tab w:val="center" w:pos="4419"/>
              <w:tab w:val="right" w:pos="8838"/>
            </w:tabs>
            <w:jc w:val="right"/>
            <w:rPr>
              <w:rFonts w:ascii="Arial Narrow" w:eastAsia="Arial Narrow" w:hAnsi="Arial Narrow" w:cs="Arial Narrow"/>
              <w:b/>
              <w:i/>
              <w:sz w:val="15"/>
              <w:szCs w:val="15"/>
            </w:rPr>
          </w:pPr>
        </w:p>
      </w:tc>
    </w:tr>
  </w:tbl>
  <w:p w14:paraId="09E8F21E" w14:textId="46940C9B" w:rsidR="00722B37" w:rsidRDefault="00722B37" w:rsidP="006D3D40">
    <w:pPr>
      <w:tabs>
        <w:tab w:val="left" w:pos="840"/>
        <w:tab w:val="right" w:pos="9355"/>
      </w:tabs>
      <w:rPr>
        <w:rFonts w:ascii="Arial Narrow" w:hAnsi="Arial Narrow" w:cs="Arial Narrow"/>
        <w:b/>
        <w:i/>
        <w:color w:val="000000"/>
        <w:sz w:val="15"/>
        <w:szCs w:val="15"/>
      </w:rPr>
    </w:pPr>
  </w:p>
  <w:p w14:paraId="38B461D6" w14:textId="77777777" w:rsidR="00722B37" w:rsidRPr="008F6853" w:rsidRDefault="00722B37" w:rsidP="006D3D40">
    <w:pPr>
      <w:tabs>
        <w:tab w:val="left" w:pos="840"/>
        <w:tab w:val="right" w:pos="9355"/>
      </w:tabs>
      <w:rPr>
        <w:rFonts w:ascii="Arial Narrow" w:hAnsi="Arial Narrow" w:cs="Arial Narrow"/>
        <w:b/>
        <w:i/>
        <w:color w:val="000000"/>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4255"/>
    <w:multiLevelType w:val="hybridMultilevel"/>
    <w:tmpl w:val="FBFA40AC"/>
    <w:lvl w:ilvl="0" w:tplc="243A177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9AE0078"/>
    <w:multiLevelType w:val="hybridMultilevel"/>
    <w:tmpl w:val="27B6E568"/>
    <w:lvl w:ilvl="0" w:tplc="C21405EA">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EB61452"/>
    <w:multiLevelType w:val="multilevel"/>
    <w:tmpl w:val="CA220BAA"/>
    <w:lvl w:ilvl="0">
      <w:start w:val="1"/>
      <w:numFmt w:val="lowerRoman"/>
      <w:lvlText w:val="(%1)"/>
      <w:lvlJc w:val="left"/>
      <w:pPr>
        <w:ind w:left="1080" w:firstLine="2520"/>
      </w:pPr>
      <w:rPr>
        <w:rFonts w:hint="default"/>
        <w:vertAlign w:val="baseline"/>
      </w:rPr>
    </w:lvl>
    <w:lvl w:ilvl="1">
      <w:start w:val="2"/>
      <w:numFmt w:val="lowerLetter"/>
      <w:lvlText w:val="%2)"/>
      <w:lvlJc w:val="left"/>
      <w:pPr>
        <w:ind w:left="-982" w:firstLine="3960"/>
      </w:pPr>
      <w:rPr>
        <w:rFonts w:ascii="Arial" w:eastAsia="Arial" w:hAnsi="Arial" w:cs="Arial" w:hint="default"/>
        <w:i/>
        <w:sz w:val="20"/>
        <w:szCs w:val="20"/>
        <w:vertAlign w:val="baseline"/>
      </w:rPr>
    </w:lvl>
    <w:lvl w:ilvl="2">
      <w:start w:val="1"/>
      <w:numFmt w:val="lowerRoman"/>
      <w:lvlText w:val="%3."/>
      <w:lvlJc w:val="right"/>
      <w:pPr>
        <w:ind w:left="2160" w:firstLine="6300"/>
      </w:pPr>
      <w:rPr>
        <w:rFonts w:hint="default"/>
        <w:vertAlign w:val="baseline"/>
      </w:rPr>
    </w:lvl>
    <w:lvl w:ilvl="3">
      <w:start w:val="1"/>
      <w:numFmt w:val="decimal"/>
      <w:lvlText w:val="%4."/>
      <w:lvlJc w:val="left"/>
      <w:pPr>
        <w:ind w:left="2880" w:firstLine="8280"/>
      </w:pPr>
      <w:rPr>
        <w:rFonts w:hint="default"/>
        <w:vertAlign w:val="baseline"/>
      </w:rPr>
    </w:lvl>
    <w:lvl w:ilvl="4">
      <w:start w:val="1"/>
      <w:numFmt w:val="lowerLetter"/>
      <w:lvlText w:val="%5."/>
      <w:lvlJc w:val="left"/>
      <w:pPr>
        <w:ind w:left="3600" w:firstLine="10440"/>
      </w:pPr>
      <w:rPr>
        <w:rFonts w:hint="default"/>
        <w:vertAlign w:val="baseline"/>
      </w:rPr>
    </w:lvl>
    <w:lvl w:ilvl="5">
      <w:start w:val="1"/>
      <w:numFmt w:val="lowerRoman"/>
      <w:lvlText w:val="%6."/>
      <w:lvlJc w:val="right"/>
      <w:pPr>
        <w:ind w:left="4320" w:firstLine="12780"/>
      </w:pPr>
      <w:rPr>
        <w:rFonts w:hint="default"/>
        <w:vertAlign w:val="baseline"/>
      </w:rPr>
    </w:lvl>
    <w:lvl w:ilvl="6">
      <w:start w:val="1"/>
      <w:numFmt w:val="decimal"/>
      <w:lvlText w:val="%7."/>
      <w:lvlJc w:val="left"/>
      <w:pPr>
        <w:ind w:left="5040" w:firstLine="14760"/>
      </w:pPr>
      <w:rPr>
        <w:rFonts w:hint="default"/>
        <w:vertAlign w:val="baseline"/>
      </w:rPr>
    </w:lvl>
    <w:lvl w:ilvl="7">
      <w:start w:val="1"/>
      <w:numFmt w:val="lowerLetter"/>
      <w:lvlText w:val="%8."/>
      <w:lvlJc w:val="left"/>
      <w:pPr>
        <w:ind w:left="5760" w:firstLine="16920"/>
      </w:pPr>
      <w:rPr>
        <w:rFonts w:hint="default"/>
        <w:vertAlign w:val="baseline"/>
      </w:rPr>
    </w:lvl>
    <w:lvl w:ilvl="8">
      <w:start w:val="1"/>
      <w:numFmt w:val="lowerRoman"/>
      <w:lvlText w:val="%9."/>
      <w:lvlJc w:val="right"/>
      <w:pPr>
        <w:ind w:left="6480" w:firstLine="19260"/>
      </w:pPr>
      <w:rPr>
        <w:rFonts w:hint="default"/>
        <w:vertAlign w:val="baseline"/>
      </w:rPr>
    </w:lvl>
  </w:abstractNum>
  <w:abstractNum w:abstractNumId="3"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4" w15:restartNumberingAfterBreak="0">
    <w:nsid w:val="126C7C79"/>
    <w:multiLevelType w:val="hybridMultilevel"/>
    <w:tmpl w:val="31EA55EC"/>
    <w:lvl w:ilvl="0" w:tplc="280A0017">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7" w15:restartNumberingAfterBreak="0">
    <w:nsid w:val="20E07531"/>
    <w:multiLevelType w:val="hybridMultilevel"/>
    <w:tmpl w:val="F02C498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6D06DC"/>
    <w:multiLevelType w:val="hybridMultilevel"/>
    <w:tmpl w:val="1C8A4B66"/>
    <w:lvl w:ilvl="0" w:tplc="C21405EA">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1FCC5462">
      <w:start w:val="1"/>
      <w:numFmt w:val="lowerLetter"/>
      <w:lvlText w:val="(%3)"/>
      <w:lvlJc w:val="left"/>
      <w:pPr>
        <w:ind w:left="2340" w:hanging="360"/>
      </w:pPr>
      <w:rPr>
        <w:rFonts w:hint="default"/>
        <w:u w:val="none"/>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95F67A6"/>
    <w:multiLevelType w:val="hybridMultilevel"/>
    <w:tmpl w:val="31EA55EC"/>
    <w:lvl w:ilvl="0" w:tplc="280A0017">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2CE767C8"/>
    <w:multiLevelType w:val="hybridMultilevel"/>
    <w:tmpl w:val="789C9F7E"/>
    <w:lvl w:ilvl="0" w:tplc="0BE4888A">
      <w:start w:val="1"/>
      <w:numFmt w:val="upperRoman"/>
      <w:lvlText w:val="%1."/>
      <w:lvlJc w:val="left"/>
      <w:pPr>
        <w:ind w:left="1080" w:firstLine="360"/>
      </w:pPr>
    </w:lvl>
    <w:lvl w:ilvl="1" w:tplc="A282D414">
      <w:start w:val="1"/>
      <w:numFmt w:val="decimal"/>
      <w:lvlText w:val="%2."/>
      <w:lvlJc w:val="left"/>
      <w:pPr>
        <w:ind w:left="1440" w:firstLine="1080"/>
      </w:pPr>
    </w:lvl>
    <w:lvl w:ilvl="2" w:tplc="A772634E">
      <w:start w:val="1"/>
      <w:numFmt w:val="lowerRoman"/>
      <w:lvlText w:val="(%3)"/>
      <w:lvlJc w:val="left"/>
      <w:pPr>
        <w:ind w:left="2700" w:firstLine="1980"/>
      </w:pPr>
    </w:lvl>
    <w:lvl w:ilvl="3" w:tplc="3E9AF1F8">
      <w:start w:val="1"/>
      <w:numFmt w:val="lowerRoman"/>
      <w:lvlText w:val="(%4)"/>
      <w:lvlJc w:val="left"/>
      <w:pPr>
        <w:ind w:left="2880" w:firstLine="2520"/>
      </w:pPr>
    </w:lvl>
    <w:lvl w:ilvl="4" w:tplc="750EF938">
      <w:start w:val="1"/>
      <w:numFmt w:val="lowerLetter"/>
      <w:lvlText w:val="%5."/>
      <w:lvlJc w:val="left"/>
      <w:pPr>
        <w:ind w:left="3600" w:firstLine="3240"/>
      </w:pPr>
    </w:lvl>
    <w:lvl w:ilvl="5" w:tplc="82FED3B2">
      <w:start w:val="1"/>
      <w:numFmt w:val="lowerRoman"/>
      <w:lvlText w:val="%6."/>
      <w:lvlJc w:val="right"/>
      <w:pPr>
        <w:ind w:left="4320" w:firstLine="4140"/>
      </w:pPr>
    </w:lvl>
    <w:lvl w:ilvl="6" w:tplc="CE4CAF78">
      <w:start w:val="1"/>
      <w:numFmt w:val="decimal"/>
      <w:lvlText w:val="%7."/>
      <w:lvlJc w:val="left"/>
      <w:pPr>
        <w:ind w:left="5040" w:firstLine="4680"/>
      </w:pPr>
    </w:lvl>
    <w:lvl w:ilvl="7" w:tplc="07A47BBC">
      <w:start w:val="1"/>
      <w:numFmt w:val="lowerLetter"/>
      <w:lvlText w:val="%8."/>
      <w:lvlJc w:val="left"/>
      <w:pPr>
        <w:ind w:left="5760" w:firstLine="5400"/>
      </w:pPr>
    </w:lvl>
    <w:lvl w:ilvl="8" w:tplc="3C026DCC">
      <w:start w:val="1"/>
      <w:numFmt w:val="lowerRoman"/>
      <w:lvlText w:val="%9."/>
      <w:lvlJc w:val="right"/>
      <w:pPr>
        <w:ind w:left="6480" w:firstLine="6300"/>
      </w:pPr>
    </w:lvl>
  </w:abstractNum>
  <w:abstractNum w:abstractNumId="11"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3" w15:restartNumberingAfterBreak="0">
    <w:nsid w:val="32BF05D0"/>
    <w:multiLevelType w:val="hybridMultilevel"/>
    <w:tmpl w:val="1EE80664"/>
    <w:lvl w:ilvl="0" w:tplc="4D3084F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F61D2A"/>
    <w:multiLevelType w:val="hybridMultilevel"/>
    <w:tmpl w:val="04743700"/>
    <w:lvl w:ilvl="0" w:tplc="B30EA08C">
      <w:start w:val="1"/>
      <w:numFmt w:val="lowerRoman"/>
      <w:lvlText w:val="(%1)"/>
      <w:lvlJc w:val="left"/>
      <w:pPr>
        <w:ind w:left="1080" w:firstLine="360"/>
      </w:pPr>
    </w:lvl>
    <w:lvl w:ilvl="1" w:tplc="840E94E2">
      <w:start w:val="1"/>
      <w:numFmt w:val="lowerLetter"/>
      <w:lvlText w:val="%2."/>
      <w:lvlJc w:val="left"/>
      <w:pPr>
        <w:ind w:left="1440" w:firstLine="1080"/>
      </w:pPr>
    </w:lvl>
    <w:lvl w:ilvl="2" w:tplc="4C7A4B74">
      <w:start w:val="1"/>
      <w:numFmt w:val="lowerRoman"/>
      <w:lvlText w:val="%3."/>
      <w:lvlJc w:val="right"/>
      <w:pPr>
        <w:ind w:left="2160" w:firstLine="1980"/>
      </w:pPr>
    </w:lvl>
    <w:lvl w:ilvl="3" w:tplc="259C37FA">
      <w:start w:val="1"/>
      <w:numFmt w:val="decimal"/>
      <w:lvlText w:val="%4."/>
      <w:lvlJc w:val="left"/>
      <w:pPr>
        <w:ind w:left="2880" w:firstLine="2520"/>
      </w:pPr>
    </w:lvl>
    <w:lvl w:ilvl="4" w:tplc="C06C9BE6">
      <w:start w:val="1"/>
      <w:numFmt w:val="lowerLetter"/>
      <w:lvlText w:val="%5."/>
      <w:lvlJc w:val="left"/>
      <w:pPr>
        <w:ind w:left="3600" w:firstLine="3240"/>
      </w:pPr>
    </w:lvl>
    <w:lvl w:ilvl="5" w:tplc="5A9682CE">
      <w:start w:val="1"/>
      <w:numFmt w:val="lowerRoman"/>
      <w:lvlText w:val="%6."/>
      <w:lvlJc w:val="right"/>
      <w:pPr>
        <w:ind w:left="4320" w:firstLine="4140"/>
      </w:pPr>
    </w:lvl>
    <w:lvl w:ilvl="6" w:tplc="9B62809C">
      <w:start w:val="1"/>
      <w:numFmt w:val="decimal"/>
      <w:lvlText w:val="%7."/>
      <w:lvlJc w:val="left"/>
      <w:pPr>
        <w:ind w:left="5040" w:firstLine="4680"/>
      </w:pPr>
    </w:lvl>
    <w:lvl w:ilvl="7" w:tplc="40488F8C">
      <w:start w:val="1"/>
      <w:numFmt w:val="lowerLetter"/>
      <w:lvlText w:val="%8."/>
      <w:lvlJc w:val="left"/>
      <w:pPr>
        <w:ind w:left="5760" w:firstLine="5400"/>
      </w:pPr>
    </w:lvl>
    <w:lvl w:ilvl="8" w:tplc="6666CFA6">
      <w:start w:val="1"/>
      <w:numFmt w:val="lowerRoman"/>
      <w:lvlText w:val="%9."/>
      <w:lvlJc w:val="right"/>
      <w:pPr>
        <w:ind w:left="6480" w:firstLine="6300"/>
      </w:pPr>
    </w:lvl>
  </w:abstractNum>
  <w:abstractNum w:abstractNumId="15" w15:restartNumberingAfterBreak="0">
    <w:nsid w:val="37B83CAF"/>
    <w:multiLevelType w:val="hybridMultilevel"/>
    <w:tmpl w:val="CF741E86"/>
    <w:lvl w:ilvl="0" w:tplc="702846B4">
      <w:start w:val="1"/>
      <w:numFmt w:val="upperRoman"/>
      <w:lvlText w:val="%1."/>
      <w:lvlJc w:val="left"/>
      <w:pPr>
        <w:tabs>
          <w:tab w:val="num" w:pos="1080"/>
        </w:tabs>
        <w:ind w:left="1080" w:hanging="720"/>
      </w:pPr>
    </w:lvl>
    <w:lvl w:ilvl="1" w:tplc="B656AC62">
      <w:start w:val="1"/>
      <w:numFmt w:val="decimal"/>
      <w:lvlText w:val="%2."/>
      <w:lvlJc w:val="left"/>
      <w:pPr>
        <w:tabs>
          <w:tab w:val="num" w:pos="1440"/>
        </w:tabs>
        <w:ind w:left="1440" w:hanging="360"/>
      </w:p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6" w15:restartNumberingAfterBreak="0">
    <w:nsid w:val="3DDD074B"/>
    <w:multiLevelType w:val="hybridMultilevel"/>
    <w:tmpl w:val="4AD2B2B2"/>
    <w:lvl w:ilvl="0" w:tplc="258CCE92">
      <w:start w:val="1"/>
      <w:numFmt w:val="lowerRoman"/>
      <w:lvlText w:val="(%1)"/>
      <w:lvlJc w:val="left"/>
      <w:pPr>
        <w:ind w:left="1287" w:hanging="720"/>
      </w:pPr>
      <w:rPr>
        <w:rFonts w:hint="default"/>
      </w:rPr>
    </w:lvl>
    <w:lvl w:ilvl="1" w:tplc="280A0019">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7" w15:restartNumberingAfterBreak="0">
    <w:nsid w:val="3F12653F"/>
    <w:multiLevelType w:val="hybridMultilevel"/>
    <w:tmpl w:val="31EA55EC"/>
    <w:lvl w:ilvl="0" w:tplc="280A0017">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8" w15:restartNumberingAfterBreak="0">
    <w:nsid w:val="41A930C1"/>
    <w:multiLevelType w:val="hybridMultilevel"/>
    <w:tmpl w:val="3CBC7A8E"/>
    <w:lvl w:ilvl="0" w:tplc="A772634E">
      <w:start w:val="1"/>
      <w:numFmt w:val="lowerRoman"/>
      <w:lvlText w:val="(%1)"/>
      <w:lvlJc w:val="left"/>
      <w:pPr>
        <w:ind w:left="2700" w:firstLine="198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84B203F"/>
    <w:multiLevelType w:val="hybridMultilevel"/>
    <w:tmpl w:val="3FD2CD24"/>
    <w:lvl w:ilvl="0" w:tplc="007A8BF0">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0" w15:restartNumberingAfterBreak="0">
    <w:nsid w:val="4D987B8B"/>
    <w:multiLevelType w:val="hybridMultilevel"/>
    <w:tmpl w:val="3CC25440"/>
    <w:lvl w:ilvl="0" w:tplc="9962C4C4">
      <w:start w:val="1"/>
      <w:numFmt w:val="lowerLetter"/>
      <w:lvlText w:val="(%1)"/>
      <w:lvlJc w:val="left"/>
      <w:pPr>
        <w:ind w:left="1440" w:hanging="360"/>
      </w:pPr>
      <w:rPr>
        <w:rFonts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1" w15:restartNumberingAfterBreak="0">
    <w:nsid w:val="4F29173D"/>
    <w:multiLevelType w:val="hybridMultilevel"/>
    <w:tmpl w:val="433808C0"/>
    <w:lvl w:ilvl="0" w:tplc="CA9EC162">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FE43537"/>
    <w:multiLevelType w:val="hybridMultilevel"/>
    <w:tmpl w:val="10EC8C0C"/>
    <w:lvl w:ilvl="0" w:tplc="3794700C">
      <w:start w:val="1"/>
      <w:numFmt w:val="lowerRoman"/>
      <w:lvlText w:val="(%1)"/>
      <w:lvlJc w:val="left"/>
      <w:pPr>
        <w:ind w:left="1182" w:hanging="720"/>
      </w:pPr>
      <w:rPr>
        <w:rFonts w:hint="default"/>
      </w:rPr>
    </w:lvl>
    <w:lvl w:ilvl="1" w:tplc="280A0019">
      <w:start w:val="1"/>
      <w:numFmt w:val="lowerLetter"/>
      <w:lvlText w:val="%2."/>
      <w:lvlJc w:val="left"/>
      <w:pPr>
        <w:ind w:left="1542" w:hanging="360"/>
      </w:pPr>
    </w:lvl>
    <w:lvl w:ilvl="2" w:tplc="280A001B" w:tentative="1">
      <w:start w:val="1"/>
      <w:numFmt w:val="lowerRoman"/>
      <w:lvlText w:val="%3."/>
      <w:lvlJc w:val="right"/>
      <w:pPr>
        <w:ind w:left="2262" w:hanging="180"/>
      </w:pPr>
    </w:lvl>
    <w:lvl w:ilvl="3" w:tplc="280A000F" w:tentative="1">
      <w:start w:val="1"/>
      <w:numFmt w:val="decimal"/>
      <w:lvlText w:val="%4."/>
      <w:lvlJc w:val="left"/>
      <w:pPr>
        <w:ind w:left="2982" w:hanging="360"/>
      </w:pPr>
    </w:lvl>
    <w:lvl w:ilvl="4" w:tplc="280A0019" w:tentative="1">
      <w:start w:val="1"/>
      <w:numFmt w:val="lowerLetter"/>
      <w:lvlText w:val="%5."/>
      <w:lvlJc w:val="left"/>
      <w:pPr>
        <w:ind w:left="3702" w:hanging="360"/>
      </w:pPr>
    </w:lvl>
    <w:lvl w:ilvl="5" w:tplc="280A001B" w:tentative="1">
      <w:start w:val="1"/>
      <w:numFmt w:val="lowerRoman"/>
      <w:lvlText w:val="%6."/>
      <w:lvlJc w:val="right"/>
      <w:pPr>
        <w:ind w:left="4422" w:hanging="180"/>
      </w:pPr>
    </w:lvl>
    <w:lvl w:ilvl="6" w:tplc="280A000F" w:tentative="1">
      <w:start w:val="1"/>
      <w:numFmt w:val="decimal"/>
      <w:lvlText w:val="%7."/>
      <w:lvlJc w:val="left"/>
      <w:pPr>
        <w:ind w:left="5142" w:hanging="360"/>
      </w:pPr>
    </w:lvl>
    <w:lvl w:ilvl="7" w:tplc="280A0019" w:tentative="1">
      <w:start w:val="1"/>
      <w:numFmt w:val="lowerLetter"/>
      <w:lvlText w:val="%8."/>
      <w:lvlJc w:val="left"/>
      <w:pPr>
        <w:ind w:left="5862" w:hanging="360"/>
      </w:pPr>
    </w:lvl>
    <w:lvl w:ilvl="8" w:tplc="280A001B" w:tentative="1">
      <w:start w:val="1"/>
      <w:numFmt w:val="lowerRoman"/>
      <w:lvlText w:val="%9."/>
      <w:lvlJc w:val="right"/>
      <w:pPr>
        <w:ind w:left="6582" w:hanging="180"/>
      </w:pPr>
    </w:lvl>
  </w:abstractNum>
  <w:abstractNum w:abstractNumId="23" w15:restartNumberingAfterBreak="0">
    <w:nsid w:val="50A875D7"/>
    <w:multiLevelType w:val="hybridMultilevel"/>
    <w:tmpl w:val="FA18323C"/>
    <w:lvl w:ilvl="0" w:tplc="243A177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54DC43DC"/>
    <w:multiLevelType w:val="hybridMultilevel"/>
    <w:tmpl w:val="684A5A18"/>
    <w:lvl w:ilvl="0" w:tplc="98EAF17E">
      <w:start w:val="1"/>
      <w:numFmt w:val="lowerRoman"/>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5" w15:restartNumberingAfterBreak="0">
    <w:nsid w:val="59CB7E8A"/>
    <w:multiLevelType w:val="hybridMultilevel"/>
    <w:tmpl w:val="6BD2BCCE"/>
    <w:lvl w:ilvl="0" w:tplc="258CCE92">
      <w:start w:val="1"/>
      <w:numFmt w:val="lowerRoman"/>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7" w15:restartNumberingAfterBreak="0">
    <w:nsid w:val="66CE3FD7"/>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6DC86E67"/>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0460935"/>
    <w:multiLevelType w:val="multilevel"/>
    <w:tmpl w:val="A4A6FD68"/>
    <w:lvl w:ilvl="0">
      <w:start w:val="1"/>
      <w:numFmt w:val="upperRoman"/>
      <w:lvlText w:val="%1."/>
      <w:lvlJc w:val="left"/>
      <w:pPr>
        <w:ind w:left="1080" w:firstLine="1440"/>
      </w:pPr>
      <w:rPr>
        <w:b/>
      </w:rPr>
    </w:lvl>
    <w:lvl w:ilvl="1">
      <w:start w:val="1"/>
      <w:numFmt w:val="decimal"/>
      <w:lvlText w:val="%2."/>
      <w:lvlJc w:val="left"/>
      <w:pPr>
        <w:ind w:left="1440" w:firstLine="2520"/>
      </w:pPr>
      <w:rPr>
        <w:b w:val="0"/>
        <w:sz w:val="22"/>
        <w:szCs w:val="22"/>
      </w:rPr>
    </w:lvl>
    <w:lvl w:ilvl="2">
      <w:start w:val="1"/>
      <w:numFmt w:val="lowerRoman"/>
      <w:lvlText w:val="(%3)"/>
      <w:lvlJc w:val="left"/>
      <w:pPr>
        <w:ind w:left="720" w:firstLine="720"/>
      </w:pPr>
      <w:rPr>
        <w:rFonts w:ascii="Arial" w:eastAsia="Arial" w:hAnsi="Arial" w:cs="Arial"/>
        <w:color w:val="000000"/>
      </w:rPr>
    </w:lvl>
    <w:lvl w:ilvl="3">
      <w:start w:val="1"/>
      <w:numFmt w:val="decimal"/>
      <w:lvlText w:val="%4."/>
      <w:lvlJc w:val="left"/>
      <w:pPr>
        <w:ind w:left="1495" w:firstLine="2630"/>
      </w:pPr>
    </w:lvl>
    <w:lvl w:ilvl="4">
      <w:start w:val="1"/>
      <w:numFmt w:val="lowerLetter"/>
      <w:lvlText w:val="%5)"/>
      <w:lvlJc w:val="left"/>
      <w:pPr>
        <w:ind w:left="1920" w:firstLine="3480"/>
      </w:pPr>
      <w:rPr>
        <w:rFonts w:ascii="Arial" w:eastAsia="Arial" w:hAnsi="Arial" w:cs="Arial"/>
        <w:color w:val="000000"/>
      </w:r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31" w15:restartNumberingAfterBreak="0">
    <w:nsid w:val="73571106"/>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85B1731"/>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8F2379E"/>
    <w:multiLevelType w:val="hybridMultilevel"/>
    <w:tmpl w:val="B106D9D0"/>
    <w:lvl w:ilvl="0" w:tplc="B30EA08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AE03B8F"/>
    <w:multiLevelType w:val="hybridMultilevel"/>
    <w:tmpl w:val="F02C4988"/>
    <w:lvl w:ilvl="0" w:tplc="959C1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B677BE3"/>
    <w:multiLevelType w:val="hybridMultilevel"/>
    <w:tmpl w:val="C81EC3AC"/>
    <w:lvl w:ilvl="0" w:tplc="FCDAD9FA">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C0768C6"/>
    <w:multiLevelType w:val="multilevel"/>
    <w:tmpl w:val="635C2E40"/>
    <w:lvl w:ilvl="0">
      <w:start w:val="1"/>
      <w:numFmt w:val="low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7" w15:restartNumberingAfterBreak="0">
    <w:nsid w:val="7D4A6008"/>
    <w:multiLevelType w:val="hybridMultilevel"/>
    <w:tmpl w:val="910ABABC"/>
    <w:lvl w:ilvl="0" w:tplc="4C3C137A">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8" w15:restartNumberingAfterBreak="0">
    <w:nsid w:val="7DC94C11"/>
    <w:multiLevelType w:val="hybridMultilevel"/>
    <w:tmpl w:val="D8F268B2"/>
    <w:lvl w:ilvl="0" w:tplc="018E0A20">
      <w:start w:val="1"/>
      <w:numFmt w:val="low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2081174288">
    <w:abstractNumId w:val="26"/>
  </w:num>
  <w:num w:numId="2" w16cid:durableId="1665401941">
    <w:abstractNumId w:val="6"/>
  </w:num>
  <w:num w:numId="3" w16cid:durableId="395589560">
    <w:abstractNumId w:val="14"/>
  </w:num>
  <w:num w:numId="4" w16cid:durableId="667908179">
    <w:abstractNumId w:val="10"/>
  </w:num>
  <w:num w:numId="5" w16cid:durableId="28227336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2814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7372905">
    <w:abstractNumId w:val="15"/>
  </w:num>
  <w:num w:numId="8" w16cid:durableId="201022739">
    <w:abstractNumId w:val="2"/>
  </w:num>
  <w:num w:numId="9" w16cid:durableId="66996735">
    <w:abstractNumId w:val="16"/>
  </w:num>
  <w:num w:numId="10" w16cid:durableId="1868526034">
    <w:abstractNumId w:val="31"/>
  </w:num>
  <w:num w:numId="11" w16cid:durableId="1976446700">
    <w:abstractNumId w:val="29"/>
  </w:num>
  <w:num w:numId="12" w16cid:durableId="1634098542">
    <w:abstractNumId w:val="8"/>
  </w:num>
  <w:num w:numId="13" w16cid:durableId="2030257302">
    <w:abstractNumId w:val="20"/>
  </w:num>
  <w:num w:numId="14" w16cid:durableId="501362423">
    <w:abstractNumId w:val="38"/>
  </w:num>
  <w:num w:numId="15" w16cid:durableId="217589276">
    <w:abstractNumId w:val="1"/>
  </w:num>
  <w:num w:numId="16" w16cid:durableId="1081099725">
    <w:abstractNumId w:val="12"/>
  </w:num>
  <w:num w:numId="17" w16cid:durableId="2101296444">
    <w:abstractNumId w:val="37"/>
  </w:num>
  <w:num w:numId="18" w16cid:durableId="615478647">
    <w:abstractNumId w:val="34"/>
  </w:num>
  <w:num w:numId="19" w16cid:durableId="949625941">
    <w:abstractNumId w:val="5"/>
  </w:num>
  <w:num w:numId="20" w16cid:durableId="1779835875">
    <w:abstractNumId w:val="36"/>
  </w:num>
  <w:num w:numId="21" w16cid:durableId="1626500631">
    <w:abstractNumId w:val="19"/>
  </w:num>
  <w:num w:numId="22" w16cid:durableId="291643800">
    <w:abstractNumId w:val="21"/>
  </w:num>
  <w:num w:numId="23" w16cid:durableId="379061535">
    <w:abstractNumId w:val="27"/>
  </w:num>
  <w:num w:numId="24" w16cid:durableId="257256351">
    <w:abstractNumId w:val="24"/>
  </w:num>
  <w:num w:numId="25" w16cid:durableId="1784303302">
    <w:abstractNumId w:val="9"/>
  </w:num>
  <w:num w:numId="26" w16cid:durableId="1404374112">
    <w:abstractNumId w:val="18"/>
  </w:num>
  <w:num w:numId="27" w16cid:durableId="1421756301">
    <w:abstractNumId w:val="13"/>
  </w:num>
  <w:num w:numId="28" w16cid:durableId="1173376098">
    <w:abstractNumId w:val="4"/>
  </w:num>
  <w:num w:numId="29" w16cid:durableId="1341397300">
    <w:abstractNumId w:val="25"/>
  </w:num>
  <w:num w:numId="30" w16cid:durableId="1680498450">
    <w:abstractNumId w:val="32"/>
  </w:num>
  <w:num w:numId="31" w16cid:durableId="735082835">
    <w:abstractNumId w:val="28"/>
  </w:num>
  <w:num w:numId="32" w16cid:durableId="837230749">
    <w:abstractNumId w:val="33"/>
  </w:num>
  <w:num w:numId="33" w16cid:durableId="1892879741">
    <w:abstractNumId w:val="0"/>
  </w:num>
  <w:num w:numId="34" w16cid:durableId="169420064">
    <w:abstractNumId w:val="23"/>
  </w:num>
  <w:num w:numId="35" w16cid:durableId="703364763">
    <w:abstractNumId w:val="35"/>
  </w:num>
  <w:num w:numId="36" w16cid:durableId="1100952668">
    <w:abstractNumId w:val="17"/>
  </w:num>
  <w:num w:numId="37" w16cid:durableId="18856734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5030164">
    <w:abstractNumId w:val="7"/>
  </w:num>
  <w:num w:numId="39" w16cid:durableId="791900350">
    <w:abstractNumId w:val="22"/>
  </w:num>
  <w:num w:numId="40" w16cid:durableId="1123578747">
    <w:abstractNumId w:val="30"/>
  </w:num>
  <w:num w:numId="41" w16cid:durableId="522668121">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FDB"/>
    <w:rsid w:val="00003C9E"/>
    <w:rsid w:val="0001048B"/>
    <w:rsid w:val="00010F83"/>
    <w:rsid w:val="000128FA"/>
    <w:rsid w:val="00020E8E"/>
    <w:rsid w:val="000212AB"/>
    <w:rsid w:val="000301FA"/>
    <w:rsid w:val="00037A7D"/>
    <w:rsid w:val="000408B2"/>
    <w:rsid w:val="00041FC4"/>
    <w:rsid w:val="00042457"/>
    <w:rsid w:val="00047C47"/>
    <w:rsid w:val="000571C3"/>
    <w:rsid w:val="0006700B"/>
    <w:rsid w:val="00071941"/>
    <w:rsid w:val="00071C11"/>
    <w:rsid w:val="0007584E"/>
    <w:rsid w:val="0008590A"/>
    <w:rsid w:val="00085FFF"/>
    <w:rsid w:val="000900BE"/>
    <w:rsid w:val="000930C3"/>
    <w:rsid w:val="000A36EF"/>
    <w:rsid w:val="000A7AA7"/>
    <w:rsid w:val="000B3363"/>
    <w:rsid w:val="000C1979"/>
    <w:rsid w:val="000C2865"/>
    <w:rsid w:val="000C5977"/>
    <w:rsid w:val="000C747A"/>
    <w:rsid w:val="000D4156"/>
    <w:rsid w:val="000E5F7A"/>
    <w:rsid w:val="000F6E24"/>
    <w:rsid w:val="001026B0"/>
    <w:rsid w:val="00106B51"/>
    <w:rsid w:val="00122006"/>
    <w:rsid w:val="001224E2"/>
    <w:rsid w:val="001238FD"/>
    <w:rsid w:val="001334B9"/>
    <w:rsid w:val="0013368E"/>
    <w:rsid w:val="00134AFA"/>
    <w:rsid w:val="00145B61"/>
    <w:rsid w:val="0015287D"/>
    <w:rsid w:val="001579C0"/>
    <w:rsid w:val="001609EB"/>
    <w:rsid w:val="0016104F"/>
    <w:rsid w:val="001619F3"/>
    <w:rsid w:val="0016783F"/>
    <w:rsid w:val="0016792E"/>
    <w:rsid w:val="001703E1"/>
    <w:rsid w:val="00175188"/>
    <w:rsid w:val="001752A8"/>
    <w:rsid w:val="00181873"/>
    <w:rsid w:val="001839A3"/>
    <w:rsid w:val="00186813"/>
    <w:rsid w:val="001959C0"/>
    <w:rsid w:val="00195EB0"/>
    <w:rsid w:val="001A188B"/>
    <w:rsid w:val="001A424E"/>
    <w:rsid w:val="001A590B"/>
    <w:rsid w:val="001B1DE8"/>
    <w:rsid w:val="001B3982"/>
    <w:rsid w:val="001B64B8"/>
    <w:rsid w:val="001B6853"/>
    <w:rsid w:val="001C0453"/>
    <w:rsid w:val="001C59E2"/>
    <w:rsid w:val="001C6BAC"/>
    <w:rsid w:val="001D4339"/>
    <w:rsid w:val="001D6530"/>
    <w:rsid w:val="001D6FDB"/>
    <w:rsid w:val="001D78D8"/>
    <w:rsid w:val="001E18CA"/>
    <w:rsid w:val="001E39F5"/>
    <w:rsid w:val="001F5BD5"/>
    <w:rsid w:val="001F5FEB"/>
    <w:rsid w:val="00205571"/>
    <w:rsid w:val="002111B4"/>
    <w:rsid w:val="00217A99"/>
    <w:rsid w:val="0022076C"/>
    <w:rsid w:val="002210E6"/>
    <w:rsid w:val="002319B8"/>
    <w:rsid w:val="002333C5"/>
    <w:rsid w:val="00235510"/>
    <w:rsid w:val="00241A45"/>
    <w:rsid w:val="0024697E"/>
    <w:rsid w:val="00281A07"/>
    <w:rsid w:val="00282E7A"/>
    <w:rsid w:val="00284986"/>
    <w:rsid w:val="002870C4"/>
    <w:rsid w:val="0029568B"/>
    <w:rsid w:val="00295A9D"/>
    <w:rsid w:val="002969E3"/>
    <w:rsid w:val="002A1E2D"/>
    <w:rsid w:val="002A4413"/>
    <w:rsid w:val="002A46CF"/>
    <w:rsid w:val="002B0AAC"/>
    <w:rsid w:val="002C1682"/>
    <w:rsid w:val="002C2160"/>
    <w:rsid w:val="002C596C"/>
    <w:rsid w:val="002C65EB"/>
    <w:rsid w:val="002D789A"/>
    <w:rsid w:val="002F158F"/>
    <w:rsid w:val="002F4135"/>
    <w:rsid w:val="002F56D1"/>
    <w:rsid w:val="003006E4"/>
    <w:rsid w:val="00300757"/>
    <w:rsid w:val="003049CA"/>
    <w:rsid w:val="003065B7"/>
    <w:rsid w:val="00311599"/>
    <w:rsid w:val="00311797"/>
    <w:rsid w:val="0031338F"/>
    <w:rsid w:val="00315447"/>
    <w:rsid w:val="00321F93"/>
    <w:rsid w:val="00325D54"/>
    <w:rsid w:val="00333349"/>
    <w:rsid w:val="00336A93"/>
    <w:rsid w:val="00341959"/>
    <w:rsid w:val="00347D66"/>
    <w:rsid w:val="003530F1"/>
    <w:rsid w:val="003607CF"/>
    <w:rsid w:val="00361B7D"/>
    <w:rsid w:val="003652AE"/>
    <w:rsid w:val="00373D9F"/>
    <w:rsid w:val="003834A9"/>
    <w:rsid w:val="00383C5A"/>
    <w:rsid w:val="00383F63"/>
    <w:rsid w:val="003840CF"/>
    <w:rsid w:val="00385594"/>
    <w:rsid w:val="00386FAD"/>
    <w:rsid w:val="003909F5"/>
    <w:rsid w:val="00392874"/>
    <w:rsid w:val="00394494"/>
    <w:rsid w:val="003965E4"/>
    <w:rsid w:val="003A580B"/>
    <w:rsid w:val="003A59A9"/>
    <w:rsid w:val="003A741B"/>
    <w:rsid w:val="003B7169"/>
    <w:rsid w:val="003B7C6F"/>
    <w:rsid w:val="003C5CD8"/>
    <w:rsid w:val="003C7E38"/>
    <w:rsid w:val="003E262B"/>
    <w:rsid w:val="003E2BF7"/>
    <w:rsid w:val="003E2C3E"/>
    <w:rsid w:val="003E4148"/>
    <w:rsid w:val="003E4F36"/>
    <w:rsid w:val="003E51CF"/>
    <w:rsid w:val="003E588C"/>
    <w:rsid w:val="003F2D4F"/>
    <w:rsid w:val="003F709C"/>
    <w:rsid w:val="0040554D"/>
    <w:rsid w:val="004064EF"/>
    <w:rsid w:val="004079CD"/>
    <w:rsid w:val="004126FC"/>
    <w:rsid w:val="0041340D"/>
    <w:rsid w:val="00413EEB"/>
    <w:rsid w:val="004206A3"/>
    <w:rsid w:val="004208B9"/>
    <w:rsid w:val="00423739"/>
    <w:rsid w:val="00424CEB"/>
    <w:rsid w:val="00426EB3"/>
    <w:rsid w:val="0043134B"/>
    <w:rsid w:val="0043246F"/>
    <w:rsid w:val="00432AC8"/>
    <w:rsid w:val="00440D3B"/>
    <w:rsid w:val="004450BB"/>
    <w:rsid w:val="00445E2B"/>
    <w:rsid w:val="00456297"/>
    <w:rsid w:val="00457E16"/>
    <w:rsid w:val="00460B14"/>
    <w:rsid w:val="00460B72"/>
    <w:rsid w:val="00461801"/>
    <w:rsid w:val="00466655"/>
    <w:rsid w:val="00467326"/>
    <w:rsid w:val="00471F7C"/>
    <w:rsid w:val="00474265"/>
    <w:rsid w:val="004853BF"/>
    <w:rsid w:val="00486313"/>
    <w:rsid w:val="004A70E7"/>
    <w:rsid w:val="004B0F42"/>
    <w:rsid w:val="004B14DA"/>
    <w:rsid w:val="004B2BAA"/>
    <w:rsid w:val="004B7DE0"/>
    <w:rsid w:val="004D0BB1"/>
    <w:rsid w:val="004D0E8A"/>
    <w:rsid w:val="004D3B0B"/>
    <w:rsid w:val="004D5905"/>
    <w:rsid w:val="004E651F"/>
    <w:rsid w:val="004F5660"/>
    <w:rsid w:val="004F686C"/>
    <w:rsid w:val="005138EA"/>
    <w:rsid w:val="005208D2"/>
    <w:rsid w:val="00521172"/>
    <w:rsid w:val="00522331"/>
    <w:rsid w:val="00525DB7"/>
    <w:rsid w:val="00527ADA"/>
    <w:rsid w:val="005333D1"/>
    <w:rsid w:val="005359BB"/>
    <w:rsid w:val="00536453"/>
    <w:rsid w:val="00540F3C"/>
    <w:rsid w:val="005412CD"/>
    <w:rsid w:val="005450C8"/>
    <w:rsid w:val="00545C93"/>
    <w:rsid w:val="00551F6D"/>
    <w:rsid w:val="005529CD"/>
    <w:rsid w:val="00552A6D"/>
    <w:rsid w:val="00556BA4"/>
    <w:rsid w:val="00563DC0"/>
    <w:rsid w:val="0056692A"/>
    <w:rsid w:val="00571F60"/>
    <w:rsid w:val="00580CF3"/>
    <w:rsid w:val="00582817"/>
    <w:rsid w:val="00587FCE"/>
    <w:rsid w:val="005905A1"/>
    <w:rsid w:val="00590AF9"/>
    <w:rsid w:val="00590E76"/>
    <w:rsid w:val="0059681F"/>
    <w:rsid w:val="005A18DE"/>
    <w:rsid w:val="005A34C0"/>
    <w:rsid w:val="005A42CC"/>
    <w:rsid w:val="005A5C84"/>
    <w:rsid w:val="005B2D7C"/>
    <w:rsid w:val="005B3197"/>
    <w:rsid w:val="005B3AE6"/>
    <w:rsid w:val="005C1276"/>
    <w:rsid w:val="005C18B6"/>
    <w:rsid w:val="005C265C"/>
    <w:rsid w:val="005C3550"/>
    <w:rsid w:val="005C3992"/>
    <w:rsid w:val="005C3B93"/>
    <w:rsid w:val="005D24DD"/>
    <w:rsid w:val="005D2577"/>
    <w:rsid w:val="005E52F1"/>
    <w:rsid w:val="005E7336"/>
    <w:rsid w:val="005F2CAE"/>
    <w:rsid w:val="005F75F0"/>
    <w:rsid w:val="00602A84"/>
    <w:rsid w:val="00604174"/>
    <w:rsid w:val="006058E3"/>
    <w:rsid w:val="00606AD6"/>
    <w:rsid w:val="0061167B"/>
    <w:rsid w:val="006146F3"/>
    <w:rsid w:val="00615896"/>
    <w:rsid w:val="00622F75"/>
    <w:rsid w:val="00626EBD"/>
    <w:rsid w:val="006275DC"/>
    <w:rsid w:val="006346FF"/>
    <w:rsid w:val="006352BB"/>
    <w:rsid w:val="0064131E"/>
    <w:rsid w:val="0064299F"/>
    <w:rsid w:val="00644075"/>
    <w:rsid w:val="006549CA"/>
    <w:rsid w:val="006578AD"/>
    <w:rsid w:val="00663F74"/>
    <w:rsid w:val="00664422"/>
    <w:rsid w:val="00664565"/>
    <w:rsid w:val="006651F0"/>
    <w:rsid w:val="006666E2"/>
    <w:rsid w:val="00666EBE"/>
    <w:rsid w:val="00667F6E"/>
    <w:rsid w:val="00674788"/>
    <w:rsid w:val="00685248"/>
    <w:rsid w:val="00687BB6"/>
    <w:rsid w:val="006930AC"/>
    <w:rsid w:val="00694E3A"/>
    <w:rsid w:val="006A633C"/>
    <w:rsid w:val="006B0424"/>
    <w:rsid w:val="006C20DF"/>
    <w:rsid w:val="006C42A7"/>
    <w:rsid w:val="006C5507"/>
    <w:rsid w:val="006D2048"/>
    <w:rsid w:val="006D3D40"/>
    <w:rsid w:val="006F066B"/>
    <w:rsid w:val="006F294D"/>
    <w:rsid w:val="006F567F"/>
    <w:rsid w:val="006F56B2"/>
    <w:rsid w:val="006F7B21"/>
    <w:rsid w:val="0070390D"/>
    <w:rsid w:val="00705068"/>
    <w:rsid w:val="0071399B"/>
    <w:rsid w:val="007142C7"/>
    <w:rsid w:val="007169F5"/>
    <w:rsid w:val="00722B37"/>
    <w:rsid w:val="0072405F"/>
    <w:rsid w:val="00735E1B"/>
    <w:rsid w:val="007409F7"/>
    <w:rsid w:val="00747191"/>
    <w:rsid w:val="007609D1"/>
    <w:rsid w:val="00765AC3"/>
    <w:rsid w:val="00770F0F"/>
    <w:rsid w:val="007710E3"/>
    <w:rsid w:val="00776E4C"/>
    <w:rsid w:val="00782A09"/>
    <w:rsid w:val="00784FDB"/>
    <w:rsid w:val="007857A2"/>
    <w:rsid w:val="0079462C"/>
    <w:rsid w:val="00795EF3"/>
    <w:rsid w:val="00796CC2"/>
    <w:rsid w:val="0079748B"/>
    <w:rsid w:val="007B30A5"/>
    <w:rsid w:val="007B4546"/>
    <w:rsid w:val="007B46DB"/>
    <w:rsid w:val="007B5D1E"/>
    <w:rsid w:val="007C07D4"/>
    <w:rsid w:val="007C251F"/>
    <w:rsid w:val="007C2895"/>
    <w:rsid w:val="007C6F6C"/>
    <w:rsid w:val="007C7B4A"/>
    <w:rsid w:val="007D0E49"/>
    <w:rsid w:val="007D113B"/>
    <w:rsid w:val="007D125F"/>
    <w:rsid w:val="007D248F"/>
    <w:rsid w:val="007D5903"/>
    <w:rsid w:val="007E06E8"/>
    <w:rsid w:val="007E1DF2"/>
    <w:rsid w:val="007E4864"/>
    <w:rsid w:val="007F2152"/>
    <w:rsid w:val="007F413E"/>
    <w:rsid w:val="007F7364"/>
    <w:rsid w:val="007F7ECC"/>
    <w:rsid w:val="007F7EED"/>
    <w:rsid w:val="00805A0F"/>
    <w:rsid w:val="0081054C"/>
    <w:rsid w:val="0081120C"/>
    <w:rsid w:val="00824962"/>
    <w:rsid w:val="0082555A"/>
    <w:rsid w:val="00826799"/>
    <w:rsid w:val="00835EA5"/>
    <w:rsid w:val="008367D1"/>
    <w:rsid w:val="00846B17"/>
    <w:rsid w:val="00846C4D"/>
    <w:rsid w:val="00852D76"/>
    <w:rsid w:val="00853402"/>
    <w:rsid w:val="0086104E"/>
    <w:rsid w:val="0086410C"/>
    <w:rsid w:val="00877FC8"/>
    <w:rsid w:val="0088157F"/>
    <w:rsid w:val="00881C04"/>
    <w:rsid w:val="00886496"/>
    <w:rsid w:val="008873DA"/>
    <w:rsid w:val="00891C52"/>
    <w:rsid w:val="00892F0F"/>
    <w:rsid w:val="0089438C"/>
    <w:rsid w:val="0089514A"/>
    <w:rsid w:val="008969F4"/>
    <w:rsid w:val="008A6659"/>
    <w:rsid w:val="008A6971"/>
    <w:rsid w:val="008B331B"/>
    <w:rsid w:val="008B5A83"/>
    <w:rsid w:val="008B5FDB"/>
    <w:rsid w:val="008C05CD"/>
    <w:rsid w:val="008C53D7"/>
    <w:rsid w:val="008C6468"/>
    <w:rsid w:val="008D3EC4"/>
    <w:rsid w:val="008D45D3"/>
    <w:rsid w:val="008E738D"/>
    <w:rsid w:val="00901673"/>
    <w:rsid w:val="00903315"/>
    <w:rsid w:val="0090424A"/>
    <w:rsid w:val="00904406"/>
    <w:rsid w:val="009053FD"/>
    <w:rsid w:val="00906DB8"/>
    <w:rsid w:val="00907B85"/>
    <w:rsid w:val="00907F2B"/>
    <w:rsid w:val="0091029F"/>
    <w:rsid w:val="0091641C"/>
    <w:rsid w:val="00924646"/>
    <w:rsid w:val="00927F70"/>
    <w:rsid w:val="00934CE6"/>
    <w:rsid w:val="00937584"/>
    <w:rsid w:val="00940CB7"/>
    <w:rsid w:val="00941E30"/>
    <w:rsid w:val="0094421A"/>
    <w:rsid w:val="0094499C"/>
    <w:rsid w:val="00944CBD"/>
    <w:rsid w:val="00946C9B"/>
    <w:rsid w:val="0095517D"/>
    <w:rsid w:val="00957C5B"/>
    <w:rsid w:val="00957E30"/>
    <w:rsid w:val="00961014"/>
    <w:rsid w:val="00964164"/>
    <w:rsid w:val="00965FE3"/>
    <w:rsid w:val="00982B19"/>
    <w:rsid w:val="00990B66"/>
    <w:rsid w:val="009A0E75"/>
    <w:rsid w:val="009A28D8"/>
    <w:rsid w:val="009A2FF4"/>
    <w:rsid w:val="009A3F62"/>
    <w:rsid w:val="009A6B3C"/>
    <w:rsid w:val="009B083F"/>
    <w:rsid w:val="009B3A54"/>
    <w:rsid w:val="009B4D37"/>
    <w:rsid w:val="009B51E9"/>
    <w:rsid w:val="009C1274"/>
    <w:rsid w:val="009C2BE4"/>
    <w:rsid w:val="009C3E3F"/>
    <w:rsid w:val="009D3D2A"/>
    <w:rsid w:val="009D3E94"/>
    <w:rsid w:val="009D47E3"/>
    <w:rsid w:val="009D5D49"/>
    <w:rsid w:val="009E13FF"/>
    <w:rsid w:val="009E38A2"/>
    <w:rsid w:val="009E3F69"/>
    <w:rsid w:val="009F3D6E"/>
    <w:rsid w:val="009F4453"/>
    <w:rsid w:val="00A01963"/>
    <w:rsid w:val="00A01E5C"/>
    <w:rsid w:val="00A05964"/>
    <w:rsid w:val="00A15258"/>
    <w:rsid w:val="00A1718F"/>
    <w:rsid w:val="00A367E1"/>
    <w:rsid w:val="00A40120"/>
    <w:rsid w:val="00A44C72"/>
    <w:rsid w:val="00A4789D"/>
    <w:rsid w:val="00A52D57"/>
    <w:rsid w:val="00A5578B"/>
    <w:rsid w:val="00A61A25"/>
    <w:rsid w:val="00A61F99"/>
    <w:rsid w:val="00A6415B"/>
    <w:rsid w:val="00A71ACC"/>
    <w:rsid w:val="00A739AF"/>
    <w:rsid w:val="00A74B1D"/>
    <w:rsid w:val="00A755DA"/>
    <w:rsid w:val="00A763D9"/>
    <w:rsid w:val="00A8144D"/>
    <w:rsid w:val="00A82E22"/>
    <w:rsid w:val="00A83312"/>
    <w:rsid w:val="00A84A51"/>
    <w:rsid w:val="00A85F92"/>
    <w:rsid w:val="00A87BCF"/>
    <w:rsid w:val="00A90EA9"/>
    <w:rsid w:val="00A92459"/>
    <w:rsid w:val="00A9343A"/>
    <w:rsid w:val="00AA5E24"/>
    <w:rsid w:val="00AA7E44"/>
    <w:rsid w:val="00AB53E6"/>
    <w:rsid w:val="00AB708B"/>
    <w:rsid w:val="00AC4C14"/>
    <w:rsid w:val="00AC509C"/>
    <w:rsid w:val="00AC5A78"/>
    <w:rsid w:val="00AD19F2"/>
    <w:rsid w:val="00AE3712"/>
    <w:rsid w:val="00AE4525"/>
    <w:rsid w:val="00AF1C01"/>
    <w:rsid w:val="00B02A00"/>
    <w:rsid w:val="00B07866"/>
    <w:rsid w:val="00B10D25"/>
    <w:rsid w:val="00B116C3"/>
    <w:rsid w:val="00B1294A"/>
    <w:rsid w:val="00B16299"/>
    <w:rsid w:val="00B16906"/>
    <w:rsid w:val="00B1743F"/>
    <w:rsid w:val="00B200A3"/>
    <w:rsid w:val="00B204CA"/>
    <w:rsid w:val="00B20DAA"/>
    <w:rsid w:val="00B22A73"/>
    <w:rsid w:val="00B249B1"/>
    <w:rsid w:val="00B336FC"/>
    <w:rsid w:val="00B34230"/>
    <w:rsid w:val="00B418D5"/>
    <w:rsid w:val="00B43BA8"/>
    <w:rsid w:val="00B47213"/>
    <w:rsid w:val="00B503C2"/>
    <w:rsid w:val="00B52EC6"/>
    <w:rsid w:val="00B53577"/>
    <w:rsid w:val="00B56948"/>
    <w:rsid w:val="00B612B7"/>
    <w:rsid w:val="00B64546"/>
    <w:rsid w:val="00B66766"/>
    <w:rsid w:val="00B7662B"/>
    <w:rsid w:val="00B80C60"/>
    <w:rsid w:val="00B81D20"/>
    <w:rsid w:val="00B8355D"/>
    <w:rsid w:val="00B87A96"/>
    <w:rsid w:val="00B92D51"/>
    <w:rsid w:val="00BA2E19"/>
    <w:rsid w:val="00BA2EFF"/>
    <w:rsid w:val="00BA5F46"/>
    <w:rsid w:val="00BB0983"/>
    <w:rsid w:val="00BB5BB3"/>
    <w:rsid w:val="00BB5DEB"/>
    <w:rsid w:val="00BB7CB7"/>
    <w:rsid w:val="00BC50D8"/>
    <w:rsid w:val="00BC5C0F"/>
    <w:rsid w:val="00BE03C3"/>
    <w:rsid w:val="00BE0CBB"/>
    <w:rsid w:val="00BF0E4F"/>
    <w:rsid w:val="00BF1139"/>
    <w:rsid w:val="00BF21D7"/>
    <w:rsid w:val="00BF540E"/>
    <w:rsid w:val="00BF5593"/>
    <w:rsid w:val="00C075C4"/>
    <w:rsid w:val="00C07A74"/>
    <w:rsid w:val="00C103B0"/>
    <w:rsid w:val="00C13A6A"/>
    <w:rsid w:val="00C15E77"/>
    <w:rsid w:val="00C1794C"/>
    <w:rsid w:val="00C214FD"/>
    <w:rsid w:val="00C27219"/>
    <w:rsid w:val="00C30DA9"/>
    <w:rsid w:val="00C31986"/>
    <w:rsid w:val="00C43FEE"/>
    <w:rsid w:val="00C61FB1"/>
    <w:rsid w:val="00C64C11"/>
    <w:rsid w:val="00C65429"/>
    <w:rsid w:val="00C65D74"/>
    <w:rsid w:val="00C77155"/>
    <w:rsid w:val="00C7760C"/>
    <w:rsid w:val="00C80A0F"/>
    <w:rsid w:val="00C80D72"/>
    <w:rsid w:val="00C84BD1"/>
    <w:rsid w:val="00C9306D"/>
    <w:rsid w:val="00CA1743"/>
    <w:rsid w:val="00CA5C05"/>
    <w:rsid w:val="00CC055D"/>
    <w:rsid w:val="00CC0E09"/>
    <w:rsid w:val="00CC46E7"/>
    <w:rsid w:val="00CC55A0"/>
    <w:rsid w:val="00CD031F"/>
    <w:rsid w:val="00CD0A52"/>
    <w:rsid w:val="00CD1753"/>
    <w:rsid w:val="00CD1EE2"/>
    <w:rsid w:val="00CD305E"/>
    <w:rsid w:val="00CD7051"/>
    <w:rsid w:val="00CE1B4A"/>
    <w:rsid w:val="00CE23BC"/>
    <w:rsid w:val="00CE47E1"/>
    <w:rsid w:val="00CE4C05"/>
    <w:rsid w:val="00CF0829"/>
    <w:rsid w:val="00CF5080"/>
    <w:rsid w:val="00D01A78"/>
    <w:rsid w:val="00D13703"/>
    <w:rsid w:val="00D1649E"/>
    <w:rsid w:val="00D2568A"/>
    <w:rsid w:val="00D3342D"/>
    <w:rsid w:val="00D3491F"/>
    <w:rsid w:val="00D350D2"/>
    <w:rsid w:val="00D45D27"/>
    <w:rsid w:val="00D51743"/>
    <w:rsid w:val="00D56AD1"/>
    <w:rsid w:val="00D626AF"/>
    <w:rsid w:val="00D66BBF"/>
    <w:rsid w:val="00D704DB"/>
    <w:rsid w:val="00D752FA"/>
    <w:rsid w:val="00D7578A"/>
    <w:rsid w:val="00D80324"/>
    <w:rsid w:val="00D867A2"/>
    <w:rsid w:val="00D912A8"/>
    <w:rsid w:val="00D97C36"/>
    <w:rsid w:val="00DA71EA"/>
    <w:rsid w:val="00DB2F3A"/>
    <w:rsid w:val="00DC0959"/>
    <w:rsid w:val="00DC5E2E"/>
    <w:rsid w:val="00DC66E7"/>
    <w:rsid w:val="00DC6F88"/>
    <w:rsid w:val="00DD6F5D"/>
    <w:rsid w:val="00DE58F1"/>
    <w:rsid w:val="00DE7538"/>
    <w:rsid w:val="00DE78F4"/>
    <w:rsid w:val="00DF5F7C"/>
    <w:rsid w:val="00E01F86"/>
    <w:rsid w:val="00E03180"/>
    <w:rsid w:val="00E03D1D"/>
    <w:rsid w:val="00E043A1"/>
    <w:rsid w:val="00E04720"/>
    <w:rsid w:val="00E17F9C"/>
    <w:rsid w:val="00E20167"/>
    <w:rsid w:val="00E235B3"/>
    <w:rsid w:val="00E23EF5"/>
    <w:rsid w:val="00E23FCD"/>
    <w:rsid w:val="00E27865"/>
    <w:rsid w:val="00E31601"/>
    <w:rsid w:val="00E327E6"/>
    <w:rsid w:val="00E40851"/>
    <w:rsid w:val="00E40F23"/>
    <w:rsid w:val="00E45FD3"/>
    <w:rsid w:val="00E46F6B"/>
    <w:rsid w:val="00E57726"/>
    <w:rsid w:val="00E61A90"/>
    <w:rsid w:val="00E62003"/>
    <w:rsid w:val="00E6216D"/>
    <w:rsid w:val="00E622A8"/>
    <w:rsid w:val="00E65D9D"/>
    <w:rsid w:val="00E74895"/>
    <w:rsid w:val="00E858A6"/>
    <w:rsid w:val="00E86E4B"/>
    <w:rsid w:val="00E9126E"/>
    <w:rsid w:val="00EA2A46"/>
    <w:rsid w:val="00EA365E"/>
    <w:rsid w:val="00EA7710"/>
    <w:rsid w:val="00EB1E2E"/>
    <w:rsid w:val="00EB470A"/>
    <w:rsid w:val="00ED12C6"/>
    <w:rsid w:val="00ED2300"/>
    <w:rsid w:val="00ED775C"/>
    <w:rsid w:val="00EF00FA"/>
    <w:rsid w:val="00F0604A"/>
    <w:rsid w:val="00F1146F"/>
    <w:rsid w:val="00F15CB8"/>
    <w:rsid w:val="00F21BD0"/>
    <w:rsid w:val="00F25952"/>
    <w:rsid w:val="00F27872"/>
    <w:rsid w:val="00F34A95"/>
    <w:rsid w:val="00F573F5"/>
    <w:rsid w:val="00F5772F"/>
    <w:rsid w:val="00F600FD"/>
    <w:rsid w:val="00F60EFA"/>
    <w:rsid w:val="00F61B04"/>
    <w:rsid w:val="00F62D8E"/>
    <w:rsid w:val="00F7229E"/>
    <w:rsid w:val="00F7625B"/>
    <w:rsid w:val="00F76E93"/>
    <w:rsid w:val="00F80D86"/>
    <w:rsid w:val="00F83BCB"/>
    <w:rsid w:val="00F8483B"/>
    <w:rsid w:val="00F9241D"/>
    <w:rsid w:val="00F943FC"/>
    <w:rsid w:val="00F9451E"/>
    <w:rsid w:val="00F94DA1"/>
    <w:rsid w:val="00FA74A2"/>
    <w:rsid w:val="00FB1897"/>
    <w:rsid w:val="00FC2A57"/>
    <w:rsid w:val="00FC5730"/>
    <w:rsid w:val="00FD3512"/>
    <w:rsid w:val="00FD4319"/>
    <w:rsid w:val="00FD7C49"/>
    <w:rsid w:val="00FE16E4"/>
    <w:rsid w:val="00FE37C9"/>
    <w:rsid w:val="00FE61BB"/>
    <w:rsid w:val="00FE6679"/>
    <w:rsid w:val="00FE72B6"/>
    <w:rsid w:val="00FF2D8E"/>
    <w:rsid w:val="052C9983"/>
    <w:rsid w:val="05A3FBC7"/>
    <w:rsid w:val="18CBF14C"/>
    <w:rsid w:val="1AF6F2DB"/>
    <w:rsid w:val="2F246F14"/>
    <w:rsid w:val="4316A450"/>
    <w:rsid w:val="6AA8E620"/>
    <w:rsid w:val="7BDF0B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B1A77"/>
  <w15:chartTrackingRefBased/>
  <w15:docId w15:val="{FE3BE883-5F73-4415-B0A3-8F3CC083E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51E"/>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B5FDB"/>
    <w:pPr>
      <w:tabs>
        <w:tab w:val="center" w:pos="4419"/>
        <w:tab w:val="right" w:pos="8838"/>
      </w:tabs>
    </w:pPr>
  </w:style>
  <w:style w:type="character" w:customStyle="1" w:styleId="EncabezadoCar">
    <w:name w:val="Encabezado Car"/>
    <w:basedOn w:val="Fuentedeprrafopredeter"/>
    <w:link w:val="Encabezado"/>
    <w:uiPriority w:val="99"/>
    <w:rsid w:val="008B5FDB"/>
  </w:style>
  <w:style w:type="paragraph" w:styleId="Piedepgina">
    <w:name w:val="footer"/>
    <w:basedOn w:val="Normal"/>
    <w:link w:val="PiedepginaCar"/>
    <w:uiPriority w:val="99"/>
    <w:unhideWhenUsed/>
    <w:rsid w:val="008B5FDB"/>
    <w:pPr>
      <w:tabs>
        <w:tab w:val="center" w:pos="4419"/>
        <w:tab w:val="right" w:pos="8838"/>
      </w:tabs>
    </w:pPr>
  </w:style>
  <w:style w:type="character" w:customStyle="1" w:styleId="PiedepginaCar">
    <w:name w:val="Pie de página Car"/>
    <w:basedOn w:val="Fuentedeprrafopredeter"/>
    <w:link w:val="Piedepgina"/>
    <w:uiPriority w:val="99"/>
    <w:rsid w:val="008B5FDB"/>
  </w:style>
  <w:style w:type="paragraph" w:styleId="NormalWeb">
    <w:name w:val="Normal (Web)"/>
    <w:basedOn w:val="Normal"/>
    <w:uiPriority w:val="99"/>
    <w:unhideWhenUsed/>
    <w:rsid w:val="008B5FDB"/>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locked/>
    <w:rsid w:val="008B5FDB"/>
    <w:rPr>
      <w:rFonts w:ascii="Times New Roman" w:eastAsia="Times New Roman" w:hAnsi="Times New Roman" w:cs="Times New Roman"/>
      <w:sz w:val="20"/>
      <w:szCs w:val="20"/>
      <w:lang w:val="es-ES" w:eastAsia="es-ES"/>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B5FDB"/>
    <w:rPr>
      <w:sz w:val="20"/>
      <w:szCs w:val="20"/>
      <w:lang w:val="es-ES" w:eastAsia="es-ES"/>
    </w:rPr>
  </w:style>
  <w:style w:type="character" w:customStyle="1" w:styleId="TextonotapieCar1">
    <w:name w:val="Texto nota pie Car1"/>
    <w:basedOn w:val="Fuentedeprrafopredeter"/>
    <w:uiPriority w:val="99"/>
    <w:semiHidden/>
    <w:rsid w:val="008B5FDB"/>
    <w:rPr>
      <w:sz w:val="20"/>
      <w:szCs w:val="20"/>
    </w:rPr>
  </w:style>
  <w:style w:type="paragraph" w:customStyle="1" w:styleId="Notaapie">
    <w:name w:val="Nota a pie"/>
    <w:basedOn w:val="Textonotapie"/>
    <w:uiPriority w:val="99"/>
    <w:rsid w:val="008B5FDB"/>
    <w:pPr>
      <w:ind w:left="180"/>
      <w:jc w:val="both"/>
    </w:pPr>
    <w:rPr>
      <w:rFonts w:ascii="Arial Narrow" w:hAnsi="Arial Narrow"/>
      <w:b/>
      <w:sz w:val="16"/>
      <w:szCs w:val="16"/>
    </w:rPr>
  </w:style>
  <w:style w:type="character" w:customStyle="1" w:styleId="Refdenotaalpie1">
    <w:name w:val="Ref. de nota al pie1"/>
    <w:aliases w:val="Ref,de nota al pie,註腳內容,FC,16 Point,Superscript 6 Point,Ref.,de,nota,al,pie,Texto,Char,ftref,Referencia nota al pie,Car Car Car Car Car Car Car Car Car Car Car Car Car Car Car1,Car Car1 C,Car2 Car1,C1,Ca Ca,Car1,Car21"/>
    <w:qFormat/>
    <w:rsid w:val="008B5FDB"/>
    <w:rPr>
      <w:vertAlign w:val="superscript"/>
    </w:rPr>
  </w:style>
  <w:style w:type="character" w:customStyle="1" w:styleId="apple-tab-span">
    <w:name w:val="apple-tab-span"/>
    <w:rsid w:val="008B5FDB"/>
  </w:style>
  <w:style w:type="character" w:styleId="Refdenotaalpie">
    <w:name w:val="footnote reference"/>
    <w:aliases w:val="Texto nota pie1"/>
    <w:link w:val="Texto1"/>
    <w:uiPriority w:val="99"/>
    <w:unhideWhenUsed/>
    <w:qFormat/>
    <w:rsid w:val="008B5FDB"/>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2F158F"/>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2F158F"/>
    <w:pPr>
      <w:spacing w:after="200" w:line="276" w:lineRule="auto"/>
      <w:ind w:left="720"/>
      <w:contextualSpacing/>
    </w:pPr>
  </w:style>
  <w:style w:type="paragraph" w:styleId="Textonotaalfinal">
    <w:name w:val="endnote text"/>
    <w:basedOn w:val="Normal"/>
    <w:link w:val="TextonotaalfinalCar"/>
    <w:uiPriority w:val="99"/>
    <w:unhideWhenUsed/>
    <w:rsid w:val="00965FE3"/>
    <w:rPr>
      <w:color w:val="000000"/>
      <w:sz w:val="20"/>
      <w:szCs w:val="20"/>
    </w:rPr>
  </w:style>
  <w:style w:type="character" w:customStyle="1" w:styleId="TextonotaalfinalCar">
    <w:name w:val="Texto nota al final Car"/>
    <w:basedOn w:val="Fuentedeprrafopredeter"/>
    <w:link w:val="Textonotaalfinal"/>
    <w:uiPriority w:val="99"/>
    <w:rsid w:val="00965FE3"/>
    <w:rPr>
      <w:rFonts w:ascii="Times New Roman" w:eastAsia="Times New Roman" w:hAnsi="Times New Roman" w:cs="Times New Roman"/>
      <w:color w:val="000000"/>
      <w:sz w:val="20"/>
      <w:szCs w:val="20"/>
      <w:lang w:eastAsia="es-PE"/>
    </w:rPr>
  </w:style>
  <w:style w:type="paragraph" w:customStyle="1" w:styleId="cuerpo">
    <w:name w:val="cuerpo"/>
    <w:basedOn w:val="Normal"/>
    <w:rsid w:val="00965FE3"/>
    <w:pPr>
      <w:spacing w:before="100" w:beforeAutospacing="1" w:after="100" w:afterAutospacing="1"/>
    </w:pPr>
  </w:style>
  <w:style w:type="paragraph" w:styleId="Sinespaciado">
    <w:name w:val="No Spacing"/>
    <w:uiPriority w:val="1"/>
    <w:qFormat/>
    <w:rsid w:val="00965FE3"/>
    <w:pPr>
      <w:spacing w:after="0" w:line="240" w:lineRule="auto"/>
    </w:pPr>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965FE3"/>
    <w:rPr>
      <w:vertAlign w:val="superscript"/>
    </w:rPr>
  </w:style>
  <w:style w:type="character" w:customStyle="1" w:styleId="Ninguno">
    <w:name w:val="Ninguno"/>
    <w:autoRedefine/>
    <w:rsid w:val="003652AE"/>
  </w:style>
  <w:style w:type="paragraph" w:styleId="Revisin">
    <w:name w:val="Revision"/>
    <w:hidden/>
    <w:uiPriority w:val="99"/>
    <w:semiHidden/>
    <w:rsid w:val="00AB708B"/>
    <w:pPr>
      <w:spacing w:after="0" w:line="240" w:lineRule="auto"/>
    </w:pPr>
  </w:style>
  <w:style w:type="paragraph" w:styleId="Textodeglobo">
    <w:name w:val="Balloon Text"/>
    <w:basedOn w:val="Normal"/>
    <w:link w:val="TextodegloboCar"/>
    <w:uiPriority w:val="99"/>
    <w:semiHidden/>
    <w:unhideWhenUsed/>
    <w:rsid w:val="00AB708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B708B"/>
    <w:rPr>
      <w:rFonts w:ascii="Segoe UI" w:hAnsi="Segoe UI" w:cs="Segoe UI"/>
      <w:sz w:val="18"/>
      <w:szCs w:val="18"/>
    </w:rPr>
  </w:style>
  <w:style w:type="character" w:styleId="Refdecomentario">
    <w:name w:val="annotation reference"/>
    <w:basedOn w:val="Fuentedeprrafopredeter"/>
    <w:uiPriority w:val="99"/>
    <w:semiHidden/>
    <w:unhideWhenUsed/>
    <w:rsid w:val="00E622A8"/>
    <w:rPr>
      <w:sz w:val="16"/>
      <w:szCs w:val="16"/>
    </w:rPr>
  </w:style>
  <w:style w:type="paragraph" w:styleId="Textocomentario">
    <w:name w:val="annotation text"/>
    <w:basedOn w:val="Normal"/>
    <w:link w:val="TextocomentarioCar"/>
    <w:uiPriority w:val="99"/>
    <w:unhideWhenUsed/>
    <w:rsid w:val="00E622A8"/>
    <w:rPr>
      <w:sz w:val="20"/>
      <w:szCs w:val="20"/>
    </w:rPr>
  </w:style>
  <w:style w:type="character" w:customStyle="1" w:styleId="TextocomentarioCar">
    <w:name w:val="Texto comentario Car"/>
    <w:basedOn w:val="Fuentedeprrafopredeter"/>
    <w:link w:val="Textocomentario"/>
    <w:uiPriority w:val="99"/>
    <w:rsid w:val="00E622A8"/>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622A8"/>
    <w:rPr>
      <w:b/>
      <w:bCs/>
    </w:rPr>
  </w:style>
  <w:style w:type="character" w:customStyle="1" w:styleId="AsuntodelcomentarioCar">
    <w:name w:val="Asunto del comentario Car"/>
    <w:basedOn w:val="TextocomentarioCar"/>
    <w:link w:val="Asuntodelcomentario"/>
    <w:uiPriority w:val="99"/>
    <w:semiHidden/>
    <w:rsid w:val="00E622A8"/>
    <w:rPr>
      <w:rFonts w:ascii="Times New Roman" w:eastAsia="Times New Roman" w:hAnsi="Times New Roman" w:cs="Times New Roman"/>
      <w:b/>
      <w:bCs/>
      <w:sz w:val="20"/>
      <w:szCs w:val="20"/>
      <w:lang w:eastAsia="es-PE"/>
    </w:rPr>
  </w:style>
  <w:style w:type="character" w:styleId="Hipervnculo">
    <w:name w:val="Hyperlink"/>
    <w:basedOn w:val="Fuentedeprrafopredeter"/>
    <w:uiPriority w:val="99"/>
    <w:unhideWhenUsed/>
    <w:rsid w:val="00085FFF"/>
    <w:rPr>
      <w:color w:val="0563C1" w:themeColor="hyperlink"/>
      <w:u w:val="single"/>
    </w:rPr>
  </w:style>
  <w:style w:type="character" w:customStyle="1" w:styleId="Mencinsinresolver1">
    <w:name w:val="Mención sin resolver1"/>
    <w:basedOn w:val="Fuentedeprrafopredeter"/>
    <w:uiPriority w:val="99"/>
    <w:semiHidden/>
    <w:unhideWhenUsed/>
    <w:rsid w:val="00085FFF"/>
    <w:rPr>
      <w:color w:val="605E5C"/>
      <w:shd w:val="clear" w:color="auto" w:fill="E1DFDD"/>
    </w:rPr>
  </w:style>
  <w:style w:type="table" w:styleId="Tablaconcuadrcula">
    <w:name w:val="Table Grid"/>
    <w:basedOn w:val="Tablanormal"/>
    <w:uiPriority w:val="39"/>
    <w:rsid w:val="006D3D40"/>
    <w:pPr>
      <w:spacing w:after="0" w:line="240" w:lineRule="auto"/>
    </w:pPr>
    <w:rPr>
      <w:rFonts w:ascii="Arial" w:eastAsia="Arial" w:hAnsi="Arial" w:cs="Arial"/>
      <w:color w:val="00000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789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850727">
      <w:bodyDiv w:val="1"/>
      <w:marLeft w:val="0"/>
      <w:marRight w:val="0"/>
      <w:marTop w:val="0"/>
      <w:marBottom w:val="0"/>
      <w:divBdr>
        <w:top w:val="none" w:sz="0" w:space="0" w:color="auto"/>
        <w:left w:val="none" w:sz="0" w:space="0" w:color="auto"/>
        <w:bottom w:val="none" w:sz="0" w:space="0" w:color="auto"/>
        <w:right w:val="none" w:sz="0" w:space="0" w:color="auto"/>
      </w:divBdr>
      <w:divsChild>
        <w:div w:id="454375916">
          <w:marLeft w:val="0"/>
          <w:marRight w:val="0"/>
          <w:marTop w:val="0"/>
          <w:marBottom w:val="0"/>
          <w:divBdr>
            <w:top w:val="none" w:sz="0" w:space="0" w:color="auto"/>
            <w:left w:val="none" w:sz="0" w:space="0" w:color="auto"/>
            <w:bottom w:val="none" w:sz="0" w:space="0" w:color="auto"/>
            <w:right w:val="none" w:sz="0" w:space="0" w:color="auto"/>
          </w:divBdr>
        </w:div>
      </w:divsChild>
    </w:div>
    <w:div w:id="713425943">
      <w:bodyDiv w:val="1"/>
      <w:marLeft w:val="0"/>
      <w:marRight w:val="0"/>
      <w:marTop w:val="0"/>
      <w:marBottom w:val="0"/>
      <w:divBdr>
        <w:top w:val="none" w:sz="0" w:space="0" w:color="auto"/>
        <w:left w:val="none" w:sz="0" w:space="0" w:color="auto"/>
        <w:bottom w:val="none" w:sz="0" w:space="0" w:color="auto"/>
        <w:right w:val="none" w:sz="0" w:space="0" w:color="auto"/>
      </w:divBdr>
      <w:divsChild>
        <w:div w:id="595752272">
          <w:marLeft w:val="0"/>
          <w:marRight w:val="0"/>
          <w:marTop w:val="0"/>
          <w:marBottom w:val="0"/>
          <w:divBdr>
            <w:top w:val="none" w:sz="0" w:space="0" w:color="auto"/>
            <w:left w:val="none" w:sz="0" w:space="0" w:color="auto"/>
            <w:bottom w:val="none" w:sz="0" w:space="0" w:color="auto"/>
            <w:right w:val="none" w:sz="0" w:space="0" w:color="auto"/>
          </w:divBdr>
        </w:div>
      </w:divsChild>
    </w:div>
    <w:div w:id="819079751">
      <w:bodyDiv w:val="1"/>
      <w:marLeft w:val="0"/>
      <w:marRight w:val="0"/>
      <w:marTop w:val="0"/>
      <w:marBottom w:val="0"/>
      <w:divBdr>
        <w:top w:val="none" w:sz="0" w:space="0" w:color="auto"/>
        <w:left w:val="none" w:sz="0" w:space="0" w:color="auto"/>
        <w:bottom w:val="none" w:sz="0" w:space="0" w:color="auto"/>
        <w:right w:val="none" w:sz="0" w:space="0" w:color="auto"/>
      </w:divBdr>
    </w:div>
    <w:div w:id="821234986">
      <w:bodyDiv w:val="1"/>
      <w:marLeft w:val="0"/>
      <w:marRight w:val="0"/>
      <w:marTop w:val="0"/>
      <w:marBottom w:val="0"/>
      <w:divBdr>
        <w:top w:val="none" w:sz="0" w:space="0" w:color="auto"/>
        <w:left w:val="none" w:sz="0" w:space="0" w:color="auto"/>
        <w:bottom w:val="none" w:sz="0" w:space="0" w:color="auto"/>
        <w:right w:val="none" w:sz="0" w:space="0" w:color="auto"/>
      </w:divBdr>
    </w:div>
    <w:div w:id="1411080923">
      <w:bodyDiv w:val="1"/>
      <w:marLeft w:val="0"/>
      <w:marRight w:val="0"/>
      <w:marTop w:val="0"/>
      <w:marBottom w:val="0"/>
      <w:divBdr>
        <w:top w:val="none" w:sz="0" w:space="0" w:color="auto"/>
        <w:left w:val="none" w:sz="0" w:space="0" w:color="auto"/>
        <w:bottom w:val="none" w:sz="0" w:space="0" w:color="auto"/>
        <w:right w:val="none" w:sz="0" w:space="0" w:color="auto"/>
      </w:divBdr>
    </w:div>
    <w:div w:id="1816487814">
      <w:bodyDiv w:val="1"/>
      <w:marLeft w:val="0"/>
      <w:marRight w:val="0"/>
      <w:marTop w:val="0"/>
      <w:marBottom w:val="0"/>
      <w:divBdr>
        <w:top w:val="none" w:sz="0" w:space="0" w:color="auto"/>
        <w:left w:val="none" w:sz="0" w:space="0" w:color="auto"/>
        <w:bottom w:val="none" w:sz="0" w:space="0" w:color="auto"/>
        <w:right w:val="none" w:sz="0" w:space="0" w:color="auto"/>
      </w:divBdr>
    </w:div>
    <w:div w:id="1878734640">
      <w:bodyDiv w:val="1"/>
      <w:marLeft w:val="0"/>
      <w:marRight w:val="0"/>
      <w:marTop w:val="0"/>
      <w:marBottom w:val="0"/>
      <w:divBdr>
        <w:top w:val="none" w:sz="0" w:space="0" w:color="auto"/>
        <w:left w:val="none" w:sz="0" w:space="0" w:color="auto"/>
        <w:bottom w:val="none" w:sz="0" w:space="0" w:color="auto"/>
        <w:right w:val="none" w:sz="0" w:space="0" w:color="auto"/>
      </w:divBdr>
    </w:div>
    <w:div w:id="197829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F8EC0721C1024B8E5C0ED88AB336B5" ma:contentTypeVersion="10" ma:contentTypeDescription="Crear nuevo documento." ma:contentTypeScope="" ma:versionID="647e9588e8fa6244f387ca9296f37328">
  <xsd:schema xmlns:xsd="http://www.w3.org/2001/XMLSchema" xmlns:xs="http://www.w3.org/2001/XMLSchema" xmlns:p="http://schemas.microsoft.com/office/2006/metadata/properties" xmlns:ns2="d6ca5d36-5c9f-4653-bec8-1cb66b9015e0" xmlns:ns3="058a09ca-2265-475f-9d49-654a64812a9e" targetNamespace="http://schemas.microsoft.com/office/2006/metadata/properties" ma:root="true" ma:fieldsID="bf1a3483d6b875bd348ab1a7a5a58f02" ns2:_="" ns3:_="">
    <xsd:import namespace="d6ca5d36-5c9f-4653-bec8-1cb66b9015e0"/>
    <xsd:import namespace="058a09ca-2265-475f-9d49-654a64812a9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a09ca-2265-475f-9d49-654a64812a9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D53DSPH32EA6-477224038-5679</_dlc_DocId>
    <_dlc_DocIdUrl xmlns="d6ca5d36-5c9f-4653-bec8-1cb66b9015e0">
      <Url>https://indecopi.sharepoint.com/sites/cc1_docs/_layouts/15/DocIdRedir.aspx?ID=D53DSPH32EA6-477224038-5679</Url>
      <Description>D53DSPH32EA6-477224038-5679</Description>
    </_dlc_DocIdUrl>
    <_dlc_DocIdPersistId xmlns="d6ca5d36-5c9f-4653-bec8-1cb66b9015e0">false</_dlc_DocIdPersistI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8C482-FE51-4F01-8883-0A8168E38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58a09ca-2265-475f-9d49-654a64812a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C8FC09-A3D7-4553-8C08-8E603300CA55}">
  <ds:schemaRefs>
    <ds:schemaRef ds:uri="http://schemas.microsoft.com/office/2006/metadata/properties"/>
    <ds:schemaRef ds:uri="http://schemas.microsoft.com/office/infopath/2007/PartnerControls"/>
    <ds:schemaRef ds:uri="d6ca5d36-5c9f-4653-bec8-1cb66b9015e0"/>
  </ds:schemaRefs>
</ds:datastoreItem>
</file>

<file path=customXml/itemProps3.xml><?xml version="1.0" encoding="utf-8"?>
<ds:datastoreItem xmlns:ds="http://schemas.openxmlformats.org/officeDocument/2006/customXml" ds:itemID="{24BE2DE8-C5A1-4E9A-A44C-C3D4340C4C22}">
  <ds:schemaRefs>
    <ds:schemaRef ds:uri="http://schemas.microsoft.com/sharepoint/v3/contenttype/forms"/>
  </ds:schemaRefs>
</ds:datastoreItem>
</file>

<file path=customXml/itemProps4.xml><?xml version="1.0" encoding="utf-8"?>
<ds:datastoreItem xmlns:ds="http://schemas.openxmlformats.org/officeDocument/2006/customXml" ds:itemID="{36B794C6-66F2-4F7F-87BC-4E7ADEAE77E4}">
  <ds:schemaRefs>
    <ds:schemaRef ds:uri="http://schemas.microsoft.com/sharepoint/events"/>
  </ds:schemaRefs>
</ds:datastoreItem>
</file>

<file path=customXml/itemProps5.xml><?xml version="1.0" encoding="utf-8"?>
<ds:datastoreItem xmlns:ds="http://schemas.openxmlformats.org/officeDocument/2006/customXml" ds:itemID="{A5B2D9DD-EEB3-4E48-AAD7-EE34DEFDE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7</Pages>
  <Words>1802</Words>
  <Characters>9574</Characters>
  <Application>Microsoft Office Word</Application>
  <DocSecurity>0</DocSecurity>
  <Lines>188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Alberto Murillo Castillo</dc:creator>
  <cp:keywords/>
  <dc:description/>
  <cp:lastModifiedBy>José David Chávez Quispe</cp:lastModifiedBy>
  <cp:revision>18</cp:revision>
  <dcterms:created xsi:type="dcterms:W3CDTF">2022-07-19T16:54:00Z</dcterms:created>
  <dcterms:modified xsi:type="dcterms:W3CDTF">2025-12-03T18:02:00Z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0x010100FDF8EC0721C1024B8E5C0ED88AB336B5</vt:lpwstr>
  </property>
  <property fmtid="{D5CDD505-2E9C-101B-9397-08002B2CF9AE}" pid="3" name="_dlc_DocIdItemGuid">
    <vt:lpwstr>894c0033-f4f0-4e9b-a6af-37703564680c</vt:lpwstr>
  </property>
  <property fmtid="{D5CDD505-2E9C-101B-9397-08002B2CF9AE}" pid="4" name="AuthorIds_UIVersion_1536">
    <vt:lpwstr>133</vt:lpwstr>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AuthorIds_UIVersion_2048">
    <vt:lpwstr>44</vt:lpwstr>
  </property>
  <property fmtid="{D5CDD505-2E9C-101B-9397-08002B2CF9AE}" pid="10" name="AuthorIds_UIVersion_3584">
    <vt:lpwstr>133</vt:lpwstr>
  </property>
  <property fmtid="{D5CDD505-2E9C-101B-9397-08002B2CF9AE}" pid="11" name="AuthorIds_UIVersion_512">
    <vt:lpwstr>81</vt:lpwstr>
  </property>
  <property fmtid="{D5CDD505-2E9C-101B-9397-08002B2CF9AE}" pid="12" name="AuthorIds_UIVersion_3072">
    <vt:lpwstr>23</vt:lpwstr>
  </property>
  <property fmtid="{D5CDD505-2E9C-101B-9397-08002B2CF9AE}" pid="13" name="AuthorIds_UIVersion_4096">
    <vt:lpwstr>81</vt:lpwstr>
  </property>
</Properties>
</file>