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9DFB4" w14:textId="05664746" w:rsidR="00690F69" w:rsidRPr="00CD221B" w:rsidRDefault="00690F69" w:rsidP="00690F69">
      <w:pPr>
        <w:spacing w:after="0" w:line="240" w:lineRule="auto"/>
        <w:jc w:val="right"/>
        <w:rPr>
          <w:rFonts w:ascii="Arial Narrow" w:eastAsia="Times New Roman" w:hAnsi="Arial Narrow" w:cs="Times New Roman"/>
          <w:b/>
          <w:bCs/>
          <w:kern w:val="0"/>
          <w:sz w:val="20"/>
          <w:szCs w:val="20"/>
          <w:u w:val="single"/>
          <w:lang w:val="es-ES" w:eastAsia="es-ES"/>
          <w14:ligatures w14:val="none"/>
        </w:rPr>
      </w:pPr>
      <w:r w:rsidRPr="00CD221B">
        <w:rPr>
          <w:rFonts w:ascii="Arial Narrow" w:eastAsia="Times New Roman" w:hAnsi="Arial Narrow" w:cs="Times New Roman"/>
          <w:b/>
          <w:bCs/>
          <w:kern w:val="0"/>
          <w:sz w:val="20"/>
          <w:szCs w:val="20"/>
          <w:u w:val="single"/>
          <w:lang w:val="es-ES" w:eastAsia="es-ES"/>
          <w14:ligatures w14:val="none"/>
        </w:rPr>
        <w:t>Expediente N°</w:t>
      </w:r>
      <w:r w:rsidR="00F853D1" w:rsidRPr="00782071">
        <w:rPr>
          <w:rFonts w:ascii="Arial Narrow" w:eastAsia="Times New Roman" w:hAnsi="Arial Narrow" w:cs="Times New Roman"/>
          <w:b/>
          <w:bCs/>
          <w:kern w:val="0"/>
          <w:sz w:val="20"/>
          <w:szCs w:val="20"/>
          <w:highlight w:val="green"/>
          <w:u w:val="single"/>
          <w:lang w:val="es-ES" w:eastAsia="es-ES"/>
          <w14:ligatures w14:val="none"/>
        </w:rPr>
        <w:t>0936-2025</w:t>
      </w:r>
      <w:r w:rsidR="00F853D1" w:rsidRPr="00CD221B">
        <w:rPr>
          <w:rFonts w:ascii="Arial Narrow" w:eastAsia="Times New Roman" w:hAnsi="Arial Narrow" w:cs="Times New Roman"/>
          <w:b/>
          <w:bCs/>
          <w:kern w:val="0"/>
          <w:sz w:val="20"/>
          <w:szCs w:val="20"/>
          <w:u w:val="single"/>
          <w:lang w:val="es-ES" w:eastAsia="es-ES"/>
          <w14:ligatures w14:val="none"/>
        </w:rPr>
        <w:t>/CC1</w:t>
      </w:r>
    </w:p>
    <w:p w14:paraId="2C6F3A9E" w14:textId="77777777" w:rsidR="00690F69" w:rsidRPr="00CD221B" w:rsidRDefault="00690F69" w:rsidP="0081272C">
      <w:pPr>
        <w:spacing w:after="0" w:line="240" w:lineRule="auto"/>
        <w:rPr>
          <w:rFonts w:ascii="Arial Narrow" w:eastAsia="Times New Roman" w:hAnsi="Arial Narrow" w:cs="Times New Roman"/>
          <w:b/>
          <w:kern w:val="0"/>
          <w:sz w:val="20"/>
          <w:szCs w:val="20"/>
          <w:lang w:val="es-ES" w:eastAsia="es-ES"/>
          <w14:ligatures w14:val="none"/>
        </w:rPr>
      </w:pPr>
    </w:p>
    <w:p w14:paraId="42289A96" w14:textId="77777777" w:rsidR="00690F69" w:rsidRPr="00CD221B" w:rsidRDefault="00690F69" w:rsidP="00690F69">
      <w:pPr>
        <w:spacing w:after="0" w:line="240" w:lineRule="auto"/>
        <w:jc w:val="center"/>
        <w:rPr>
          <w:rFonts w:ascii="Arial Narrow" w:eastAsia="Times New Roman" w:hAnsi="Arial Narrow" w:cs="Times New Roman"/>
          <w:b/>
          <w:kern w:val="0"/>
          <w:sz w:val="20"/>
          <w:szCs w:val="20"/>
          <w:lang w:val="es-ES" w:eastAsia="es-ES"/>
          <w14:ligatures w14:val="none"/>
        </w:rPr>
      </w:pPr>
      <w:r w:rsidRPr="00CD221B">
        <w:rPr>
          <w:rFonts w:ascii="Arial Narrow" w:eastAsia="Times New Roman" w:hAnsi="Arial Narrow" w:cs="Times New Roman"/>
          <w:b/>
          <w:kern w:val="0"/>
          <w:sz w:val="20"/>
          <w:szCs w:val="20"/>
          <w:lang w:val="es-ES" w:eastAsia="es-ES"/>
          <w14:ligatures w14:val="none"/>
        </w:rPr>
        <w:t>RAZÓN DE SECRETARÍA TÉCNICA</w:t>
      </w:r>
    </w:p>
    <w:p w14:paraId="2ABF4881" w14:textId="77777777" w:rsidR="00690F69" w:rsidRPr="00CD221B" w:rsidRDefault="00690F69" w:rsidP="00690F69">
      <w:pPr>
        <w:spacing w:after="0" w:line="240" w:lineRule="auto"/>
        <w:jc w:val="both"/>
        <w:rPr>
          <w:rFonts w:ascii="Arial Narrow" w:eastAsia="Times New Roman" w:hAnsi="Arial Narrow" w:cs="Times New Roman"/>
          <w:kern w:val="0"/>
          <w:sz w:val="18"/>
          <w:szCs w:val="18"/>
          <w:lang w:val="es-ES" w:eastAsia="es-ES"/>
          <w14:ligatures w14:val="none"/>
        </w:rPr>
      </w:pPr>
    </w:p>
    <w:p w14:paraId="074D58CE" w14:textId="0C69C715" w:rsidR="00690F69" w:rsidRPr="00CD221B" w:rsidRDefault="00690F69" w:rsidP="00690F69">
      <w:pPr>
        <w:spacing w:after="0" w:line="240" w:lineRule="auto"/>
        <w:jc w:val="both"/>
        <w:rPr>
          <w:rFonts w:ascii="Arial Narrow" w:eastAsia="Times New Roman" w:hAnsi="Arial Narrow" w:cs="Times New Roman"/>
          <w:color w:val="000000"/>
          <w:kern w:val="0"/>
          <w:sz w:val="20"/>
          <w:szCs w:val="20"/>
          <w:lang w:eastAsia="es-ES"/>
          <w14:ligatures w14:val="none"/>
        </w:rPr>
      </w:pPr>
      <w:r w:rsidRPr="00CD221B">
        <w:rPr>
          <w:rFonts w:ascii="Arial Narrow" w:eastAsia="Times New Roman" w:hAnsi="Arial Narrow" w:cs="Times New Roman"/>
          <w:kern w:val="0"/>
          <w:sz w:val="20"/>
          <w:szCs w:val="20"/>
          <w:lang w:eastAsia="es-ES"/>
          <w14:ligatures w14:val="none"/>
        </w:rPr>
        <w:t xml:space="preserve">Lima, </w:t>
      </w:r>
      <w:r w:rsidR="006E3494">
        <w:rPr>
          <w:rFonts w:ascii="Arial Narrow" w:eastAsia="Times New Roman" w:hAnsi="Arial Narrow" w:cs="Times New Roman"/>
          <w:kern w:val="0"/>
          <w:sz w:val="20"/>
          <w:szCs w:val="20"/>
          <w:highlight w:val="green"/>
          <w:lang w:eastAsia="es-ES"/>
          <w14:ligatures w14:val="none"/>
        </w:rPr>
        <w:t>2</w:t>
      </w:r>
      <w:r w:rsidRPr="00782071">
        <w:rPr>
          <w:rFonts w:ascii="Arial Narrow" w:eastAsia="Times New Roman" w:hAnsi="Arial Narrow" w:cs="Times New Roman"/>
          <w:kern w:val="0"/>
          <w:sz w:val="20"/>
          <w:szCs w:val="20"/>
          <w:highlight w:val="green"/>
          <w:lang w:eastAsia="es-ES"/>
          <w14:ligatures w14:val="none"/>
        </w:rPr>
        <w:t xml:space="preserve"> de </w:t>
      </w:r>
      <w:r w:rsidR="006E3494" w:rsidRPr="006E3494">
        <w:rPr>
          <w:rFonts w:ascii="Arial Narrow" w:eastAsia="Times New Roman" w:hAnsi="Arial Narrow" w:cs="Times New Roman"/>
          <w:kern w:val="0"/>
          <w:sz w:val="20"/>
          <w:szCs w:val="20"/>
          <w:highlight w:val="cyan"/>
          <w:lang w:eastAsia="es-ES"/>
          <w14:ligatures w14:val="none"/>
        </w:rPr>
        <w:t>junio</w:t>
      </w:r>
      <w:r w:rsidRPr="006E3494">
        <w:rPr>
          <w:rFonts w:ascii="Arial Narrow" w:eastAsia="Times New Roman" w:hAnsi="Arial Narrow" w:cs="Times New Roman"/>
          <w:kern w:val="0"/>
          <w:sz w:val="20"/>
          <w:szCs w:val="20"/>
          <w:highlight w:val="cyan"/>
          <w:lang w:eastAsia="es-ES"/>
          <w14:ligatures w14:val="none"/>
        </w:rPr>
        <w:t xml:space="preserve"> de </w:t>
      </w:r>
      <w:r w:rsidR="006E3494" w:rsidRPr="006E3494">
        <w:rPr>
          <w:rFonts w:ascii="Arial Narrow" w:eastAsia="Times New Roman" w:hAnsi="Arial Narrow" w:cs="Times New Roman"/>
          <w:kern w:val="0"/>
          <w:sz w:val="20"/>
          <w:szCs w:val="20"/>
          <w:highlight w:val="cyan"/>
          <w:lang w:eastAsia="es-ES"/>
          <w14:ligatures w14:val="none"/>
        </w:rPr>
        <w:t>2026</w:t>
      </w:r>
    </w:p>
    <w:p w14:paraId="3D548571" w14:textId="77777777" w:rsidR="00690F69" w:rsidRPr="00CD221B" w:rsidRDefault="00690F69" w:rsidP="00690F69">
      <w:pPr>
        <w:spacing w:after="0" w:line="240" w:lineRule="auto"/>
        <w:jc w:val="both"/>
        <w:rPr>
          <w:rFonts w:ascii="Arial Narrow" w:eastAsia="Times New Roman" w:hAnsi="Arial Narrow" w:cs="Times New Roman"/>
          <w:kern w:val="0"/>
          <w:sz w:val="18"/>
          <w:szCs w:val="18"/>
          <w:lang w:eastAsia="es-ES"/>
          <w14:ligatures w14:val="none"/>
        </w:rPr>
      </w:pPr>
    </w:p>
    <w:p w14:paraId="6E901923" w14:textId="3E792692" w:rsidR="00690F69" w:rsidRPr="00CD221B" w:rsidRDefault="00690F69" w:rsidP="00690F69">
      <w:pPr>
        <w:spacing w:after="0" w:line="240" w:lineRule="auto"/>
        <w:jc w:val="both"/>
        <w:rPr>
          <w:rFonts w:ascii="Arial Narrow" w:eastAsia="Times New Roman" w:hAnsi="Arial Narrow" w:cs="Times New Roman"/>
          <w:kern w:val="0"/>
          <w:sz w:val="20"/>
          <w:szCs w:val="20"/>
          <w:lang w:val="es-ES" w:eastAsia="es-ES"/>
          <w14:ligatures w14:val="none"/>
        </w:rPr>
      </w:pPr>
      <w:r w:rsidRPr="00CD221B">
        <w:rPr>
          <w:rFonts w:ascii="Arial Narrow" w:eastAsia="Times New Roman" w:hAnsi="Arial Narrow" w:cs="Times New Roman"/>
          <w:kern w:val="0"/>
          <w:sz w:val="20"/>
          <w:szCs w:val="20"/>
          <w:lang w:val="es-ES" w:eastAsia="es-ES"/>
          <w14:ligatures w14:val="none"/>
        </w:rPr>
        <w:t>La Secretaría Técnica de la Comisión de Protección al Consumidor N° 1 deja constancia que la notificación electrónica de la Resolución N°</w:t>
      </w:r>
      <w:r w:rsidR="00FF1321" w:rsidRPr="00782071">
        <w:rPr>
          <w:rFonts w:ascii="Arial Narrow" w:eastAsia="Times New Roman" w:hAnsi="Arial Narrow" w:cs="Times New Roman"/>
          <w:kern w:val="0"/>
          <w:sz w:val="20"/>
          <w:szCs w:val="20"/>
          <w:highlight w:val="magenta"/>
          <w:lang w:val="es-ES" w:eastAsia="es-ES"/>
          <w14:ligatures w14:val="none"/>
        </w:rPr>
        <w:t>2</w:t>
      </w:r>
      <w:r w:rsidRPr="00CD221B">
        <w:rPr>
          <w:rFonts w:ascii="Arial Narrow" w:eastAsia="Times New Roman" w:hAnsi="Arial Narrow" w:cs="Times New Roman"/>
          <w:kern w:val="0"/>
          <w:sz w:val="20"/>
          <w:szCs w:val="20"/>
          <w:lang w:val="es-ES" w:eastAsia="es-ES"/>
          <w14:ligatures w14:val="none"/>
        </w:rPr>
        <w:t xml:space="preserve"> del </w:t>
      </w:r>
      <w:r w:rsidR="00FF1321" w:rsidRPr="00782071">
        <w:rPr>
          <w:rFonts w:ascii="Arial Narrow" w:eastAsia="Times New Roman" w:hAnsi="Arial Narrow" w:cs="Times New Roman"/>
          <w:kern w:val="0"/>
          <w:sz w:val="20"/>
          <w:szCs w:val="20"/>
          <w:highlight w:val="cyan"/>
          <w:lang w:val="es-ES" w:eastAsia="es-ES"/>
          <w14:ligatures w14:val="none"/>
        </w:rPr>
        <w:t>22 de mayo</w:t>
      </w:r>
      <w:r w:rsidR="00FF1321" w:rsidRPr="00CD221B">
        <w:rPr>
          <w:rFonts w:ascii="Arial Narrow" w:eastAsia="Times New Roman" w:hAnsi="Arial Narrow" w:cs="Times New Roman"/>
          <w:kern w:val="0"/>
          <w:sz w:val="20"/>
          <w:szCs w:val="20"/>
          <w:lang w:val="es-ES" w:eastAsia="es-ES"/>
          <w14:ligatures w14:val="none"/>
        </w:rPr>
        <w:t xml:space="preserve"> de </w:t>
      </w:r>
      <w:r w:rsidR="00FF1321" w:rsidRPr="00782071">
        <w:rPr>
          <w:rFonts w:ascii="Arial Narrow" w:eastAsia="Times New Roman" w:hAnsi="Arial Narrow" w:cs="Times New Roman"/>
          <w:kern w:val="0"/>
          <w:sz w:val="20"/>
          <w:szCs w:val="20"/>
          <w:highlight w:val="magenta"/>
          <w:lang w:val="es-ES" w:eastAsia="es-ES"/>
          <w14:ligatures w14:val="none"/>
        </w:rPr>
        <w:t>2025</w:t>
      </w:r>
      <w:r w:rsidR="00FF1321" w:rsidRPr="00CD221B">
        <w:rPr>
          <w:rFonts w:ascii="Arial Narrow" w:eastAsia="Times New Roman" w:hAnsi="Arial Narrow" w:cs="Times New Roman"/>
          <w:kern w:val="0"/>
          <w:sz w:val="20"/>
          <w:szCs w:val="20"/>
          <w:lang w:val="es-ES" w:eastAsia="es-ES"/>
          <w14:ligatures w14:val="none"/>
        </w:rPr>
        <w:t xml:space="preserve"> </w:t>
      </w:r>
      <w:r w:rsidRPr="00CD221B">
        <w:rPr>
          <w:rFonts w:ascii="Arial Narrow" w:eastAsia="Times New Roman" w:hAnsi="Arial Narrow" w:cs="Times New Roman"/>
          <w:kern w:val="0"/>
          <w:sz w:val="20"/>
          <w:szCs w:val="20"/>
          <w:lang w:val="es-ES" w:eastAsia="es-ES"/>
          <w14:ligatures w14:val="none"/>
        </w:rPr>
        <w:t>dirigida a</w:t>
      </w:r>
      <w:r w:rsidR="00FF1321" w:rsidRPr="00CD221B">
        <w:rPr>
          <w:rFonts w:ascii="Arial Narrow" w:eastAsia="Times New Roman" w:hAnsi="Arial Narrow" w:cs="Times New Roman"/>
          <w:kern w:val="0"/>
          <w:sz w:val="20"/>
          <w:szCs w:val="20"/>
          <w:lang w:val="es-ES" w:eastAsia="es-ES"/>
          <w14:ligatures w14:val="none"/>
        </w:rPr>
        <w:t xml:space="preserve"> </w:t>
      </w:r>
      <w:r w:rsidR="00FF1321" w:rsidRPr="00782071">
        <w:rPr>
          <w:rFonts w:ascii="Arial Narrow" w:eastAsia="Times New Roman" w:hAnsi="Arial Narrow" w:cs="Times New Roman"/>
          <w:kern w:val="0"/>
          <w:sz w:val="20"/>
          <w:szCs w:val="20"/>
          <w:highlight w:val="green"/>
          <w:lang w:val="es-ES" w:eastAsia="es-ES"/>
          <w14:ligatures w14:val="none"/>
        </w:rPr>
        <w:t>la</w:t>
      </w:r>
      <w:r w:rsidRPr="00782071">
        <w:rPr>
          <w:rFonts w:ascii="Arial Narrow" w:eastAsia="Times New Roman" w:hAnsi="Arial Narrow" w:cs="Times New Roman"/>
          <w:kern w:val="0"/>
          <w:sz w:val="20"/>
          <w:szCs w:val="20"/>
          <w:highlight w:val="green"/>
          <w:lang w:val="es-ES" w:eastAsia="es-ES"/>
          <w14:ligatures w14:val="none"/>
        </w:rPr>
        <w:t xml:space="preserve"> señor</w:t>
      </w:r>
      <w:r w:rsidR="00D71E40" w:rsidRPr="00782071">
        <w:rPr>
          <w:rFonts w:ascii="Arial Narrow" w:eastAsia="Times New Roman" w:hAnsi="Arial Narrow" w:cs="Times New Roman"/>
          <w:kern w:val="0"/>
          <w:sz w:val="20"/>
          <w:szCs w:val="20"/>
          <w:highlight w:val="green"/>
          <w:lang w:val="es-ES" w:eastAsia="es-ES"/>
          <w14:ligatures w14:val="none"/>
        </w:rPr>
        <w:t>a</w:t>
      </w:r>
      <w:r w:rsidRPr="00CD221B">
        <w:rPr>
          <w:rFonts w:ascii="Arial Narrow" w:eastAsia="Times New Roman" w:hAnsi="Arial Narrow" w:cs="Times New Roman"/>
          <w:kern w:val="0"/>
          <w:sz w:val="20"/>
          <w:szCs w:val="20"/>
          <w:lang w:val="es-ES" w:eastAsia="es-ES"/>
          <w14:ligatures w14:val="none"/>
        </w:rPr>
        <w:t xml:space="preserve"> </w:t>
      </w:r>
      <w:r w:rsidR="00D71E40" w:rsidRPr="00782071">
        <w:rPr>
          <w:rFonts w:ascii="Arial Narrow" w:eastAsia="Times New Roman" w:hAnsi="Arial Narrow" w:cs="Times New Roman"/>
          <w:kern w:val="0"/>
          <w:sz w:val="20"/>
          <w:szCs w:val="20"/>
          <w:highlight w:val="magenta"/>
          <w:lang w:val="es-ES" w:eastAsia="es-ES"/>
          <w14:ligatures w14:val="none"/>
        </w:rPr>
        <w:t>Claudia Alexandra Avilés Arias</w:t>
      </w:r>
      <w:r w:rsidR="00D71E40" w:rsidRPr="00CD221B">
        <w:rPr>
          <w:rFonts w:ascii="Arial Narrow" w:eastAsia="Times New Roman" w:hAnsi="Arial Narrow" w:cs="Times New Roman"/>
          <w:kern w:val="0"/>
          <w:sz w:val="20"/>
          <w:szCs w:val="20"/>
          <w:lang w:val="es-ES" w:eastAsia="es-ES"/>
          <w14:ligatures w14:val="none"/>
        </w:rPr>
        <w:t xml:space="preserve"> </w:t>
      </w:r>
      <w:r w:rsidRPr="00CD221B">
        <w:rPr>
          <w:rFonts w:ascii="Arial Narrow" w:eastAsia="Times New Roman" w:hAnsi="Arial Narrow" w:cs="Times New Roman"/>
          <w:kern w:val="0"/>
          <w:sz w:val="20"/>
          <w:szCs w:val="20"/>
          <w:lang w:val="es-ES" w:eastAsia="es-ES"/>
          <w14:ligatures w14:val="none"/>
        </w:rPr>
        <w:t xml:space="preserve">al </w:t>
      </w:r>
      <w:r w:rsidRPr="00782071">
        <w:rPr>
          <w:rFonts w:ascii="Arial Narrow" w:eastAsia="Times New Roman" w:hAnsi="Arial Narrow" w:cs="Times New Roman"/>
          <w:kern w:val="0"/>
          <w:sz w:val="20"/>
          <w:szCs w:val="20"/>
          <w:highlight w:val="green"/>
          <w:lang w:val="es-ES" w:eastAsia="es-ES"/>
          <w14:ligatures w14:val="none"/>
        </w:rPr>
        <w:t>correo electrónico</w:t>
      </w:r>
      <w:r w:rsidR="00D71E40" w:rsidRPr="00782071">
        <w:rPr>
          <w:rFonts w:ascii="Arial Narrow" w:eastAsia="Times New Roman" w:hAnsi="Arial Narrow" w:cs="Times New Roman"/>
          <w:kern w:val="0"/>
          <w:sz w:val="20"/>
          <w:szCs w:val="20"/>
          <w:highlight w:val="green"/>
          <w:lang w:val="es-ES" w:eastAsia="es-ES"/>
          <w14:ligatures w14:val="none"/>
        </w:rPr>
        <w:t xml:space="preserve"> </w:t>
      </w:r>
      <w:hyperlink r:id="rId6" w:history="1">
        <w:r w:rsidR="00D71E40" w:rsidRPr="00782071">
          <w:rPr>
            <w:rStyle w:val="Hipervnculo"/>
            <w:rFonts w:ascii="Arial Narrow" w:eastAsia="Times New Roman" w:hAnsi="Arial Narrow" w:cs="Times New Roman"/>
            <w:kern w:val="0"/>
            <w:sz w:val="20"/>
            <w:szCs w:val="20"/>
            <w:highlight w:val="green"/>
            <w:lang w:val="es-ES" w:eastAsia="es-ES"/>
            <w14:ligatures w14:val="none"/>
          </w:rPr>
          <w:t>claudialexandraviles@gmail.com</w:t>
        </w:r>
      </w:hyperlink>
      <w:r w:rsidR="00D71E40" w:rsidRPr="00CD221B">
        <w:rPr>
          <w:rFonts w:ascii="Arial Narrow" w:eastAsia="Times New Roman" w:hAnsi="Arial Narrow" w:cs="Times New Roman"/>
          <w:kern w:val="0"/>
          <w:sz w:val="20"/>
          <w:szCs w:val="20"/>
          <w:lang w:val="es-ES" w:eastAsia="es-ES"/>
          <w14:ligatures w14:val="none"/>
        </w:rPr>
        <w:t>,</w:t>
      </w:r>
      <w:r w:rsidRPr="00CD221B">
        <w:rPr>
          <w:rFonts w:ascii="Arial Narrow" w:eastAsia="Times New Roman" w:hAnsi="Arial Narrow" w:cs="Times New Roman"/>
          <w:kern w:val="0"/>
          <w:sz w:val="20"/>
          <w:szCs w:val="20"/>
          <w:lang w:val="es-ES" w:eastAsia="es-ES"/>
          <w14:ligatures w14:val="none"/>
        </w:rPr>
        <w:t xml:space="preserve"> no obtuvo la respuesta de recepción del </w:t>
      </w:r>
      <w:r w:rsidRPr="00782071">
        <w:rPr>
          <w:rFonts w:ascii="Arial Narrow" w:eastAsia="Times New Roman" w:hAnsi="Arial Narrow" w:cs="Times New Roman"/>
          <w:kern w:val="0"/>
          <w:sz w:val="20"/>
          <w:szCs w:val="20"/>
          <w:highlight w:val="green"/>
          <w:lang w:val="es-ES" w:eastAsia="es-ES"/>
          <w14:ligatures w14:val="none"/>
        </w:rPr>
        <w:t>correo electrónico</w:t>
      </w:r>
      <w:r w:rsidRPr="00CD221B">
        <w:rPr>
          <w:rFonts w:ascii="Arial Narrow" w:eastAsia="Times New Roman" w:hAnsi="Arial Narrow" w:cs="Times New Roman"/>
          <w:kern w:val="0"/>
          <w:sz w:val="20"/>
          <w:szCs w:val="20"/>
          <w:lang w:val="es-ES" w:eastAsia="es-ES"/>
          <w14:ligatures w14:val="none"/>
        </w:rPr>
        <w:t xml:space="preserve"> señalado por </w:t>
      </w:r>
      <w:r w:rsidRPr="00782071">
        <w:rPr>
          <w:rFonts w:ascii="Arial Narrow" w:eastAsia="Times New Roman" w:hAnsi="Arial Narrow" w:cs="Times New Roman"/>
          <w:kern w:val="0"/>
          <w:sz w:val="20"/>
          <w:szCs w:val="20"/>
          <w:highlight w:val="cyan"/>
          <w:lang w:val="es-ES" w:eastAsia="es-ES"/>
          <w14:ligatures w14:val="none"/>
        </w:rPr>
        <w:t>la administrada</w:t>
      </w:r>
      <w:r w:rsidRPr="00CD221B">
        <w:rPr>
          <w:rFonts w:ascii="Arial Narrow" w:eastAsia="Times New Roman" w:hAnsi="Arial Narrow" w:cs="Times New Roman"/>
          <w:kern w:val="0"/>
          <w:sz w:val="20"/>
          <w:szCs w:val="20"/>
          <w:lang w:val="es-ES" w:eastAsia="es-ES"/>
          <w14:ligatures w14:val="none"/>
        </w:rPr>
        <w:t xml:space="preserve"> y/o no fue generada en forma automática por una plataforma tecnológica o sistema informático que garantice que la notificación ha sido efectuada, conforme a lo establecido en el numeral 20.4 del artículo 20 del Texto Único Ordenado de la Ley del Procedimiento Administrativo General, aprobado mediante Decreto Supremo N° 004-2019-JUS</w:t>
      </w:r>
      <w:r w:rsidRPr="00CD221B">
        <w:rPr>
          <w:rFonts w:ascii="Arial Narrow" w:eastAsia="Times New Roman" w:hAnsi="Arial Narrow" w:cs="Times New Roman"/>
          <w:kern w:val="0"/>
          <w:sz w:val="20"/>
          <w:szCs w:val="20"/>
          <w:vertAlign w:val="superscript"/>
          <w:lang w:val="es-ES" w:eastAsia="es-ES"/>
          <w14:ligatures w14:val="none"/>
        </w:rPr>
        <w:footnoteReference w:id="1"/>
      </w:r>
      <w:r w:rsidR="00805CA7" w:rsidRPr="00CD221B">
        <w:rPr>
          <w:rFonts w:ascii="Arial Narrow" w:eastAsia="Times New Roman" w:hAnsi="Arial Narrow" w:cs="Times New Roman"/>
          <w:kern w:val="0"/>
          <w:sz w:val="20"/>
          <w:szCs w:val="20"/>
          <w:lang w:val="es-ES" w:eastAsia="es-ES"/>
          <w14:ligatures w14:val="none"/>
        </w:rPr>
        <w:t>.</w:t>
      </w:r>
    </w:p>
    <w:p w14:paraId="27498E3B" w14:textId="77777777" w:rsidR="00CD221B" w:rsidRPr="00CD221B" w:rsidRDefault="00CD221B" w:rsidP="00955AB5">
      <w:pPr>
        <w:jc w:val="both"/>
        <w:rPr>
          <w:rFonts w:ascii="Arial Narrow" w:hAnsi="Arial Narrow" w:cs="Arial"/>
          <w:sz w:val="20"/>
          <w:szCs w:val="20"/>
        </w:rPr>
      </w:pPr>
    </w:p>
    <w:p w14:paraId="7928BB06" w14:textId="0B52DEE4" w:rsidR="00690F69" w:rsidRPr="00CD221B" w:rsidRDefault="00CD221B" w:rsidP="00955AB5">
      <w:pPr>
        <w:jc w:val="both"/>
        <w:rPr>
          <w:rFonts w:ascii="Arial Narrow" w:hAnsi="Arial Narrow" w:cs="Arial"/>
          <w:sz w:val="20"/>
          <w:szCs w:val="20"/>
        </w:rPr>
      </w:pPr>
      <w:r w:rsidRPr="00CD221B">
        <w:rPr>
          <w:rFonts w:ascii="Arial Narrow" w:eastAsia="Times New Roman" w:hAnsi="Arial Narrow" w:cs="Arial"/>
          <w:kern w:val="0"/>
          <w:sz w:val="20"/>
          <w:szCs w:val="20"/>
          <w:lang w:val="es-ES" w:eastAsia="es-ES"/>
          <w14:ligatures w14:val="none"/>
        </w:rPr>
        <w:t>En atención a ello y teniendo en cuenta que, el numeral 26.1 del artículo 26° del Texto Único Ordenado de la Ley del Procedimiento Administrativo General, aprobado mediante Decreto Supremo N° 004-2019-JUS (en adelante, el TUO de la LPAG)</w:t>
      </w:r>
      <w:r w:rsidRPr="00CD221B">
        <w:rPr>
          <w:rFonts w:ascii="Arial Narrow" w:eastAsia="Times New Roman" w:hAnsi="Arial Narrow" w:cs="Times New Roman"/>
          <w:kern w:val="0"/>
          <w:sz w:val="20"/>
          <w:szCs w:val="20"/>
          <w:vertAlign w:val="superscript"/>
          <w:lang w:val="es-ES" w:eastAsia="es-ES"/>
          <w14:ligatures w14:val="none"/>
        </w:rPr>
        <w:footnoteReference w:id="2"/>
      </w:r>
      <w:r w:rsidRPr="00CD221B">
        <w:rPr>
          <w:rFonts w:ascii="Arial Narrow" w:eastAsia="Times New Roman" w:hAnsi="Arial Narrow" w:cs="Times New Roman"/>
          <w:color w:val="000000"/>
          <w:kern w:val="0"/>
          <w:sz w:val="18"/>
          <w:szCs w:val="18"/>
          <w:shd w:val="clear" w:color="auto" w:fill="FFFFFF"/>
          <w:lang w:val="es-ES" w:eastAsia="es-ES"/>
          <w14:ligatures w14:val="none"/>
        </w:rPr>
        <w:t xml:space="preserve"> </w:t>
      </w:r>
      <w:r w:rsidRPr="00CD221B">
        <w:rPr>
          <w:rFonts w:ascii="Arial Narrow" w:eastAsia="Times New Roman" w:hAnsi="Arial Narrow" w:cs="Times New Roman"/>
          <w:color w:val="000000"/>
          <w:kern w:val="0"/>
          <w:sz w:val="20"/>
          <w:szCs w:val="20"/>
          <w:shd w:val="clear" w:color="auto" w:fill="FFFFFF"/>
          <w:lang w:val="es-ES" w:eastAsia="es-ES"/>
          <w14:ligatures w14:val="none"/>
        </w:rPr>
        <w:t xml:space="preserve">señala que, en caso de notificaciones defectuosas, la autoridad ordenará volver a notificar </w:t>
      </w:r>
      <w:r w:rsidRPr="00CD221B">
        <w:rPr>
          <w:rFonts w:ascii="Arial Narrow" w:eastAsia="Times New Roman" w:hAnsi="Arial Narrow" w:cs="Times New Roman"/>
          <w:kern w:val="0"/>
          <w:sz w:val="20"/>
          <w:szCs w:val="20"/>
          <w:lang w:val="es-ES" w:eastAsia="es-ES"/>
          <w14:ligatures w14:val="none"/>
        </w:rPr>
        <w:t>la Resolución N°</w:t>
      </w:r>
      <w:r w:rsidRPr="009B6B24">
        <w:rPr>
          <w:rFonts w:ascii="Arial Narrow" w:eastAsia="Times New Roman" w:hAnsi="Arial Narrow" w:cs="Times New Roman"/>
          <w:kern w:val="0"/>
          <w:sz w:val="20"/>
          <w:szCs w:val="20"/>
          <w:highlight w:val="magenta"/>
          <w:lang w:val="es-ES" w:eastAsia="es-ES"/>
          <w14:ligatures w14:val="none"/>
        </w:rPr>
        <w:t>2</w:t>
      </w:r>
      <w:r w:rsidRPr="00CD221B">
        <w:rPr>
          <w:rFonts w:ascii="Arial Narrow" w:eastAsia="Times New Roman" w:hAnsi="Arial Narrow" w:cs="Times New Roman"/>
          <w:kern w:val="0"/>
          <w:sz w:val="20"/>
          <w:szCs w:val="20"/>
          <w:lang w:val="es-ES" w:eastAsia="es-ES"/>
          <w14:ligatures w14:val="none"/>
        </w:rPr>
        <w:t xml:space="preserve"> del </w:t>
      </w:r>
      <w:r w:rsidRPr="009B6B24">
        <w:rPr>
          <w:rFonts w:ascii="Arial Narrow" w:eastAsia="Times New Roman" w:hAnsi="Arial Narrow" w:cs="Times New Roman"/>
          <w:kern w:val="0"/>
          <w:sz w:val="20"/>
          <w:szCs w:val="20"/>
          <w:highlight w:val="cyan"/>
          <w:lang w:val="es-ES" w:eastAsia="es-ES"/>
          <w14:ligatures w14:val="none"/>
        </w:rPr>
        <w:t>22 de mayo de 2025</w:t>
      </w:r>
      <w:r w:rsidRPr="00CD221B">
        <w:rPr>
          <w:rFonts w:ascii="Arial Narrow" w:eastAsia="Times New Roman" w:hAnsi="Arial Narrow" w:cs="Times New Roman"/>
          <w:kern w:val="0"/>
          <w:sz w:val="20"/>
          <w:szCs w:val="20"/>
          <w:lang w:val="es-ES" w:eastAsia="es-ES"/>
          <w14:ligatures w14:val="none"/>
        </w:rPr>
        <w:t xml:space="preserve"> dirigida </w:t>
      </w:r>
      <w:r w:rsidRPr="009B6B24">
        <w:rPr>
          <w:rFonts w:ascii="Arial Narrow" w:eastAsia="Times New Roman" w:hAnsi="Arial Narrow" w:cs="Times New Roman"/>
          <w:kern w:val="0"/>
          <w:sz w:val="20"/>
          <w:szCs w:val="20"/>
          <w:highlight w:val="green"/>
          <w:lang w:val="es-ES" w:eastAsia="es-ES"/>
          <w14:ligatures w14:val="none"/>
        </w:rPr>
        <w:t>a la señora Claudia Alexandra Avilés Arias</w:t>
      </w:r>
      <w:r w:rsidRPr="00CD221B">
        <w:rPr>
          <w:rFonts w:ascii="Arial Narrow" w:eastAsia="Times New Roman" w:hAnsi="Arial Narrow" w:cs="Times New Roman"/>
          <w:kern w:val="0"/>
          <w:sz w:val="20"/>
          <w:szCs w:val="20"/>
          <w:lang w:val="es-ES" w:eastAsia="es-ES"/>
          <w14:ligatures w14:val="none"/>
        </w:rPr>
        <w:t xml:space="preserve"> </w:t>
      </w:r>
      <w:r w:rsidRPr="009B6B24">
        <w:rPr>
          <w:rFonts w:ascii="Arial Narrow" w:hAnsi="Arial Narrow" w:cs="Arial"/>
          <w:sz w:val="20"/>
          <w:szCs w:val="20"/>
          <w:highlight w:val="magenta"/>
        </w:rPr>
        <w:t>al domicilio ubicado en Jr. Gerona 199 Piso 3 Urb. Javier Prado Etapa 5, distrito de San Luis, provincia y departamento de Lima</w:t>
      </w:r>
      <w:r w:rsidRPr="00CD221B">
        <w:rPr>
          <w:rFonts w:ascii="Arial Narrow" w:hAnsi="Arial Narrow"/>
          <w:sz w:val="20"/>
          <w:szCs w:val="20"/>
        </w:rPr>
        <w:t xml:space="preserve">, consignado en el Documento Nacional de Identidad, conforme lo establece el </w:t>
      </w:r>
      <w:r w:rsidR="000D3379" w:rsidRPr="00CD221B">
        <w:rPr>
          <w:rFonts w:ascii="Arial Narrow" w:hAnsi="Arial Narrow" w:cs="Arial"/>
          <w:sz w:val="20"/>
          <w:szCs w:val="20"/>
        </w:rPr>
        <w:t>numeral 3.1 del artículo 3° del Régimen de notificación de actos administrativos y otras comunicaciones emitidas en los procedimientos administrativos a cargo de los órganos resolutivos del INDECOPI, aprobado mediante Directiva Nº 001-2013/TRI-INDECOPI</w:t>
      </w:r>
      <w:r w:rsidR="000D3379" w:rsidRPr="00CD221B">
        <w:rPr>
          <w:rFonts w:ascii="Arial Narrow" w:hAnsi="Arial Narrow"/>
          <w:sz w:val="20"/>
          <w:szCs w:val="20"/>
          <w:vertAlign w:val="superscript"/>
        </w:rPr>
        <w:footnoteReference w:id="3"/>
      </w:r>
      <w:r w:rsidRPr="00CD221B">
        <w:rPr>
          <w:rFonts w:ascii="Arial Narrow" w:hAnsi="Arial Narrow"/>
          <w:color w:val="000000"/>
          <w:sz w:val="20"/>
          <w:szCs w:val="20"/>
          <w:shd w:val="clear" w:color="auto" w:fill="FFFFFF"/>
        </w:rPr>
        <w:t>.</w:t>
      </w:r>
    </w:p>
    <w:p w14:paraId="3E23019E" w14:textId="77777777" w:rsidR="00690F69" w:rsidRPr="00CD221B" w:rsidRDefault="00690F69" w:rsidP="00690F69">
      <w:pPr>
        <w:spacing w:after="0" w:line="240" w:lineRule="auto"/>
        <w:jc w:val="both"/>
        <w:rPr>
          <w:rFonts w:ascii="Arial Narrow" w:eastAsia="Times New Roman" w:hAnsi="Arial Narrow" w:cs="Times New Roman"/>
          <w:kern w:val="0"/>
          <w:sz w:val="18"/>
          <w:szCs w:val="18"/>
          <w:shd w:val="clear" w:color="auto" w:fill="FFFFFF"/>
          <w:lang w:val="es-ES" w:eastAsia="es-ES"/>
          <w14:ligatures w14:val="none"/>
        </w:rPr>
      </w:pPr>
    </w:p>
    <w:p w14:paraId="6001F22C" w14:textId="1331BBBC" w:rsidR="00690F69" w:rsidRPr="006E3494" w:rsidRDefault="006E3494" w:rsidP="006E3494">
      <w:pPr>
        <w:spacing w:after="0" w:line="240" w:lineRule="auto"/>
        <w:jc w:val="center"/>
        <w:rPr>
          <w:rFonts w:ascii="Arial Narrow" w:eastAsia="Times New Roman" w:hAnsi="Arial Narrow" w:cs="Times New Roman"/>
          <w:kern w:val="0"/>
          <w:sz w:val="20"/>
          <w:szCs w:val="20"/>
          <w:shd w:val="clear" w:color="auto" w:fill="FFFFFF"/>
          <w:lang w:val="pt-PT" w:eastAsia="es-ES"/>
          <w14:ligatures w14:val="none"/>
        </w:rPr>
      </w:pPr>
      <w:r w:rsidRPr="006E3494">
        <w:rPr>
          <w:rFonts w:ascii="Arial Narrow" w:eastAsia="Times New Roman" w:hAnsi="Arial Narrow" w:cs="Times New Roman"/>
          <w:kern w:val="0"/>
          <w:sz w:val="20"/>
          <w:szCs w:val="20"/>
          <w:shd w:val="clear" w:color="auto" w:fill="FFFFFF"/>
          <w:lang w:val="pt-PT" w:eastAsia="es-ES"/>
          <w14:ligatures w14:val="none"/>
        </w:rPr>
        <w:t>Fi</w:t>
      </w:r>
      <w:r>
        <w:rPr>
          <w:rFonts w:ascii="Arial Narrow" w:eastAsia="Times New Roman" w:hAnsi="Arial Narrow" w:cs="Times New Roman"/>
          <w:kern w:val="0"/>
          <w:sz w:val="20"/>
          <w:szCs w:val="20"/>
          <w:shd w:val="clear" w:color="auto" w:fill="FFFFFF"/>
          <w:lang w:val="pt-PT" w:eastAsia="es-ES"/>
          <w14:ligatures w14:val="none"/>
        </w:rPr>
        <w:t>rmado digitalmente por</w:t>
      </w:r>
    </w:p>
    <w:p w14:paraId="45B471C7" w14:textId="77777777" w:rsidR="00690F69" w:rsidRPr="006E3494" w:rsidRDefault="00690F69" w:rsidP="006E3494">
      <w:pPr>
        <w:spacing w:after="0" w:line="240" w:lineRule="auto"/>
        <w:jc w:val="center"/>
        <w:rPr>
          <w:rFonts w:ascii="Arial Narrow" w:eastAsia="Times New Roman" w:hAnsi="Arial Narrow" w:cs="Times New Roman"/>
          <w:b/>
          <w:kern w:val="0"/>
          <w:sz w:val="20"/>
          <w:szCs w:val="20"/>
          <w:lang w:val="pt-PT" w:eastAsia="es-ES"/>
          <w14:ligatures w14:val="none"/>
        </w:rPr>
      </w:pPr>
      <w:r w:rsidRPr="006E3494">
        <w:rPr>
          <w:rFonts w:ascii="Arial Narrow" w:eastAsia="Times New Roman" w:hAnsi="Arial Narrow" w:cs="Times New Roman"/>
          <w:b/>
          <w:kern w:val="0"/>
          <w:sz w:val="20"/>
          <w:szCs w:val="20"/>
          <w:lang w:val="pt-PT" w:eastAsia="es-ES"/>
          <w14:ligatures w14:val="none"/>
        </w:rPr>
        <w:t>EVELING ROA QUISPE</w:t>
      </w:r>
    </w:p>
    <w:p w14:paraId="367DB96F" w14:textId="77777777" w:rsidR="00690F69" w:rsidRPr="006E3494" w:rsidRDefault="00690F69" w:rsidP="006E3494">
      <w:pPr>
        <w:spacing w:after="0" w:line="240" w:lineRule="auto"/>
        <w:jc w:val="center"/>
        <w:rPr>
          <w:rFonts w:ascii="Arial Narrow" w:eastAsia="Times New Roman" w:hAnsi="Arial Narrow" w:cs="Times New Roman"/>
          <w:b/>
          <w:caps/>
          <w:spacing w:val="-3"/>
          <w:kern w:val="0"/>
          <w:sz w:val="20"/>
          <w:szCs w:val="20"/>
          <w:lang w:val="pt-PT" w:eastAsia="es-ES"/>
          <w14:ligatures w14:val="none"/>
        </w:rPr>
      </w:pPr>
      <w:r w:rsidRPr="006E3494">
        <w:rPr>
          <w:rFonts w:ascii="Arial Narrow" w:eastAsia="Times New Roman" w:hAnsi="Arial Narrow" w:cs="Times New Roman"/>
          <w:b/>
          <w:kern w:val="0"/>
          <w:sz w:val="20"/>
          <w:szCs w:val="20"/>
          <w:lang w:val="pt-PT" w:eastAsia="es-ES"/>
          <w14:ligatures w14:val="none"/>
        </w:rPr>
        <w:t>Secretaria Técnica</w:t>
      </w:r>
    </w:p>
    <w:p w14:paraId="103F9E82" w14:textId="77777777" w:rsidR="00690F69" w:rsidRPr="00CD221B" w:rsidRDefault="00690F69" w:rsidP="006E3494">
      <w:pPr>
        <w:spacing w:after="0" w:line="240" w:lineRule="auto"/>
        <w:jc w:val="center"/>
        <w:rPr>
          <w:rFonts w:ascii="Arial Narrow" w:eastAsia="Times New Roman" w:hAnsi="Arial Narrow" w:cs="Times New Roman"/>
          <w:b/>
          <w:kern w:val="0"/>
          <w:sz w:val="20"/>
          <w:szCs w:val="20"/>
          <w:lang w:val="es-ES" w:eastAsia="es-ES"/>
          <w14:ligatures w14:val="none"/>
        </w:rPr>
      </w:pPr>
      <w:r w:rsidRPr="00CD221B">
        <w:rPr>
          <w:rFonts w:ascii="Arial Narrow" w:eastAsia="Times New Roman" w:hAnsi="Arial Narrow" w:cs="Times New Roman"/>
          <w:b/>
          <w:kern w:val="0"/>
          <w:sz w:val="20"/>
          <w:szCs w:val="20"/>
          <w:lang w:val="es-ES" w:eastAsia="es-ES"/>
          <w14:ligatures w14:val="none"/>
        </w:rPr>
        <w:t>Comisión de Protección al Consumidor N° 1</w:t>
      </w:r>
    </w:p>
    <w:p w14:paraId="67823F3E" w14:textId="79232324" w:rsidR="001B5674" w:rsidRDefault="00D47926" w:rsidP="00690F69">
      <w:pPr>
        <w:spacing w:after="0" w:line="240" w:lineRule="auto"/>
        <w:jc w:val="both"/>
      </w:pPr>
      <w:r>
        <w:rPr>
          <w:rFonts w:ascii="Arial Narrow" w:eastAsia="Times New Roman" w:hAnsi="Arial Narrow" w:cs="Times New Roman"/>
          <w:kern w:val="0"/>
          <w:sz w:val="16"/>
          <w:szCs w:val="16"/>
          <w:lang w:val="es-ES" w:eastAsia="es-ES"/>
          <w14:ligatures w14:val="none"/>
        </w:rPr>
        <w:t>LGP</w:t>
      </w:r>
      <w:r w:rsidR="00690F69" w:rsidRPr="005210E3">
        <w:rPr>
          <w:rFonts w:ascii="Arial Narrow" w:eastAsia="Times New Roman" w:hAnsi="Arial Narrow" w:cs="Times New Roman"/>
          <w:kern w:val="0"/>
          <w:sz w:val="16"/>
          <w:szCs w:val="16"/>
          <w:lang w:val="es-ES" w:eastAsia="es-ES"/>
          <w14:ligatures w14:val="none"/>
        </w:rPr>
        <w:t>/</w:t>
      </w:r>
      <w:r w:rsidR="00F853D1">
        <w:rPr>
          <w:rFonts w:ascii="Arial Narrow" w:eastAsia="Times New Roman" w:hAnsi="Arial Narrow" w:cs="Times New Roman"/>
          <w:kern w:val="0"/>
          <w:sz w:val="16"/>
          <w:szCs w:val="16"/>
          <w:lang w:val="es-ES" w:eastAsia="es-ES"/>
          <w14:ligatures w14:val="none"/>
        </w:rPr>
        <w:t>JCQ</w:t>
      </w:r>
    </w:p>
    <w:sectPr w:rsidR="001B5674" w:rsidSect="00690F69">
      <w:headerReference w:type="default" r:id="rId7"/>
      <w:footerReference w:type="default" r:id="rId8"/>
      <w:pgSz w:w="12240" w:h="15840"/>
      <w:pgMar w:top="1417" w:right="1701" w:bottom="1417" w:left="1701" w:header="708" w:footer="7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41817" w14:textId="77777777" w:rsidR="004364FB" w:rsidRDefault="004364FB" w:rsidP="00690F69">
      <w:pPr>
        <w:spacing w:after="0" w:line="240" w:lineRule="auto"/>
      </w:pPr>
      <w:r>
        <w:separator/>
      </w:r>
    </w:p>
  </w:endnote>
  <w:endnote w:type="continuationSeparator" w:id="0">
    <w:p w14:paraId="29D6F580" w14:textId="77777777" w:rsidR="004364FB" w:rsidRDefault="004364FB" w:rsidP="00690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579366"/>
      <w:docPartObj>
        <w:docPartGallery w:val="Page Numbers (Bottom of Page)"/>
        <w:docPartUnique/>
      </w:docPartObj>
    </w:sdtPr>
    <w:sdtEndPr/>
    <w:sdtContent>
      <w:p w14:paraId="38B0AEE0" w14:textId="77777777" w:rsidR="00690F69" w:rsidRDefault="00690F69" w:rsidP="00AE195B">
        <w:pPr>
          <w:pStyle w:val="Piedepgina"/>
        </w:pPr>
      </w:p>
      <w:p w14:paraId="6D319958" w14:textId="77777777" w:rsidR="00690F69" w:rsidRPr="00E040EB" w:rsidRDefault="00690F69" w:rsidP="00AE195B">
        <w:pPr>
          <w:pStyle w:val="Piedepgina"/>
          <w:rPr>
            <w:rFonts w:ascii="Arial Narrow" w:hAnsi="Arial Narrow" w:cs="Arial"/>
          </w:rPr>
        </w:pPr>
      </w:p>
      <w:p w14:paraId="22D4C5B3" w14:textId="77777777" w:rsidR="00690F69" w:rsidRDefault="004364FB">
        <w:pPr>
          <w:pStyle w:val="Piedepgina"/>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1D89F" w14:textId="77777777" w:rsidR="004364FB" w:rsidRDefault="004364FB" w:rsidP="00690F69">
      <w:pPr>
        <w:spacing w:after="0" w:line="240" w:lineRule="auto"/>
      </w:pPr>
      <w:r>
        <w:separator/>
      </w:r>
    </w:p>
  </w:footnote>
  <w:footnote w:type="continuationSeparator" w:id="0">
    <w:p w14:paraId="0747F63C" w14:textId="77777777" w:rsidR="004364FB" w:rsidRDefault="004364FB" w:rsidP="00690F69">
      <w:pPr>
        <w:spacing w:after="0" w:line="240" w:lineRule="auto"/>
      </w:pPr>
      <w:r>
        <w:continuationSeparator/>
      </w:r>
    </w:p>
  </w:footnote>
  <w:footnote w:id="1">
    <w:p w14:paraId="5B7BAA13" w14:textId="77777777" w:rsidR="00690F69" w:rsidRPr="00247ED9" w:rsidRDefault="00690F69" w:rsidP="00690F69">
      <w:pPr>
        <w:pStyle w:val="Default"/>
        <w:ind w:left="567" w:hanging="567"/>
        <w:jc w:val="both"/>
        <w:rPr>
          <w:rFonts w:ascii="Arial Narrow" w:hAnsi="Arial Narrow"/>
          <w:sz w:val="13"/>
          <w:szCs w:val="13"/>
        </w:rPr>
      </w:pPr>
      <w:r w:rsidRPr="00247ED9">
        <w:rPr>
          <w:rStyle w:val="Refdenotaalpie"/>
          <w:rFonts w:ascii="Arial Narrow" w:hAnsi="Arial Narrow"/>
          <w:sz w:val="13"/>
          <w:szCs w:val="13"/>
        </w:rPr>
        <w:footnoteRef/>
      </w:r>
      <w:r w:rsidRPr="00247ED9">
        <w:rPr>
          <w:rFonts w:ascii="Arial Narrow" w:hAnsi="Arial Narrow"/>
          <w:sz w:val="13"/>
          <w:szCs w:val="13"/>
        </w:rPr>
        <w:t xml:space="preserve"> </w:t>
      </w:r>
      <w:r w:rsidRPr="00247ED9">
        <w:rPr>
          <w:rFonts w:ascii="Arial Narrow" w:hAnsi="Arial Narrow"/>
          <w:sz w:val="13"/>
          <w:szCs w:val="13"/>
        </w:rPr>
        <w:tab/>
      </w:r>
      <w:r w:rsidRPr="00247ED9">
        <w:rPr>
          <w:rFonts w:ascii="Arial Narrow" w:hAnsi="Arial Narrow"/>
          <w:b/>
          <w:bCs/>
          <w:sz w:val="13"/>
          <w:szCs w:val="13"/>
        </w:rPr>
        <w:t xml:space="preserve">TEXTO ÚNICO ORDENADO DE LA LEY DEL PROCEDIMIENTO ADMINISTRATIVO GENERAL, aprobado mediante DECRETO SUPREMO N° 004-2019-JUS y publicado el 25 de enero de 2019 </w:t>
      </w:r>
    </w:p>
    <w:p w14:paraId="32387EEF" w14:textId="77777777" w:rsidR="00690F69" w:rsidRPr="00247ED9" w:rsidRDefault="00690F69" w:rsidP="00690F69">
      <w:pPr>
        <w:pStyle w:val="Default"/>
        <w:ind w:left="567"/>
        <w:jc w:val="both"/>
        <w:rPr>
          <w:rFonts w:ascii="Arial Narrow" w:hAnsi="Arial Narrow"/>
          <w:sz w:val="13"/>
          <w:szCs w:val="13"/>
        </w:rPr>
      </w:pPr>
      <w:r w:rsidRPr="00247ED9">
        <w:rPr>
          <w:rFonts w:ascii="Arial Narrow" w:hAnsi="Arial Narrow"/>
          <w:b/>
          <w:bCs/>
          <w:sz w:val="13"/>
          <w:szCs w:val="13"/>
        </w:rPr>
        <w:t xml:space="preserve">Artículo 20. Modalidades de notificación </w:t>
      </w:r>
    </w:p>
    <w:p w14:paraId="3C6A5D1C" w14:textId="77777777" w:rsidR="00690F69" w:rsidRPr="00247ED9" w:rsidRDefault="00690F69" w:rsidP="00690F69">
      <w:pPr>
        <w:pStyle w:val="Default"/>
        <w:ind w:left="567"/>
        <w:jc w:val="both"/>
        <w:rPr>
          <w:rFonts w:ascii="Arial Narrow" w:hAnsi="Arial Narrow"/>
          <w:sz w:val="13"/>
          <w:szCs w:val="13"/>
        </w:rPr>
      </w:pPr>
      <w:r w:rsidRPr="00247ED9">
        <w:rPr>
          <w:rFonts w:ascii="Arial Narrow" w:hAnsi="Arial Narrow"/>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782BD2F" w14:textId="77777777" w:rsidR="00690F69" w:rsidRPr="00247ED9" w:rsidRDefault="00690F69" w:rsidP="00690F69">
      <w:pPr>
        <w:pStyle w:val="Default"/>
        <w:ind w:left="567"/>
        <w:jc w:val="both"/>
        <w:rPr>
          <w:rFonts w:ascii="Arial Narrow" w:hAnsi="Arial Narrow"/>
          <w:sz w:val="13"/>
          <w:szCs w:val="13"/>
        </w:rPr>
      </w:pPr>
      <w:r w:rsidRPr="00247ED9">
        <w:rPr>
          <w:rFonts w:ascii="Arial Narrow" w:hAnsi="Arial Narrow"/>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DA08EE3" w14:textId="77777777" w:rsidR="00690F69" w:rsidRPr="00247ED9" w:rsidRDefault="00690F69" w:rsidP="00690F69">
      <w:pPr>
        <w:pStyle w:val="Default"/>
        <w:ind w:left="567"/>
        <w:jc w:val="both"/>
        <w:rPr>
          <w:rFonts w:ascii="Arial Narrow" w:hAnsi="Arial Narrow"/>
          <w:sz w:val="13"/>
          <w:szCs w:val="13"/>
        </w:rPr>
      </w:pPr>
      <w:r w:rsidRPr="00247ED9">
        <w:rPr>
          <w:rFonts w:ascii="Arial Narrow" w:hAnsi="Arial Narrow"/>
          <w:sz w:val="13"/>
          <w:szCs w:val="13"/>
        </w:rPr>
        <w:t xml:space="preserve">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 </w:t>
      </w:r>
    </w:p>
    <w:p w14:paraId="23967A00" w14:textId="77777777" w:rsidR="00690F69" w:rsidRPr="00247ED9" w:rsidRDefault="00690F69" w:rsidP="00690F69">
      <w:pPr>
        <w:pStyle w:val="Textonotapie"/>
        <w:ind w:left="567"/>
        <w:jc w:val="both"/>
        <w:rPr>
          <w:rFonts w:ascii="Arial Narrow" w:hAnsi="Arial Narrow"/>
          <w:sz w:val="13"/>
          <w:szCs w:val="13"/>
        </w:rPr>
      </w:pPr>
      <w:r w:rsidRPr="00247ED9">
        <w:rPr>
          <w:rFonts w:ascii="Arial Narrow" w:hAnsi="Arial Narrow"/>
          <w:sz w:val="13"/>
          <w:szCs w:val="13"/>
        </w:rPr>
        <w:t xml:space="preserve">(…).  </w:t>
      </w:r>
    </w:p>
    <w:p w14:paraId="5ED31C2D" w14:textId="77777777" w:rsidR="00690F69" w:rsidRPr="00247ED9" w:rsidRDefault="00690F69" w:rsidP="00690F69">
      <w:pPr>
        <w:pStyle w:val="Textonotapie"/>
        <w:jc w:val="both"/>
        <w:rPr>
          <w:rFonts w:ascii="Arial Narrow" w:hAnsi="Arial Narrow"/>
          <w:sz w:val="13"/>
          <w:szCs w:val="13"/>
        </w:rPr>
      </w:pPr>
    </w:p>
  </w:footnote>
  <w:footnote w:id="2">
    <w:p w14:paraId="512141AF" w14:textId="77777777" w:rsidR="00CD221B" w:rsidRPr="00247ED9" w:rsidRDefault="00CD221B" w:rsidP="00CD221B">
      <w:pPr>
        <w:pStyle w:val="Sinespaciado"/>
        <w:ind w:left="567" w:hanging="567"/>
        <w:jc w:val="both"/>
        <w:rPr>
          <w:rFonts w:ascii="Arial Narrow" w:hAnsi="Arial Narrow"/>
          <w:b/>
          <w:sz w:val="13"/>
          <w:szCs w:val="13"/>
        </w:rPr>
      </w:pPr>
      <w:r w:rsidRPr="00247ED9">
        <w:rPr>
          <w:rStyle w:val="Refdenotaalpie"/>
          <w:rFonts w:ascii="Arial Narrow" w:hAnsi="Arial Narrow"/>
          <w:sz w:val="13"/>
          <w:szCs w:val="13"/>
          <w:lang w:eastAsia="x-none"/>
        </w:rPr>
        <w:footnoteRef/>
      </w:r>
      <w:r w:rsidRPr="00247ED9">
        <w:rPr>
          <w:rFonts w:ascii="Arial Narrow" w:hAnsi="Arial Narrow"/>
          <w:sz w:val="13"/>
          <w:szCs w:val="13"/>
        </w:rPr>
        <w:t xml:space="preserve"> </w:t>
      </w:r>
      <w:r w:rsidRPr="00247ED9">
        <w:rPr>
          <w:rFonts w:ascii="Arial Narrow" w:hAnsi="Arial Narrow"/>
          <w:sz w:val="13"/>
          <w:szCs w:val="13"/>
        </w:rPr>
        <w:tab/>
      </w:r>
      <w:r w:rsidRPr="00247ED9">
        <w:rPr>
          <w:rFonts w:ascii="Arial Narrow" w:hAnsi="Arial Narrow"/>
          <w:b/>
          <w:sz w:val="13"/>
          <w:szCs w:val="13"/>
        </w:rPr>
        <w:t>DECRETO SUPREMO N° 004-2019-JUS, TEXTO ÚNICO ORDENADO DE LA LEY DEL PROCEDIMIENTO ADMINISTRATIVO GENERAL, publicado el 25 de enero de 2019.</w:t>
      </w:r>
    </w:p>
    <w:p w14:paraId="03E1A4A7" w14:textId="77777777" w:rsidR="00CD221B" w:rsidRPr="00247ED9" w:rsidRDefault="00CD221B" w:rsidP="00CD221B">
      <w:pPr>
        <w:pStyle w:val="Sinespaciado"/>
        <w:ind w:left="567" w:hanging="567"/>
        <w:jc w:val="both"/>
        <w:rPr>
          <w:rFonts w:ascii="Arial Narrow" w:hAnsi="Arial Narrow"/>
          <w:b/>
          <w:sz w:val="13"/>
          <w:szCs w:val="13"/>
        </w:rPr>
      </w:pPr>
      <w:r w:rsidRPr="00247ED9">
        <w:rPr>
          <w:rFonts w:ascii="Arial Narrow" w:hAnsi="Arial Narrow"/>
          <w:b/>
          <w:sz w:val="13"/>
          <w:szCs w:val="13"/>
        </w:rPr>
        <w:tab/>
        <w:t xml:space="preserve">Artículo 26°.- Notificaciones </w:t>
      </w:r>
    </w:p>
    <w:p w14:paraId="0276587D" w14:textId="77777777" w:rsidR="00CD221B" w:rsidRPr="00247ED9" w:rsidRDefault="00CD221B" w:rsidP="00CD221B">
      <w:pPr>
        <w:pStyle w:val="Sinespaciado"/>
        <w:ind w:left="567" w:hanging="567"/>
        <w:jc w:val="both"/>
        <w:rPr>
          <w:rFonts w:ascii="Arial Narrow" w:hAnsi="Arial Narrow"/>
          <w:sz w:val="13"/>
          <w:szCs w:val="13"/>
        </w:rPr>
      </w:pPr>
      <w:r w:rsidRPr="00247ED9">
        <w:rPr>
          <w:rFonts w:ascii="Arial Narrow" w:hAnsi="Arial Narrow"/>
          <w:sz w:val="13"/>
          <w:szCs w:val="13"/>
        </w:rPr>
        <w:tab/>
        <w:t>26.1 En caso que se demuestre que la notificación se ha realizado sin las formalidades y requisitos legales, la autoridad ordenará se rehaga, subsanando las omisiones en que hubiesen incurrido, sin perjuicio para el administrado.</w:t>
      </w:r>
    </w:p>
    <w:p w14:paraId="112D6145" w14:textId="77777777" w:rsidR="00CD221B" w:rsidRPr="00247ED9" w:rsidRDefault="00CD221B" w:rsidP="00CD221B">
      <w:pPr>
        <w:pStyle w:val="Sinespaciado"/>
        <w:ind w:left="567" w:hanging="567"/>
        <w:jc w:val="both"/>
        <w:rPr>
          <w:rFonts w:ascii="Arial Narrow" w:hAnsi="Arial Narrow"/>
          <w:sz w:val="13"/>
          <w:szCs w:val="13"/>
        </w:rPr>
      </w:pPr>
      <w:r w:rsidRPr="00247ED9">
        <w:rPr>
          <w:rFonts w:ascii="Arial Narrow" w:hAnsi="Arial Narrow"/>
          <w:sz w:val="13"/>
          <w:szCs w:val="13"/>
        </w:rPr>
        <w:tab/>
        <w:t>26.2 La desestimación del cuestionamiento a la validez de una notificación, causa que dicha notificación opera desde la fecha en que fue realizada.</w:t>
      </w:r>
    </w:p>
    <w:p w14:paraId="061708F2" w14:textId="77777777" w:rsidR="00247ED9" w:rsidRPr="00247ED9" w:rsidRDefault="00247ED9" w:rsidP="00CD221B">
      <w:pPr>
        <w:pStyle w:val="Sinespaciado"/>
        <w:ind w:left="567" w:hanging="567"/>
        <w:jc w:val="both"/>
        <w:rPr>
          <w:rFonts w:ascii="Arial Narrow" w:hAnsi="Arial Narrow"/>
          <w:sz w:val="13"/>
          <w:szCs w:val="13"/>
        </w:rPr>
      </w:pPr>
    </w:p>
  </w:footnote>
  <w:footnote w:id="3">
    <w:p w14:paraId="6938618F" w14:textId="77777777" w:rsidR="000D3379" w:rsidRPr="00247ED9" w:rsidRDefault="000D3379" w:rsidP="000D3379">
      <w:pPr>
        <w:pStyle w:val="Sinespaciado"/>
        <w:ind w:left="567" w:hanging="567"/>
        <w:jc w:val="both"/>
        <w:rPr>
          <w:rFonts w:ascii="Arial Narrow" w:hAnsi="Arial Narrow"/>
          <w:b/>
          <w:sz w:val="13"/>
          <w:szCs w:val="13"/>
        </w:rPr>
      </w:pPr>
      <w:r w:rsidRPr="00247ED9">
        <w:rPr>
          <w:rStyle w:val="Refdenotaalpie"/>
          <w:rFonts w:ascii="Arial Narrow" w:hAnsi="Arial Narrow"/>
          <w:sz w:val="13"/>
          <w:szCs w:val="13"/>
          <w:lang w:eastAsia="x-none"/>
        </w:rPr>
        <w:footnoteRef/>
      </w:r>
      <w:r w:rsidRPr="00247ED9">
        <w:rPr>
          <w:rFonts w:ascii="Arial Narrow" w:hAnsi="Arial Narrow"/>
          <w:sz w:val="13"/>
          <w:szCs w:val="13"/>
        </w:rPr>
        <w:t xml:space="preserve"> </w:t>
      </w:r>
      <w:r w:rsidRPr="00247ED9">
        <w:rPr>
          <w:rFonts w:ascii="Arial Narrow" w:hAnsi="Arial Narrow"/>
          <w:sz w:val="13"/>
          <w:szCs w:val="13"/>
        </w:rPr>
        <w:tab/>
      </w:r>
      <w:r w:rsidRPr="00247ED9">
        <w:rPr>
          <w:rFonts w:ascii="Arial Narrow" w:hAnsi="Arial Narrow"/>
          <w:b/>
          <w:sz w:val="13"/>
          <w:szCs w:val="13"/>
        </w:rPr>
        <w:t>DIRECTIVA Nº 001-2013/TRI-INDECOPI, Régimen de notificación de actos administrativos y otras comunicaciones emitidas en los procedimientos administrativos a cargo de los órganos resolutivos del INDECOPI.</w:t>
      </w:r>
    </w:p>
    <w:p w14:paraId="33039832" w14:textId="77777777" w:rsidR="000D3379" w:rsidRPr="00247ED9" w:rsidRDefault="000D3379" w:rsidP="000D3379">
      <w:pPr>
        <w:pStyle w:val="Sinespaciado"/>
        <w:ind w:left="567" w:hanging="567"/>
        <w:jc w:val="both"/>
        <w:rPr>
          <w:rFonts w:ascii="Arial Narrow" w:hAnsi="Arial Narrow"/>
          <w:b/>
          <w:sz w:val="13"/>
          <w:szCs w:val="13"/>
        </w:rPr>
      </w:pPr>
      <w:r w:rsidRPr="00247ED9">
        <w:rPr>
          <w:rFonts w:ascii="Arial Narrow" w:hAnsi="Arial Narrow"/>
          <w:b/>
          <w:sz w:val="13"/>
          <w:szCs w:val="13"/>
        </w:rPr>
        <w:tab/>
        <w:t>Artículo 3°.- Notificación personal</w:t>
      </w:r>
    </w:p>
    <w:p w14:paraId="2BF28990" w14:textId="708F6120" w:rsidR="000D3379" w:rsidRDefault="000D3379" w:rsidP="000D3379">
      <w:pPr>
        <w:pStyle w:val="Sinespaciado"/>
        <w:ind w:left="567" w:hanging="567"/>
        <w:jc w:val="both"/>
        <w:rPr>
          <w:rFonts w:ascii="Arial Narrow" w:hAnsi="Arial Narrow"/>
          <w:sz w:val="16"/>
          <w:szCs w:val="16"/>
        </w:rPr>
      </w:pPr>
      <w:r w:rsidRPr="00247ED9">
        <w:rPr>
          <w:rFonts w:ascii="Arial Narrow" w:hAnsi="Arial Narrow"/>
          <w:sz w:val="13"/>
          <w:szCs w:val="13"/>
        </w:rPr>
        <w:tab/>
        <w:t>3.1. Los órganos resolutivos deberán realizar la notificación personal en el domicilio que conste en el expediente respectivo. En aso que no se cuente con el domicilio del destinatario de la cédula, o luego de su verificación este resulte inexistente, los órganos resolutivos deberán notificar al domicilio señalado en el Documento Nacional de Identidad (DNI) del administrado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2CF9B" w14:textId="77777777" w:rsidR="00690F69" w:rsidRDefault="00690F69">
    <w:pPr>
      <w:pStyle w:val="Encabezado"/>
    </w:pPr>
  </w:p>
  <w:tbl>
    <w:tblPr>
      <w:tblW w:w="8999" w:type="dxa"/>
      <w:tblInd w:w="-68" w:type="dxa"/>
      <w:tblLayout w:type="fixed"/>
      <w:tblCellMar>
        <w:left w:w="70" w:type="dxa"/>
        <w:right w:w="70" w:type="dxa"/>
      </w:tblCellMar>
      <w:tblLook w:val="0000" w:firstRow="0" w:lastRow="0" w:firstColumn="0" w:lastColumn="0" w:noHBand="0" w:noVBand="0"/>
    </w:tblPr>
    <w:tblGrid>
      <w:gridCol w:w="4726"/>
      <w:gridCol w:w="4273"/>
    </w:tblGrid>
    <w:tr w:rsidR="00950678" w14:paraId="487F9075" w14:textId="77777777" w:rsidTr="000C1735">
      <w:trPr>
        <w:trHeight w:val="1526"/>
      </w:trPr>
      <w:tc>
        <w:tcPr>
          <w:tcW w:w="4726" w:type="dxa"/>
        </w:tcPr>
        <w:p w14:paraId="20D31FF6" w14:textId="77777777" w:rsidR="00690F69" w:rsidRDefault="00690F69" w:rsidP="00AE195B">
          <w:r>
            <w:rPr>
              <w:noProof/>
              <w:lang w:eastAsia="es-PE"/>
            </w:rPr>
            <w:drawing>
              <wp:inline distT="0" distB="0" distL="0" distR="0" wp14:anchorId="403B7D66" wp14:editId="45467AA9">
                <wp:extent cx="2171700" cy="752475"/>
                <wp:effectExtent l="0" t="0" r="0" b="9525"/>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1700" cy="752475"/>
                        </a:xfrm>
                        <a:prstGeom prst="rect">
                          <a:avLst/>
                        </a:prstGeom>
                        <a:noFill/>
                        <a:ln>
                          <a:noFill/>
                        </a:ln>
                      </pic:spPr>
                    </pic:pic>
                  </a:graphicData>
                </a:graphic>
              </wp:inline>
            </w:drawing>
          </w:r>
        </w:p>
      </w:tc>
      <w:tc>
        <w:tcPr>
          <w:tcW w:w="4273" w:type="dxa"/>
        </w:tcPr>
        <w:p w14:paraId="5E7DF21D" w14:textId="77777777" w:rsidR="00690F69" w:rsidRDefault="00690F69" w:rsidP="00AE195B">
          <w:pPr>
            <w:pStyle w:val="Encabezado"/>
            <w:jc w:val="right"/>
            <w:rPr>
              <w:b/>
              <w:bCs/>
              <w:i/>
              <w:iCs/>
              <w:sz w:val="18"/>
              <w:szCs w:val="18"/>
            </w:rPr>
          </w:pPr>
        </w:p>
        <w:p w14:paraId="145C1354" w14:textId="77777777" w:rsidR="000C1735" w:rsidRDefault="000C1735" w:rsidP="00AE195B">
          <w:pPr>
            <w:pStyle w:val="Encabezado"/>
            <w:jc w:val="right"/>
            <w:rPr>
              <w:b/>
              <w:bCs/>
              <w:i/>
              <w:iCs/>
              <w:sz w:val="18"/>
              <w:szCs w:val="18"/>
            </w:rPr>
          </w:pPr>
        </w:p>
        <w:p w14:paraId="5AC62CB3" w14:textId="77777777" w:rsidR="000C1735" w:rsidRDefault="000C1735" w:rsidP="00AE195B">
          <w:pPr>
            <w:pStyle w:val="Encabezado"/>
            <w:jc w:val="right"/>
            <w:rPr>
              <w:b/>
              <w:bCs/>
              <w:i/>
              <w:iCs/>
              <w:sz w:val="18"/>
              <w:szCs w:val="18"/>
            </w:rPr>
          </w:pPr>
        </w:p>
        <w:p w14:paraId="447EDAF5" w14:textId="77777777" w:rsidR="000C1735" w:rsidRDefault="000C1735" w:rsidP="00AE195B">
          <w:pPr>
            <w:pStyle w:val="Encabezado"/>
            <w:jc w:val="right"/>
            <w:rPr>
              <w:b/>
              <w:bCs/>
              <w:i/>
              <w:iCs/>
              <w:sz w:val="18"/>
              <w:szCs w:val="18"/>
            </w:rPr>
          </w:pPr>
        </w:p>
        <w:p w14:paraId="6D391D35" w14:textId="77777777" w:rsidR="000C1735" w:rsidRPr="005059E8" w:rsidRDefault="000C1735" w:rsidP="00AE195B">
          <w:pPr>
            <w:pStyle w:val="Encabezado"/>
            <w:jc w:val="right"/>
            <w:rPr>
              <w:b/>
              <w:bCs/>
              <w:i/>
              <w:iCs/>
              <w:sz w:val="18"/>
              <w:szCs w:val="18"/>
            </w:rPr>
          </w:pPr>
        </w:p>
        <w:p w14:paraId="20BE39E6" w14:textId="77777777" w:rsidR="00690F69" w:rsidRPr="005059E8" w:rsidRDefault="00690F69" w:rsidP="00AE195B">
          <w:pPr>
            <w:pStyle w:val="Encabezado"/>
            <w:jc w:val="right"/>
            <w:rPr>
              <w:b/>
              <w:bCs/>
              <w:i/>
              <w:iCs/>
              <w:sz w:val="18"/>
              <w:szCs w:val="18"/>
            </w:rPr>
          </w:pPr>
        </w:p>
        <w:p w14:paraId="3CBFED98" w14:textId="77777777" w:rsidR="00690F69" w:rsidRDefault="00690F69" w:rsidP="00AE195B">
          <w:pPr>
            <w:tabs>
              <w:tab w:val="left" w:pos="0"/>
            </w:tabs>
            <w:jc w:val="right"/>
            <w:rPr>
              <w:rFonts w:ascii="Arial" w:hAnsi="Arial" w:cs="Arial"/>
              <w:b/>
              <w:bCs/>
              <w:i/>
              <w:iCs/>
              <w:sz w:val="16"/>
              <w:szCs w:val="16"/>
            </w:rPr>
          </w:pPr>
          <w:r w:rsidRPr="17687A3D">
            <w:rPr>
              <w:rFonts w:ascii="Arial" w:eastAsia="Arial" w:hAnsi="Arial" w:cs="Arial"/>
              <w:b/>
              <w:bCs/>
              <w:i/>
              <w:iCs/>
              <w:sz w:val="16"/>
              <w:szCs w:val="16"/>
            </w:rPr>
            <w:t xml:space="preserve">SECRETARÍA TÉCNICA DE LA COMISIÓN DE PROTECCIÓN AL CONSUMIDOR Nº 1 </w:t>
          </w:r>
        </w:p>
        <w:p w14:paraId="76A2395D" w14:textId="43225D89" w:rsidR="00690F69" w:rsidRPr="000C1735" w:rsidRDefault="00690F69" w:rsidP="000C1735">
          <w:pPr>
            <w:tabs>
              <w:tab w:val="left" w:pos="0"/>
            </w:tabs>
            <w:jc w:val="right"/>
            <w:rPr>
              <w:b/>
              <w:bCs/>
              <w:i/>
              <w:iCs/>
              <w:sz w:val="16"/>
              <w:szCs w:val="16"/>
            </w:rPr>
          </w:pPr>
          <w:r w:rsidRPr="17687A3D">
            <w:rPr>
              <w:rFonts w:ascii="Arial" w:eastAsia="Arial" w:hAnsi="Arial" w:cs="Arial"/>
              <w:b/>
              <w:bCs/>
              <w:i/>
              <w:iCs/>
              <w:sz w:val="16"/>
              <w:szCs w:val="16"/>
            </w:rPr>
            <w:t>SEDE CENTRAL</w:t>
          </w:r>
        </w:p>
      </w:tc>
    </w:tr>
  </w:tbl>
  <w:p w14:paraId="60D5B317" w14:textId="77777777" w:rsidR="00690F69" w:rsidRPr="00C034C1" w:rsidRDefault="00690F69" w:rsidP="00AE195B">
    <w:pPr>
      <w:tabs>
        <w:tab w:val="left" w:pos="0"/>
      </w:tabs>
      <w:rPr>
        <w:b/>
        <w:bCs/>
        <w:i/>
        <w:iCs/>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F69"/>
    <w:rsid w:val="000278C0"/>
    <w:rsid w:val="000C1735"/>
    <w:rsid w:val="000C351C"/>
    <w:rsid w:val="000D3379"/>
    <w:rsid w:val="001B5674"/>
    <w:rsid w:val="001B6FB2"/>
    <w:rsid w:val="00207AF0"/>
    <w:rsid w:val="00247ED9"/>
    <w:rsid w:val="00257951"/>
    <w:rsid w:val="0043167F"/>
    <w:rsid w:val="004364FB"/>
    <w:rsid w:val="004E401C"/>
    <w:rsid w:val="00541FED"/>
    <w:rsid w:val="00597AC4"/>
    <w:rsid w:val="005B5FEB"/>
    <w:rsid w:val="00690F69"/>
    <w:rsid w:val="006E3494"/>
    <w:rsid w:val="007537F0"/>
    <w:rsid w:val="00782071"/>
    <w:rsid w:val="007B27B4"/>
    <w:rsid w:val="007C6C96"/>
    <w:rsid w:val="007F01F7"/>
    <w:rsid w:val="00805CA7"/>
    <w:rsid w:val="0081272C"/>
    <w:rsid w:val="008229CF"/>
    <w:rsid w:val="009046A2"/>
    <w:rsid w:val="00955AB5"/>
    <w:rsid w:val="009632E3"/>
    <w:rsid w:val="00982850"/>
    <w:rsid w:val="009B6B24"/>
    <w:rsid w:val="00A511FA"/>
    <w:rsid w:val="00A723B0"/>
    <w:rsid w:val="00A91BC8"/>
    <w:rsid w:val="00AA27F3"/>
    <w:rsid w:val="00B239B0"/>
    <w:rsid w:val="00C70A55"/>
    <w:rsid w:val="00CD0C8E"/>
    <w:rsid w:val="00CD221B"/>
    <w:rsid w:val="00D47926"/>
    <w:rsid w:val="00D71E40"/>
    <w:rsid w:val="00D877BF"/>
    <w:rsid w:val="00DB52A6"/>
    <w:rsid w:val="00E448D7"/>
    <w:rsid w:val="00E57AD0"/>
    <w:rsid w:val="00E65988"/>
    <w:rsid w:val="00E93492"/>
    <w:rsid w:val="00EF7B61"/>
    <w:rsid w:val="00F853D1"/>
    <w:rsid w:val="00FC61D4"/>
    <w:rsid w:val="00FF1321"/>
    <w:rsid w:val="00FF55E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66342"/>
  <w15:chartTrackingRefBased/>
  <w15:docId w15:val="{0A67BCB5-B383-48E8-9B05-E205FD59F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F69"/>
  </w:style>
  <w:style w:type="paragraph" w:styleId="Ttulo1">
    <w:name w:val="heading 1"/>
    <w:basedOn w:val="Normal"/>
    <w:next w:val="Normal"/>
    <w:link w:val="Ttulo1Car"/>
    <w:uiPriority w:val="9"/>
    <w:qFormat/>
    <w:rsid w:val="00690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0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0F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0F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0F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0F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0F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0F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0F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0F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0F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0F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0F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0F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0F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0F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0F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0F69"/>
    <w:rPr>
      <w:rFonts w:eastAsiaTheme="majorEastAsia" w:cstheme="majorBidi"/>
      <w:color w:val="272727" w:themeColor="text1" w:themeTint="D8"/>
    </w:rPr>
  </w:style>
  <w:style w:type="paragraph" w:styleId="Ttulo">
    <w:name w:val="Title"/>
    <w:basedOn w:val="Normal"/>
    <w:next w:val="Normal"/>
    <w:link w:val="TtuloCar"/>
    <w:uiPriority w:val="10"/>
    <w:qFormat/>
    <w:rsid w:val="00690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0F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0F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0F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0F69"/>
    <w:pPr>
      <w:spacing w:before="160"/>
      <w:jc w:val="center"/>
    </w:pPr>
    <w:rPr>
      <w:i/>
      <w:iCs/>
      <w:color w:val="404040" w:themeColor="text1" w:themeTint="BF"/>
    </w:rPr>
  </w:style>
  <w:style w:type="character" w:customStyle="1" w:styleId="CitaCar">
    <w:name w:val="Cita Car"/>
    <w:basedOn w:val="Fuentedeprrafopredeter"/>
    <w:link w:val="Cita"/>
    <w:uiPriority w:val="29"/>
    <w:rsid w:val="00690F69"/>
    <w:rPr>
      <w:i/>
      <w:iCs/>
      <w:color w:val="404040" w:themeColor="text1" w:themeTint="BF"/>
    </w:rPr>
  </w:style>
  <w:style w:type="paragraph" w:styleId="Prrafodelista">
    <w:name w:val="List Paragraph"/>
    <w:basedOn w:val="Normal"/>
    <w:uiPriority w:val="34"/>
    <w:qFormat/>
    <w:rsid w:val="00690F69"/>
    <w:pPr>
      <w:ind w:left="720"/>
      <w:contextualSpacing/>
    </w:pPr>
  </w:style>
  <w:style w:type="character" w:styleId="nfasisintenso">
    <w:name w:val="Intense Emphasis"/>
    <w:basedOn w:val="Fuentedeprrafopredeter"/>
    <w:uiPriority w:val="21"/>
    <w:qFormat/>
    <w:rsid w:val="00690F69"/>
    <w:rPr>
      <w:i/>
      <w:iCs/>
      <w:color w:val="0F4761" w:themeColor="accent1" w:themeShade="BF"/>
    </w:rPr>
  </w:style>
  <w:style w:type="paragraph" w:styleId="Citadestacada">
    <w:name w:val="Intense Quote"/>
    <w:basedOn w:val="Normal"/>
    <w:next w:val="Normal"/>
    <w:link w:val="CitadestacadaCar"/>
    <w:uiPriority w:val="30"/>
    <w:qFormat/>
    <w:rsid w:val="00690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0F69"/>
    <w:rPr>
      <w:i/>
      <w:iCs/>
      <w:color w:val="0F4761" w:themeColor="accent1" w:themeShade="BF"/>
    </w:rPr>
  </w:style>
  <w:style w:type="character" w:styleId="Referenciaintensa">
    <w:name w:val="Intense Reference"/>
    <w:basedOn w:val="Fuentedeprrafopredeter"/>
    <w:uiPriority w:val="32"/>
    <w:qFormat/>
    <w:rsid w:val="00690F69"/>
    <w:rPr>
      <w:b/>
      <w:bCs/>
      <w:smallCaps/>
      <w:color w:val="0F4761" w:themeColor="accent1" w:themeShade="BF"/>
      <w:spacing w:val="5"/>
    </w:rPr>
  </w:style>
  <w:style w:type="paragraph" w:styleId="Encabezado">
    <w:name w:val="header"/>
    <w:basedOn w:val="Normal"/>
    <w:link w:val="EncabezadoCar"/>
    <w:uiPriority w:val="99"/>
    <w:unhideWhenUsed/>
    <w:rsid w:val="00690F6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90F69"/>
  </w:style>
  <w:style w:type="paragraph" w:styleId="Textonotapie">
    <w:name w:val="footnote text"/>
    <w:basedOn w:val="Normal"/>
    <w:link w:val="TextonotapieCar"/>
    <w:uiPriority w:val="99"/>
    <w:semiHidden/>
    <w:unhideWhenUsed/>
    <w:rsid w:val="00690F6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90F69"/>
    <w:rPr>
      <w:sz w:val="20"/>
      <w:szCs w:val="20"/>
    </w:rPr>
  </w:style>
  <w:style w:type="paragraph" w:styleId="Sinespaciado">
    <w:name w:val="No Spacing"/>
    <w:uiPriority w:val="1"/>
    <w:qFormat/>
    <w:rsid w:val="00690F69"/>
    <w:pPr>
      <w:spacing w:after="0" w:line="240" w:lineRule="auto"/>
    </w:pPr>
  </w:style>
  <w:style w:type="paragraph" w:styleId="Piedepgina">
    <w:name w:val="footer"/>
    <w:basedOn w:val="Normal"/>
    <w:link w:val="PiedepginaCar"/>
    <w:uiPriority w:val="99"/>
    <w:unhideWhenUsed/>
    <w:rsid w:val="00690F6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90F69"/>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Texto nota pie1"/>
    <w:link w:val="Texto1"/>
    <w:uiPriority w:val="99"/>
    <w:qFormat/>
    <w:rsid w:val="00690F69"/>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690F69"/>
    <w:pPr>
      <w:spacing w:after="0" w:line="240" w:lineRule="auto"/>
    </w:pPr>
    <w:rPr>
      <w:vertAlign w:val="superscript"/>
    </w:rPr>
  </w:style>
  <w:style w:type="paragraph" w:customStyle="1" w:styleId="Default">
    <w:name w:val="Default"/>
    <w:rsid w:val="00690F69"/>
    <w:pPr>
      <w:autoSpaceDE w:val="0"/>
      <w:autoSpaceDN w:val="0"/>
      <w:adjustRightInd w:val="0"/>
      <w:spacing w:after="0" w:line="240" w:lineRule="auto"/>
    </w:pPr>
    <w:rPr>
      <w:rFonts w:ascii="Arial" w:hAnsi="Arial" w:cs="Arial"/>
      <w:color w:val="000000"/>
      <w:kern w:val="0"/>
      <w:sz w:val="24"/>
      <w:szCs w:val="24"/>
      <w14:ligatures w14:val="none"/>
    </w:rPr>
  </w:style>
  <w:style w:type="character" w:styleId="Hipervnculo">
    <w:name w:val="Hyperlink"/>
    <w:basedOn w:val="Fuentedeprrafopredeter"/>
    <w:uiPriority w:val="99"/>
    <w:unhideWhenUsed/>
    <w:rsid w:val="00690F69"/>
    <w:rPr>
      <w:color w:val="467886" w:themeColor="hyperlink"/>
      <w:u w:val="single"/>
    </w:rPr>
  </w:style>
  <w:style w:type="character" w:styleId="Mencinsinresolver">
    <w:name w:val="Unresolved Mention"/>
    <w:basedOn w:val="Fuentedeprrafopredeter"/>
    <w:uiPriority w:val="99"/>
    <w:semiHidden/>
    <w:unhideWhenUsed/>
    <w:rsid w:val="00690F69"/>
    <w:rPr>
      <w:color w:val="605E5C"/>
      <w:shd w:val="clear" w:color="auto" w:fill="E1DFDD"/>
    </w:rPr>
  </w:style>
  <w:style w:type="character" w:styleId="Refdecomentario">
    <w:name w:val="annotation reference"/>
    <w:basedOn w:val="Fuentedeprrafopredeter"/>
    <w:uiPriority w:val="99"/>
    <w:semiHidden/>
    <w:unhideWhenUsed/>
    <w:rsid w:val="00C70A55"/>
    <w:rPr>
      <w:sz w:val="16"/>
      <w:szCs w:val="16"/>
    </w:rPr>
  </w:style>
  <w:style w:type="paragraph" w:styleId="Textocomentario">
    <w:name w:val="annotation text"/>
    <w:basedOn w:val="Normal"/>
    <w:link w:val="TextocomentarioCar"/>
    <w:uiPriority w:val="99"/>
    <w:unhideWhenUsed/>
    <w:rsid w:val="00C70A55"/>
    <w:pPr>
      <w:spacing w:line="240" w:lineRule="auto"/>
    </w:pPr>
    <w:rPr>
      <w:sz w:val="20"/>
      <w:szCs w:val="20"/>
    </w:rPr>
  </w:style>
  <w:style w:type="character" w:customStyle="1" w:styleId="TextocomentarioCar">
    <w:name w:val="Texto comentario Car"/>
    <w:basedOn w:val="Fuentedeprrafopredeter"/>
    <w:link w:val="Textocomentario"/>
    <w:uiPriority w:val="99"/>
    <w:rsid w:val="00C70A55"/>
    <w:rPr>
      <w:sz w:val="20"/>
      <w:szCs w:val="20"/>
    </w:rPr>
  </w:style>
  <w:style w:type="paragraph" w:styleId="Asuntodelcomentario">
    <w:name w:val="annotation subject"/>
    <w:basedOn w:val="Textocomentario"/>
    <w:next w:val="Textocomentario"/>
    <w:link w:val="AsuntodelcomentarioCar"/>
    <w:uiPriority w:val="99"/>
    <w:semiHidden/>
    <w:unhideWhenUsed/>
    <w:rsid w:val="00C70A55"/>
    <w:rPr>
      <w:b/>
      <w:bCs/>
    </w:rPr>
  </w:style>
  <w:style w:type="character" w:customStyle="1" w:styleId="AsuntodelcomentarioCar">
    <w:name w:val="Asunto del comentario Car"/>
    <w:basedOn w:val="TextocomentarioCar"/>
    <w:link w:val="Asuntodelcomentario"/>
    <w:uiPriority w:val="99"/>
    <w:semiHidden/>
    <w:rsid w:val="00C70A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laudialexandraviles@gmail.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280</Words>
  <Characters>1546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17</cp:revision>
  <cp:lastPrinted>2025-02-28T14:22:00Z</cp:lastPrinted>
  <dcterms:created xsi:type="dcterms:W3CDTF">2025-02-27T14:23:00Z</dcterms:created>
  <dcterms:modified xsi:type="dcterms:W3CDTF">2026-06-02T22:52:00Z</dcterms:modified>
</cp:coreProperties>
</file>