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3630" w14:textId="77777777" w:rsidR="00536318" w:rsidRPr="00010A0E" w:rsidRDefault="00536318" w:rsidP="00536318">
      <w:pPr>
        <w:spacing w:after="0" w:line="240" w:lineRule="auto"/>
        <w:jc w:val="center"/>
        <w:rPr>
          <w:rFonts w:ascii="Arial Narrow" w:eastAsia="Times New Roman" w:hAnsi="Arial Narrow" w:cs="Arial"/>
          <w:b/>
          <w:u w:val="single"/>
          <w:lang w:val="es-ES" w:eastAsia="es-ES"/>
        </w:rPr>
      </w:pPr>
      <w:bookmarkStart w:id="0" w:name="_Hlk43118744"/>
      <w:r w:rsidRPr="00010A0E">
        <w:rPr>
          <w:rFonts w:ascii="Arial Narrow" w:eastAsia="Times New Roman" w:hAnsi="Arial Narrow" w:cs="Arial"/>
          <w:b/>
          <w:u w:val="single"/>
          <w:lang w:val="es-ES" w:eastAsia="es-ES"/>
        </w:rPr>
        <w:t>RAZÓN DE SECRETARÍA TÉCNICA</w:t>
      </w:r>
    </w:p>
    <w:p w14:paraId="6707BC15" w14:textId="77777777" w:rsidR="00536318" w:rsidRPr="00010A0E" w:rsidRDefault="00536318" w:rsidP="00536318">
      <w:pPr>
        <w:keepNext/>
        <w:spacing w:after="0" w:line="240" w:lineRule="auto"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2EC75A01" w14:textId="77777777" w:rsidR="00536318" w:rsidRPr="00010A0E" w:rsidRDefault="00536318" w:rsidP="00536318">
      <w:pPr>
        <w:keepNext/>
        <w:spacing w:after="0" w:line="240" w:lineRule="auto"/>
        <w:jc w:val="both"/>
        <w:outlineLvl w:val="1"/>
        <w:rPr>
          <w:rFonts w:ascii="Arial Narrow" w:eastAsia="Times New Roman" w:hAnsi="Arial Narrow" w:cs="Arial"/>
          <w:b/>
          <w:bCs/>
          <w:i/>
          <w:iCs/>
          <w:lang w:val="es-ES" w:eastAsia="es-ES"/>
        </w:rPr>
      </w:pPr>
    </w:p>
    <w:p w14:paraId="30D4B32D" w14:textId="0D1FC4F2" w:rsidR="00536318" w:rsidRPr="00010A0E" w:rsidRDefault="00536318" w:rsidP="00536318">
      <w:pPr>
        <w:spacing w:line="240" w:lineRule="auto"/>
        <w:jc w:val="right"/>
        <w:rPr>
          <w:rFonts w:ascii="Arial Narrow" w:hAnsi="Arial Narrow" w:cs="Arial"/>
          <w:b/>
          <w:lang w:val="es-ES" w:eastAsia="es-ES"/>
        </w:rPr>
      </w:pPr>
      <w:r w:rsidRPr="00010A0E">
        <w:rPr>
          <w:rFonts w:ascii="Arial Narrow" w:hAnsi="Arial Narrow" w:cs="Arial"/>
          <w:b/>
          <w:lang w:val="es-ES" w:eastAsia="es-ES"/>
        </w:rPr>
        <w:t>Expediente N°</w:t>
      </w:r>
      <w:r>
        <w:rPr>
          <w:rFonts w:ascii="Arial Narrow" w:hAnsi="Arial Narrow" w:cs="Arial"/>
          <w:b/>
          <w:lang w:val="es-ES" w:eastAsia="es-ES"/>
        </w:rPr>
        <w:t>0649</w:t>
      </w:r>
      <w:r w:rsidRPr="00010A0E">
        <w:rPr>
          <w:rFonts w:ascii="Arial Narrow" w:hAnsi="Arial Narrow" w:cs="Arial"/>
          <w:b/>
          <w:lang w:val="es-ES" w:eastAsia="es-ES"/>
        </w:rPr>
        <w:t>-2025/CC1</w:t>
      </w:r>
    </w:p>
    <w:p w14:paraId="6AEAA4E1" w14:textId="311001BC" w:rsidR="00536318" w:rsidRPr="00010A0E" w:rsidRDefault="00536318" w:rsidP="00536318">
      <w:pPr>
        <w:spacing w:line="240" w:lineRule="auto"/>
        <w:rPr>
          <w:rFonts w:ascii="Arial Narrow" w:hAnsi="Arial Narrow" w:cs="Arial"/>
          <w:lang w:val="es-ES" w:eastAsia="es-ES"/>
        </w:rPr>
      </w:pPr>
      <w:r w:rsidRPr="00010A0E">
        <w:rPr>
          <w:rFonts w:ascii="Arial Narrow" w:hAnsi="Arial Narrow" w:cs="Arial"/>
          <w:lang w:val="es-ES" w:eastAsia="es-ES"/>
        </w:rPr>
        <w:t xml:space="preserve">Lima, </w:t>
      </w:r>
      <w:r>
        <w:rPr>
          <w:rFonts w:ascii="Arial Narrow" w:hAnsi="Arial Narrow" w:cs="Arial"/>
          <w:lang w:val="es-ES" w:eastAsia="es-ES"/>
        </w:rPr>
        <w:t>8</w:t>
      </w:r>
      <w:r w:rsidRPr="00010A0E">
        <w:rPr>
          <w:rFonts w:ascii="Arial Narrow" w:hAnsi="Arial Narrow" w:cs="Arial"/>
          <w:lang w:val="es-ES" w:eastAsia="es-ES"/>
        </w:rPr>
        <w:t xml:space="preserve"> de </w:t>
      </w:r>
      <w:r>
        <w:rPr>
          <w:rFonts w:ascii="Arial Narrow" w:hAnsi="Arial Narrow" w:cs="Arial"/>
          <w:lang w:val="es-ES" w:eastAsia="es-ES"/>
        </w:rPr>
        <w:t>abril</w:t>
      </w:r>
      <w:r w:rsidRPr="00010A0E">
        <w:rPr>
          <w:rFonts w:ascii="Arial Narrow" w:hAnsi="Arial Narrow" w:cs="Arial"/>
          <w:lang w:val="es-ES" w:eastAsia="es-ES"/>
        </w:rPr>
        <w:t xml:space="preserve"> de 2025</w:t>
      </w:r>
    </w:p>
    <w:p w14:paraId="46C43C48" w14:textId="77777777" w:rsidR="00536318" w:rsidRPr="00010A0E" w:rsidRDefault="00536318" w:rsidP="00536318">
      <w:pPr>
        <w:pStyle w:val="Sinespaciado"/>
        <w:rPr>
          <w:lang w:val="es-ES" w:eastAsia="es-ES"/>
        </w:rPr>
      </w:pPr>
    </w:p>
    <w:p w14:paraId="71496966" w14:textId="1E064A6A" w:rsidR="00536318" w:rsidRPr="00010A0E" w:rsidRDefault="00536318" w:rsidP="00536318">
      <w:pPr>
        <w:spacing w:line="240" w:lineRule="auto"/>
        <w:jc w:val="both"/>
        <w:rPr>
          <w:rFonts w:ascii="Arial Narrow" w:eastAsia="Times New Roman" w:hAnsi="Arial Narrow" w:cs="Arial"/>
          <w:lang w:val="es-ES" w:eastAsia="es-ES"/>
        </w:rPr>
      </w:pPr>
      <w:r w:rsidRPr="00010A0E">
        <w:rPr>
          <w:rFonts w:ascii="Arial Narrow" w:eastAsia="Times New Roman" w:hAnsi="Arial Narrow" w:cs="Arial"/>
          <w:lang w:val="es-ES" w:eastAsia="es-ES"/>
        </w:rPr>
        <w:t>La Secretaría Técnica</w:t>
      </w:r>
      <w:r w:rsidRPr="00010A0E">
        <w:rPr>
          <w:rFonts w:ascii="Arial Narrow" w:hAnsi="Arial Narrow" w:cs="Arial"/>
          <w:lang w:val="es-ES" w:eastAsia="es-ES"/>
        </w:rPr>
        <w:t xml:space="preserve"> de la Comisión de Protección al Consumidor Nº 1 </w:t>
      </w:r>
      <w:r w:rsidRPr="00010A0E">
        <w:rPr>
          <w:rFonts w:ascii="Arial Narrow" w:eastAsia="Times New Roman" w:hAnsi="Arial Narrow" w:cs="Arial"/>
          <w:lang w:val="es-ES" w:eastAsia="es-ES"/>
        </w:rPr>
        <w:t>deja constancia que, en el procedimiento seguido bajo el Expediente N°</w:t>
      </w:r>
      <w:r>
        <w:rPr>
          <w:rFonts w:ascii="Arial Narrow" w:eastAsia="Times New Roman" w:hAnsi="Arial Narrow" w:cs="Arial"/>
          <w:lang w:val="es-ES" w:eastAsia="es-ES"/>
        </w:rPr>
        <w:t>0649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-2025/CC1, por un error involuntario, no se notificó a </w:t>
      </w:r>
      <w:r>
        <w:rPr>
          <w:rFonts w:ascii="Arial Narrow" w:eastAsia="Times New Roman" w:hAnsi="Arial Narrow" w:cs="Arial"/>
          <w:lang w:val="es-ES" w:eastAsia="es-ES"/>
        </w:rPr>
        <w:t>ADH Alimentos Derivados del Huerto E.I.R.L.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con la Resolución N° 1 del </w:t>
      </w:r>
      <w:r>
        <w:rPr>
          <w:rFonts w:ascii="Arial Narrow" w:eastAsia="Times New Roman" w:hAnsi="Arial Narrow" w:cs="Arial"/>
          <w:lang w:val="es-ES" w:eastAsia="es-ES"/>
        </w:rPr>
        <w:t>31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de marzo de 2025 y su cédula de notificación; por el contrario, se diligenció la Resolución N° 1 del </w:t>
      </w:r>
      <w:r>
        <w:rPr>
          <w:rFonts w:ascii="Arial Narrow" w:eastAsia="Times New Roman" w:hAnsi="Arial Narrow" w:cs="Arial"/>
          <w:lang w:val="es-ES" w:eastAsia="es-ES"/>
        </w:rPr>
        <w:t>31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de marzo de 2025 </w:t>
      </w:r>
      <w:r>
        <w:rPr>
          <w:rFonts w:ascii="Arial Narrow" w:eastAsia="Times New Roman" w:hAnsi="Arial Narrow" w:cs="Arial"/>
          <w:lang w:val="es-ES" w:eastAsia="es-ES"/>
        </w:rPr>
        <w:t xml:space="preserve">perteneciente 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al Expediente N° </w:t>
      </w:r>
      <w:r>
        <w:rPr>
          <w:rFonts w:ascii="Arial Narrow" w:eastAsia="Times New Roman" w:hAnsi="Arial Narrow" w:cs="Arial"/>
          <w:lang w:val="es-ES" w:eastAsia="es-ES"/>
        </w:rPr>
        <w:t>0625</w:t>
      </w:r>
      <w:r w:rsidRPr="00010A0E">
        <w:rPr>
          <w:rFonts w:ascii="Arial Narrow" w:eastAsia="Times New Roman" w:hAnsi="Arial Narrow" w:cs="Arial"/>
          <w:lang w:val="es-ES" w:eastAsia="es-ES"/>
        </w:rPr>
        <w:t>-2025/CC1.</w:t>
      </w:r>
    </w:p>
    <w:p w14:paraId="285D66B1" w14:textId="77777777" w:rsidR="00536318" w:rsidRPr="00010A0E" w:rsidRDefault="00536318" w:rsidP="00536318">
      <w:pPr>
        <w:spacing w:line="240" w:lineRule="auto"/>
        <w:jc w:val="both"/>
        <w:rPr>
          <w:rFonts w:ascii="Arial Narrow" w:hAnsi="Arial Narrow" w:cs="Arial"/>
          <w:lang w:eastAsia="es-PE"/>
        </w:rPr>
      </w:pPr>
      <w:r w:rsidRPr="00010A0E">
        <w:rPr>
          <w:rFonts w:ascii="Arial Narrow" w:hAnsi="Arial Narrow" w:cs="Arial"/>
          <w:lang w:eastAsia="es-PE"/>
        </w:rPr>
        <w:t xml:space="preserve">En atención a ello y teniendo en cuenta que, el numeral 26.1 del artículo 26° del </w:t>
      </w:r>
      <w:r w:rsidRPr="00010A0E">
        <w:rPr>
          <w:rFonts w:ascii="Arial Narrow" w:hAnsi="Arial Narrow"/>
        </w:rPr>
        <w:t>Texto Único Ordenado de la Ley del Procedimiento Administrativo General, aprobado mediante Decreto Supremo N° 004-2019-JUS (en adelante, el TUO de la LPAG)</w:t>
      </w:r>
      <w:r w:rsidRPr="00010A0E">
        <w:rPr>
          <w:rStyle w:val="Refdenotaalpie"/>
          <w:rFonts w:ascii="Arial Narrow" w:hAnsi="Arial Narrow" w:cs="Arial"/>
          <w:lang w:eastAsia="es-PE"/>
        </w:rPr>
        <w:footnoteReference w:id="1"/>
      </w:r>
      <w:r w:rsidRPr="00010A0E">
        <w:rPr>
          <w:rFonts w:ascii="Arial Narrow" w:hAnsi="Arial Narrow" w:cs="Arial"/>
          <w:lang w:eastAsia="es-PE"/>
        </w:rPr>
        <w:t>, señala que, en caso de notificaciones defectuosas, la autoridad ordenará volver a notificar dicho acto, subsanando las omisiones en que se hubiese incurrido.</w:t>
      </w:r>
    </w:p>
    <w:p w14:paraId="223958DD" w14:textId="04C2C735" w:rsidR="00536318" w:rsidRPr="00010A0E" w:rsidRDefault="00536318" w:rsidP="00536318">
      <w:pPr>
        <w:spacing w:line="240" w:lineRule="auto"/>
        <w:jc w:val="both"/>
        <w:rPr>
          <w:rFonts w:ascii="Arial Narrow" w:eastAsia="Times New Roman" w:hAnsi="Arial Narrow" w:cs="Arial"/>
          <w:lang w:val="es-ES" w:eastAsia="es-ES"/>
        </w:rPr>
      </w:pPr>
      <w:r w:rsidRPr="00010A0E">
        <w:rPr>
          <w:rFonts w:ascii="Arial Narrow" w:hAnsi="Arial Narrow"/>
        </w:rPr>
        <w:t xml:space="preserve">En consecuencia, </w:t>
      </w:r>
      <w:r w:rsidRPr="00010A0E">
        <w:rPr>
          <w:rFonts w:ascii="Arial Narrow" w:hAnsi="Arial Narrow" w:cs="Arial"/>
        </w:rPr>
        <w:t>a fin de salvaguardar el derecho de defensa de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</w:t>
      </w:r>
      <w:r>
        <w:rPr>
          <w:rFonts w:ascii="Arial Narrow" w:eastAsia="Times New Roman" w:hAnsi="Arial Narrow" w:cs="Arial"/>
          <w:lang w:val="es-ES" w:eastAsia="es-ES"/>
        </w:rPr>
        <w:t>ADH Alimentos Derivados del Huerto E.I.R.L.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</w:t>
      </w:r>
      <w:r w:rsidRPr="00010A0E">
        <w:rPr>
          <w:rFonts w:ascii="Arial Narrow" w:hAnsi="Arial Narrow" w:cs="Arial"/>
        </w:rPr>
        <w:t xml:space="preserve">se procederá a </w:t>
      </w:r>
      <w:r w:rsidRPr="00010A0E">
        <w:rPr>
          <w:rFonts w:ascii="Arial Narrow" w:hAnsi="Arial Narrow" w:cs="Arial"/>
          <w:lang w:eastAsia="es-PE"/>
        </w:rPr>
        <w:t xml:space="preserve">rehacer el acto de notificación de la Resolución 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N°1 del </w:t>
      </w:r>
      <w:r>
        <w:rPr>
          <w:rFonts w:ascii="Arial Narrow" w:eastAsia="Times New Roman" w:hAnsi="Arial Narrow" w:cs="Arial"/>
          <w:lang w:val="es-ES" w:eastAsia="es-ES"/>
        </w:rPr>
        <w:t>31</w:t>
      </w:r>
      <w:r w:rsidRPr="00010A0E">
        <w:rPr>
          <w:rFonts w:ascii="Arial Narrow" w:eastAsia="Times New Roman" w:hAnsi="Arial Narrow" w:cs="Arial"/>
          <w:lang w:val="es-ES" w:eastAsia="es-ES"/>
        </w:rPr>
        <w:t xml:space="preserve"> de marzo de 2025</w:t>
      </w:r>
      <w:r>
        <w:rPr>
          <w:rFonts w:ascii="Arial Narrow" w:eastAsia="Times New Roman" w:hAnsi="Arial Narrow" w:cs="Arial"/>
          <w:lang w:val="es-ES" w:eastAsia="es-ES"/>
        </w:rPr>
        <w:t xml:space="preserve"> perteneciente al </w:t>
      </w:r>
      <w:r w:rsidRPr="00010A0E">
        <w:rPr>
          <w:rFonts w:ascii="Arial Narrow" w:eastAsia="Times New Roman" w:hAnsi="Arial Narrow" w:cs="Arial"/>
          <w:lang w:val="es-ES" w:eastAsia="es-ES"/>
        </w:rPr>
        <w:t>Expediente N°</w:t>
      </w:r>
      <w:r>
        <w:rPr>
          <w:rFonts w:ascii="Arial Narrow" w:eastAsia="Times New Roman" w:hAnsi="Arial Narrow" w:cs="Arial"/>
          <w:lang w:val="es-ES" w:eastAsia="es-ES"/>
        </w:rPr>
        <w:t>0649</w:t>
      </w:r>
      <w:r w:rsidRPr="00010A0E">
        <w:rPr>
          <w:rFonts w:ascii="Arial Narrow" w:eastAsia="Times New Roman" w:hAnsi="Arial Narrow" w:cs="Arial"/>
          <w:lang w:val="es-ES" w:eastAsia="es-ES"/>
        </w:rPr>
        <w:t>-2025/CC1</w:t>
      </w:r>
      <w:r>
        <w:rPr>
          <w:rFonts w:ascii="Arial Narrow" w:eastAsia="Times New Roman" w:hAnsi="Arial Narrow" w:cs="Arial"/>
          <w:lang w:val="es-ES" w:eastAsia="es-ES"/>
        </w:rPr>
        <w:t>.</w:t>
      </w:r>
    </w:p>
    <w:p w14:paraId="0D12D17B" w14:textId="77777777" w:rsidR="00536318" w:rsidRPr="00010A0E" w:rsidRDefault="00536318" w:rsidP="00536318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p w14:paraId="25FB2231" w14:textId="77777777" w:rsidR="00536318" w:rsidRPr="00010A0E" w:rsidRDefault="00536318" w:rsidP="00536318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p w14:paraId="2E5B88B8" w14:textId="77777777" w:rsidR="00536318" w:rsidRPr="00010A0E" w:rsidRDefault="00536318" w:rsidP="00536318">
      <w:pPr>
        <w:spacing w:after="0" w:line="240" w:lineRule="auto"/>
        <w:jc w:val="both"/>
        <w:rPr>
          <w:rFonts w:ascii="Arial Narrow" w:eastAsia="Times New Roman" w:hAnsi="Arial Narrow" w:cs="Arial"/>
          <w:lang w:val="es-ES" w:eastAsia="es-ES"/>
        </w:rPr>
      </w:pPr>
    </w:p>
    <w:p w14:paraId="0898C94C" w14:textId="77777777" w:rsidR="00536318" w:rsidRPr="00010A0E" w:rsidRDefault="00536318" w:rsidP="00536318">
      <w:pPr>
        <w:spacing w:after="0" w:line="240" w:lineRule="auto"/>
        <w:rPr>
          <w:rFonts w:ascii="Arial Narrow" w:eastAsia="Times New Roman" w:hAnsi="Arial Narrow" w:cs="Arial"/>
          <w:b/>
          <w:lang w:val="es-ES" w:eastAsia="es-ES"/>
        </w:rPr>
      </w:pPr>
    </w:p>
    <w:p w14:paraId="686F22E7" w14:textId="77777777" w:rsidR="00536318" w:rsidRPr="00010A0E" w:rsidRDefault="00536318" w:rsidP="00536318">
      <w:pPr>
        <w:spacing w:after="0" w:line="240" w:lineRule="auto"/>
        <w:jc w:val="center"/>
        <w:rPr>
          <w:rFonts w:ascii="Arial Narrow" w:eastAsia="Times New Roman" w:hAnsi="Arial Narrow" w:cs="Arial"/>
          <w:b/>
          <w:lang w:val="es-ES" w:eastAsia="es-ES"/>
        </w:rPr>
      </w:pPr>
      <w:r w:rsidRPr="00010A0E">
        <w:rPr>
          <w:rFonts w:ascii="Arial Narrow" w:eastAsia="Times New Roman" w:hAnsi="Arial Narrow" w:cs="Arial"/>
          <w:b/>
          <w:lang w:val="es-ES" w:eastAsia="es-ES"/>
        </w:rPr>
        <w:t>EVELING ROA QUISPE</w:t>
      </w:r>
    </w:p>
    <w:p w14:paraId="0A9ADDE6" w14:textId="77777777" w:rsidR="00536318" w:rsidRPr="00010A0E" w:rsidRDefault="00536318" w:rsidP="00536318">
      <w:pPr>
        <w:spacing w:after="0" w:line="240" w:lineRule="auto"/>
        <w:jc w:val="center"/>
        <w:rPr>
          <w:rFonts w:ascii="Arial Narrow" w:eastAsia="Times New Roman" w:hAnsi="Arial Narrow" w:cs="Arial"/>
          <w:b/>
          <w:lang w:val="es-ES" w:eastAsia="es-ES"/>
        </w:rPr>
      </w:pPr>
      <w:r w:rsidRPr="00010A0E">
        <w:rPr>
          <w:rFonts w:ascii="Arial Narrow" w:eastAsia="Times New Roman" w:hAnsi="Arial Narrow" w:cs="Arial"/>
          <w:b/>
          <w:lang w:val="es-ES" w:eastAsia="es-ES"/>
        </w:rPr>
        <w:t>Secretaria Técnica</w:t>
      </w:r>
    </w:p>
    <w:p w14:paraId="723F7C32" w14:textId="77777777" w:rsidR="00536318" w:rsidRPr="00010A0E" w:rsidRDefault="00536318" w:rsidP="00536318">
      <w:pPr>
        <w:spacing w:after="0" w:line="240" w:lineRule="auto"/>
        <w:jc w:val="center"/>
        <w:rPr>
          <w:rFonts w:ascii="Arial Narrow" w:eastAsia="Times New Roman" w:hAnsi="Arial Narrow" w:cs="Arial"/>
          <w:b/>
          <w:lang w:val="es-ES" w:eastAsia="es-ES"/>
        </w:rPr>
      </w:pPr>
      <w:r w:rsidRPr="00010A0E">
        <w:rPr>
          <w:rFonts w:ascii="Arial Narrow" w:eastAsia="Times New Roman" w:hAnsi="Arial Narrow" w:cs="Arial"/>
          <w:b/>
          <w:lang w:val="es-ES" w:eastAsia="es-ES"/>
        </w:rPr>
        <w:t>Comisión de Protección al Consumidor Nº 1</w:t>
      </w:r>
    </w:p>
    <w:bookmarkEnd w:id="0"/>
    <w:p w14:paraId="088C7A7C" w14:textId="00F0F23D" w:rsidR="00536318" w:rsidRPr="00010A0E" w:rsidRDefault="00536318" w:rsidP="00536318">
      <w:pPr>
        <w:spacing w:after="0" w:line="240" w:lineRule="auto"/>
        <w:rPr>
          <w:rFonts w:ascii="Arial Narrow" w:hAnsi="Arial Narrow"/>
          <w:sz w:val="16"/>
          <w:szCs w:val="16"/>
        </w:rPr>
      </w:pPr>
      <w:r w:rsidRPr="00010A0E">
        <w:rPr>
          <w:rFonts w:ascii="Arial Narrow" w:hAnsi="Arial Narrow"/>
          <w:sz w:val="16"/>
          <w:szCs w:val="16"/>
        </w:rPr>
        <w:t>LSM/</w:t>
      </w:r>
      <w:r w:rsidR="003767B3">
        <w:rPr>
          <w:rFonts w:ascii="Arial Narrow" w:hAnsi="Arial Narrow"/>
          <w:sz w:val="16"/>
          <w:szCs w:val="16"/>
        </w:rPr>
        <w:t>JCQ</w:t>
      </w:r>
    </w:p>
    <w:p w14:paraId="1043A551" w14:textId="77777777" w:rsidR="00536318" w:rsidRPr="00010A0E" w:rsidRDefault="00536318" w:rsidP="00536318">
      <w:pPr>
        <w:spacing w:line="240" w:lineRule="auto"/>
      </w:pPr>
    </w:p>
    <w:p w14:paraId="479C4345" w14:textId="77777777" w:rsidR="001B5674" w:rsidRDefault="001B5674"/>
    <w:sectPr w:rsidR="001B5674" w:rsidSect="00536318">
      <w:headerReference w:type="default" r:id="rId6"/>
      <w:pgSz w:w="12240" w:h="15840"/>
      <w:pgMar w:top="1130" w:right="1608" w:bottom="993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5FD2" w14:textId="77777777" w:rsidR="00536318" w:rsidRDefault="00536318" w:rsidP="00536318">
      <w:pPr>
        <w:spacing w:after="0" w:line="240" w:lineRule="auto"/>
      </w:pPr>
      <w:r>
        <w:separator/>
      </w:r>
    </w:p>
  </w:endnote>
  <w:endnote w:type="continuationSeparator" w:id="0">
    <w:p w14:paraId="0ED0063E" w14:textId="77777777" w:rsidR="00536318" w:rsidRDefault="00536318" w:rsidP="00536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97C5C" w14:textId="77777777" w:rsidR="00536318" w:rsidRDefault="00536318" w:rsidP="00536318">
      <w:pPr>
        <w:spacing w:after="0" w:line="240" w:lineRule="auto"/>
      </w:pPr>
      <w:r>
        <w:separator/>
      </w:r>
    </w:p>
  </w:footnote>
  <w:footnote w:type="continuationSeparator" w:id="0">
    <w:p w14:paraId="1F447E37" w14:textId="77777777" w:rsidR="00536318" w:rsidRDefault="00536318" w:rsidP="00536318">
      <w:pPr>
        <w:spacing w:after="0" w:line="240" w:lineRule="auto"/>
      </w:pPr>
      <w:r>
        <w:continuationSeparator/>
      </w:r>
    </w:p>
  </w:footnote>
  <w:footnote w:id="1">
    <w:p w14:paraId="0E29C5BB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>
        <w:rPr>
          <w:rStyle w:val="Refdenotaalpie"/>
          <w:rFonts w:ascii="Arial Narrow" w:hAnsi="Arial Narrow"/>
          <w:lang w:val="x-none" w:eastAsia="x-none"/>
        </w:rPr>
        <w:footnoteRef/>
      </w:r>
      <w:r>
        <w:rPr>
          <w:rFonts w:ascii="Arial Narrow" w:eastAsia="Times New Roman" w:hAnsi="Arial Narrow"/>
          <w:sz w:val="16"/>
          <w:szCs w:val="16"/>
          <w:lang w:val="es-ES" w:eastAsia="es-ES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b/>
          <w:sz w:val="16"/>
          <w:szCs w:val="16"/>
        </w:rPr>
        <w:t>DECRETO SUPREMO N° 004-2019-JUS, TEXTO ÚNICO ORDENADO DE LA LEY DEL PROCEDIMIENTO ADMINISTRATIVO GENERAL, publicado el 25 de enero de 2019.</w:t>
      </w:r>
    </w:p>
    <w:p w14:paraId="73935E56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b/>
          <w:sz w:val="16"/>
          <w:szCs w:val="16"/>
        </w:rPr>
      </w:pPr>
      <w:r>
        <w:rPr>
          <w:rFonts w:ascii="Arial Narrow" w:hAnsi="Arial Narrow"/>
          <w:b/>
          <w:sz w:val="16"/>
          <w:szCs w:val="16"/>
        </w:rPr>
        <w:tab/>
        <w:t>Artículo 26</w:t>
      </w:r>
      <w:proofErr w:type="gramStart"/>
      <w:r>
        <w:rPr>
          <w:rFonts w:ascii="Arial Narrow" w:hAnsi="Arial Narrow"/>
          <w:b/>
          <w:sz w:val="16"/>
          <w:szCs w:val="16"/>
        </w:rPr>
        <w:t>°.-</w:t>
      </w:r>
      <w:proofErr w:type="gramEnd"/>
      <w:r>
        <w:rPr>
          <w:rFonts w:ascii="Arial Narrow" w:hAnsi="Arial Narrow"/>
          <w:b/>
          <w:sz w:val="16"/>
          <w:szCs w:val="16"/>
        </w:rPr>
        <w:t xml:space="preserve"> Notificaciones </w:t>
      </w:r>
    </w:p>
    <w:p w14:paraId="77970D6A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 xml:space="preserve">26.1 </w:t>
      </w:r>
      <w:proofErr w:type="gramStart"/>
      <w:r>
        <w:rPr>
          <w:rFonts w:ascii="Arial Narrow" w:hAnsi="Arial Narrow"/>
          <w:sz w:val="16"/>
          <w:szCs w:val="16"/>
        </w:rPr>
        <w:t>En caso que</w:t>
      </w:r>
      <w:proofErr w:type="gramEnd"/>
      <w:r>
        <w:rPr>
          <w:rFonts w:ascii="Arial Narrow" w:hAnsi="Arial Narrow"/>
          <w:sz w:val="16"/>
          <w:szCs w:val="16"/>
        </w:rPr>
        <w:t xml:space="preserve"> se demuestre que la notificación se ha realizado sin las formalidades y requisitos legales, la autoridad ordenará se rehaga, subsanando las omisiones en que hubiesen incurrido, sin perjuicio para el administrado.</w:t>
      </w:r>
    </w:p>
    <w:p w14:paraId="78EA853A" w14:textId="77777777" w:rsidR="00536318" w:rsidRDefault="00536318" w:rsidP="00536318">
      <w:pPr>
        <w:pStyle w:val="Sinespaciado"/>
        <w:ind w:left="567" w:hanging="567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  <w:t>26.2 La desestimación del cuestionamiento a la validez de una notificación, causa que dicha notificación opera desde la fecha en que fue realizada.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61"/>
      <w:gridCol w:w="4798"/>
    </w:tblGrid>
    <w:tr w:rsidR="008A0832" w:rsidRPr="00C271B6" w14:paraId="6E3785C2" w14:textId="77777777" w:rsidTr="00A97590">
      <w:trPr>
        <w:trHeight w:val="600"/>
      </w:trPr>
      <w:tc>
        <w:tcPr>
          <w:tcW w:w="4061" w:type="dxa"/>
        </w:tcPr>
        <w:p w14:paraId="58060DA9" w14:textId="77777777" w:rsidR="00536318" w:rsidRPr="00C271B6" w:rsidRDefault="00536318" w:rsidP="008A0832">
          <w:pPr>
            <w:rPr>
              <w:rFonts w:ascii="Arial Narrow" w:hAnsi="Arial Narrow" w:cs="Arial"/>
              <w:sz w:val="16"/>
              <w:szCs w:val="16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9264" behindDoc="0" locked="0" layoutInCell="1" allowOverlap="1" wp14:anchorId="2DA05BE5" wp14:editId="7BF2250C">
                <wp:simplePos x="0" y="0"/>
                <wp:positionH relativeFrom="column">
                  <wp:posOffset>-2050415</wp:posOffset>
                </wp:positionH>
                <wp:positionV relativeFrom="paragraph">
                  <wp:posOffset>2540</wp:posOffset>
                </wp:positionV>
                <wp:extent cx="1862455" cy="779145"/>
                <wp:effectExtent l="0" t="0" r="0" b="0"/>
                <wp:wrapSquare wrapText="bothSides"/>
                <wp:docPr id="3" name="Imagen 3" descr="LOGOTIPO INDECO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TIPO INDECOP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2455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  <w:r w:rsidRPr="00C271B6">
            <w:rPr>
              <w:rFonts w:ascii="Arial Narrow" w:hAnsi="Arial Narrow"/>
              <w:sz w:val="16"/>
              <w:szCs w:val="16"/>
            </w:rPr>
            <w:tab/>
          </w:r>
        </w:p>
      </w:tc>
      <w:tc>
        <w:tcPr>
          <w:tcW w:w="4798" w:type="dxa"/>
        </w:tcPr>
        <w:p w14:paraId="7B46F584" w14:textId="77777777" w:rsidR="00536318" w:rsidRPr="00C271B6" w:rsidRDefault="00536318" w:rsidP="008A0832">
          <w:pPr>
            <w:pStyle w:val="Encabezad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6C45C315" w14:textId="77777777" w:rsidR="00536318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</w:p>
        <w:p w14:paraId="4B59FFD4" w14:textId="77777777" w:rsidR="00536318" w:rsidRPr="00C271B6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SECRETARÍA TÉCNICA DE LA COMISIÓN </w:t>
          </w:r>
        </w:p>
        <w:p w14:paraId="56B843F4" w14:textId="77777777" w:rsidR="00536318" w:rsidRPr="00C271B6" w:rsidRDefault="00536318" w:rsidP="008A0832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DE PROTECCIÓN AL CONSUMIDOR </w:t>
          </w:r>
          <w:proofErr w:type="spellStart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>N°</w:t>
          </w:r>
          <w:proofErr w:type="spellEnd"/>
          <w:r w:rsidRPr="00C271B6">
            <w:rPr>
              <w:rFonts w:ascii="Arial Narrow" w:hAnsi="Arial Narrow"/>
              <w:b/>
              <w:i/>
              <w:sz w:val="16"/>
              <w:szCs w:val="16"/>
            </w:rPr>
            <w:t xml:space="preserve"> 1</w:t>
          </w:r>
        </w:p>
        <w:p w14:paraId="7613BC9B" w14:textId="77777777" w:rsidR="00536318" w:rsidRPr="00C271B6" w:rsidRDefault="00536318" w:rsidP="008A0832">
          <w:pPr>
            <w:pStyle w:val="Encabezado"/>
            <w:tabs>
              <w:tab w:val="left" w:pos="2460"/>
              <w:tab w:val="right" w:pos="3964"/>
            </w:tabs>
            <w:jc w:val="right"/>
            <w:rPr>
              <w:rFonts w:ascii="Arial Narrow" w:hAnsi="Arial Narrow"/>
              <w:b/>
              <w:i/>
              <w:sz w:val="16"/>
              <w:szCs w:val="16"/>
            </w:rPr>
          </w:pP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</w:r>
          <w:r w:rsidRPr="00C271B6">
            <w:rPr>
              <w:rFonts w:ascii="Arial Narrow" w:hAnsi="Arial Narrow"/>
              <w:b/>
              <w:i/>
              <w:sz w:val="16"/>
              <w:szCs w:val="16"/>
            </w:rPr>
            <w:tab/>
            <w:t>SEDE CENTRAL</w:t>
          </w:r>
        </w:p>
      </w:tc>
    </w:tr>
  </w:tbl>
  <w:p w14:paraId="631362A1" w14:textId="77777777" w:rsidR="00536318" w:rsidRDefault="0053631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18"/>
    <w:rsid w:val="001B5674"/>
    <w:rsid w:val="001B6FB2"/>
    <w:rsid w:val="003767B3"/>
    <w:rsid w:val="00536318"/>
    <w:rsid w:val="0054771E"/>
    <w:rsid w:val="00CD0C8E"/>
    <w:rsid w:val="00FF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F336D"/>
  <w15:chartTrackingRefBased/>
  <w15:docId w15:val="{ADB40B27-15B4-4A16-B16A-4AFEC8AB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1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31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6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31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6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318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basedOn w:val="Fuentedeprrafopredeter"/>
    <w:qFormat/>
    <w:rsid w:val="00536318"/>
    <w:rPr>
      <w:vertAlign w:val="superscript"/>
    </w:rPr>
  </w:style>
  <w:style w:type="character" w:customStyle="1" w:styleId="EncabezadoCar">
    <w:name w:val="Encabezado Car"/>
    <w:basedOn w:val="Fuentedeprrafopredeter"/>
    <w:link w:val="Encabezado"/>
    <w:uiPriority w:val="99"/>
    <w:rsid w:val="00536318"/>
  </w:style>
  <w:style w:type="paragraph" w:styleId="Encabezado">
    <w:name w:val="header"/>
    <w:basedOn w:val="Normal"/>
    <w:link w:val="EncabezadoCar"/>
    <w:uiPriority w:val="99"/>
    <w:unhideWhenUsed/>
    <w:rsid w:val="00536318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1">
    <w:name w:val="Encabezado Car1"/>
    <w:basedOn w:val="Fuentedeprrafopredeter"/>
    <w:uiPriority w:val="99"/>
    <w:semiHidden/>
    <w:rsid w:val="00536318"/>
    <w:rPr>
      <w:kern w:val="0"/>
      <w14:ligatures w14:val="none"/>
    </w:rPr>
  </w:style>
  <w:style w:type="paragraph" w:styleId="Sinespaciado">
    <w:name w:val="No Spacing"/>
    <w:uiPriority w:val="1"/>
    <w:qFormat/>
    <w:rsid w:val="0053631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2</cp:revision>
  <dcterms:created xsi:type="dcterms:W3CDTF">2025-04-08T22:14:00Z</dcterms:created>
  <dcterms:modified xsi:type="dcterms:W3CDTF">2025-05-06T03:17:00Z</dcterms:modified>
</cp:coreProperties>
</file>