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65BD47" w14:textId="77777777"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r>
        <w:rPr>
          <w:rFonts w:ascii="Arial Narrow" w:hAnsi="Arial Narrow"/>
          <w:b/>
          <w:color w:val="000000"/>
        </w:rPr>
        <w:t>EXPEDIENTE</w:t>
      </w:r>
      <w:r>
        <w:rPr>
          <w:rFonts w:ascii="Arial Narrow" w:hAnsi="Arial Narrow"/>
          <w:b/>
          <w:color w:val="000000"/>
        </w:rPr>
        <w:tab/>
        <w:t>:</w:t>
      </w:r>
      <w:r>
        <w:rPr>
          <w:rFonts w:ascii="Arial Narrow" w:hAnsi="Arial Narrow"/>
          <w:b/>
          <w:color w:val="000000"/>
        </w:rPr>
        <w:tab/>
        <w:t>2142-2026/CC1</w:t>
      </w:r>
    </w:p>
    <w:p w14:paraId="631B0A15"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hAnsi="Arial Narrow"/>
          <w:b/>
          <w:color w:val="000000"/>
        </w:rPr>
        <w:t>DENUNCIANTE</w:t>
      </w:r>
      <w:r>
        <w:rPr>
          <w:rFonts w:ascii="Arial Narrow" w:hAnsi="Arial Narrow"/>
          <w:b/>
          <w:color w:val="000000"/>
        </w:rPr>
        <w:tab/>
        <w:t>:</w:t>
      </w:r>
      <w:r>
        <w:rPr>
          <w:rFonts w:ascii="Arial Narrow" w:hAnsi="Arial Narrow"/>
          <w:b/>
          <w:color w:val="000000"/>
        </w:rPr>
        <w:tab/>
        <w:t>EFRAÍN CORONEL QUISPE (SEÑOR CORONEL)</w:t>
      </w:r>
    </w:p>
    <w:p w14:paraId="1F5EB7CD"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Pr>
          <w:rFonts w:ascii="Arial Narrow" w:hAnsi="Arial Narrow"/>
          <w:b/>
          <w:color w:val="000000"/>
        </w:rPr>
        <w:t>DENUNCIADO</w:t>
      </w:r>
      <w:r>
        <w:rPr>
          <w:rFonts w:ascii="Arial Narrow" w:hAnsi="Arial Narrow"/>
          <w:b/>
          <w:color w:val="000000"/>
        </w:rPr>
        <w:tab/>
        <w:t>:</w:t>
      </w:r>
      <w:r>
        <w:rPr>
          <w:rFonts w:ascii="Arial Narrow" w:hAnsi="Arial Narrow"/>
          <w:b/>
          <w:color w:val="000000"/>
        </w:rPr>
        <w:tab/>
        <w:t>LA POSITIVA SEGUROS Y REASEGUROS S.A.A. (LA POSITIVA)</w:t>
      </w:r>
    </w:p>
    <w:p w14:paraId="0FBDE3BB" w14:textId="77777777" w:rsidR="00CA59A2" w:rsidRPr="00EB4D2D"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MATERIAS</w:t>
      </w:r>
      <w:r w:rsidRPr="00EB4D2D">
        <w:rPr>
          <w:rFonts w:ascii="Arial Narrow" w:eastAsia="Arial Narrow" w:hAnsi="Arial Narrow" w:cs="Arial Narrow"/>
          <w:b/>
          <w:color w:val="000000"/>
          <w:kern w:val="0"/>
          <w:lang w:eastAsia="es-PE"/>
          <w14:ligatures w14:val="none"/>
        </w:rPr>
        <w:tab/>
        <w:t xml:space="preserve">:       </w:t>
      </w:r>
      <w:r w:rsidRPr="00EB4D2D">
        <w:rPr>
          <w:rFonts w:ascii="Arial Narrow" w:eastAsia="Arial Narrow" w:hAnsi="Arial Narrow" w:cs="Arial Narrow"/>
          <w:b/>
          <w:color w:val="000000"/>
          <w:kern w:val="0"/>
          <w:lang w:eastAsia="es-PE"/>
          <w14:ligatures w14:val="none"/>
        </w:rPr>
        <w:tab/>
        <w:t>ADMISIÓN A TRÁMITE</w:t>
      </w:r>
    </w:p>
    <w:p w14:paraId="02D62F84" w14:textId="77777777" w:rsidR="00CA59A2" w:rsidRPr="00EB4D2D"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REQUERIMIENTO DE INFORMACIÓN </w:t>
      </w:r>
    </w:p>
    <w:p w14:paraId="6DE97F5E" w14:textId="77777777" w:rsidR="00CA59A2" w:rsidRPr="00EB4D2D"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t>2</w:t>
      </w:r>
    </w:p>
    <w:p w14:paraId="31C81DA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5258A38" w14:textId="77777777" w:rsidR="00CA59A2" w:rsidRPr="00EB4D2D" w:rsidRDefault="00CA59A2" w:rsidP="00EB4D2D">
      <w:pPr>
        <w:tabs>
          <w:tab w:val="left" w:pos="1014"/>
        </w:tabs>
        <w:spacing w:after="0" w:line="240" w:lineRule="auto"/>
        <w:jc w:val="right"/>
        <w:rPr>
          <w:rFonts w:ascii="Arial Narrow" w:eastAsia="Times New Roman" w:hAnsi="Arial Narrow" w:cs="Times New Roman"/>
          <w:color w:val="000000"/>
          <w:kern w:val="0"/>
          <w:shd w:val="clear" w:color="auto" w:fill="FFFFFF"/>
          <w:lang w:eastAsia="es-PE"/>
          <w14:ligatures w14:val="none"/>
        </w:rPr>
      </w:pPr>
      <w:r>
        <w:rPr>
          <w:rFonts w:ascii="Arial Narrow" w:hAnsi="Arial Narrow"/>
          <w:color w:val="000000"/>
        </w:rPr>
        <w:t>Lima, 17 de julio de 2026</w:t>
      </w:r>
    </w:p>
    <w:p w14:paraId="6C34734A"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3337BBC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7C2B3EF8"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221B9819" w14:textId="77777777" w:rsidR="00CA59A2" w:rsidRPr="00EB4D2D"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Pr>
          <w:rFonts w:ascii="Arial Narrow" w:hAnsi="Arial Narrow"/>
          <w:color w:val="000000"/>
        </w:rPr>
        <w:t>Mediante el escrito de denuncia del 20 de abril de 2026, el señor Coronel denunció a La Positiva por presuntas infracciones a la Ley N° 29571, Código de Protección y Defensa del Consumidor (en adelante, Código), señalando lo siguiente:</w:t>
      </w:r>
    </w:p>
    <w:p w14:paraId="17A6AF0E"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709679DC" w14:textId="77777777" w:rsidR="00A2313A" w:rsidRDefault="007A6CBB">
      <w:pPr>
        <w:ind w:left="720" w:hanging="720"/>
        <w:jc w:val="both"/>
      </w:pPr>
      <w:r>
        <w:rPr>
          <w:rFonts w:ascii="Arial Narrow" w:hAnsi="Arial Narrow"/>
          <w:color w:val="000000"/>
        </w:rPr>
        <w:t>(i)</w:t>
      </w:r>
      <w:r>
        <w:rPr>
          <w:rFonts w:ascii="Arial Narrow" w:hAnsi="Arial Narrow"/>
          <w:color w:val="000000"/>
        </w:rPr>
        <w:tab/>
        <w:t>El 06 de julio de 2023, contrató un seguro vehicular con la empresa La Positiva Seguros y Reaseguros S.A.A., respecto del vehículo de placa de rodaje BVO-787.</w:t>
      </w:r>
    </w:p>
    <w:p w14:paraId="57CDDB97" w14:textId="77777777" w:rsidR="00A2313A" w:rsidRDefault="007A6CBB">
      <w:pPr>
        <w:ind w:left="720" w:hanging="720"/>
        <w:jc w:val="both"/>
      </w:pPr>
      <w:r>
        <w:rPr>
          <w:rFonts w:ascii="Arial Narrow" w:hAnsi="Arial Narrow"/>
          <w:color w:val="000000"/>
        </w:rPr>
        <w:t>(ii)</w:t>
      </w:r>
      <w:r>
        <w:rPr>
          <w:rFonts w:ascii="Arial Narrow" w:hAnsi="Arial Narrow"/>
          <w:color w:val="000000"/>
        </w:rPr>
        <w:tab/>
        <w:t xml:space="preserve">El 22 de mayo de 2024, el vehículo fue objeto de robo total mientras se </w:t>
      </w:r>
      <w:r>
        <w:rPr>
          <w:rFonts w:ascii="Arial Narrow" w:hAnsi="Arial Narrow"/>
          <w:color w:val="000000"/>
        </w:rPr>
        <w:t>encontraba estacionado en el frontis del inmueble donde era guardado.</w:t>
      </w:r>
    </w:p>
    <w:p w14:paraId="0F6E14A3" w14:textId="77777777" w:rsidR="00A2313A" w:rsidRDefault="007A6CBB">
      <w:pPr>
        <w:ind w:left="720" w:hanging="720"/>
        <w:jc w:val="both"/>
      </w:pPr>
      <w:r>
        <w:rPr>
          <w:rFonts w:ascii="Arial Narrow" w:hAnsi="Arial Narrow"/>
          <w:color w:val="000000"/>
        </w:rPr>
        <w:t>(iii)</w:t>
      </w:r>
      <w:r>
        <w:rPr>
          <w:rFonts w:ascii="Arial Narrow" w:hAnsi="Arial Narrow"/>
          <w:color w:val="000000"/>
        </w:rPr>
        <w:tab/>
        <w:t>Mediante carta LPG.SINIESTROS.RCH IR 000000853 - 2024 de fecha 25 de junio de 2024, la aseguradora comunicó el rechazo de la cobertura del siniestro, sustentando su decisión en una</w:t>
      </w:r>
      <w:r>
        <w:rPr>
          <w:rFonts w:ascii="Arial Narrow" w:hAnsi="Arial Narrow"/>
          <w:color w:val="000000"/>
        </w:rPr>
        <w:t xml:space="preserve"> supuesta utilización del vehículo en forma de alquiler.</w:t>
      </w:r>
    </w:p>
    <w:p w14:paraId="0D1A7075" w14:textId="77777777" w:rsidR="00A2313A" w:rsidRDefault="007A6CBB">
      <w:pPr>
        <w:ind w:left="720" w:hanging="720"/>
        <w:jc w:val="both"/>
      </w:pPr>
      <w:r>
        <w:rPr>
          <w:rFonts w:ascii="Arial Narrow" w:hAnsi="Arial Narrow"/>
          <w:color w:val="000000"/>
        </w:rPr>
        <w:t>(iv)</w:t>
      </w:r>
      <w:r>
        <w:rPr>
          <w:rFonts w:ascii="Arial Narrow" w:hAnsi="Arial Narrow"/>
          <w:color w:val="000000"/>
        </w:rPr>
        <w:tab/>
        <w:t>Con posterioridad, la aseguradora continuó realizando cobros a la tarjeta CMR por un periodo adicional hasta julio de 2025 por concepto de renovación del seguro que vencía en julio de 2024, no o</w:t>
      </w:r>
      <w:r>
        <w:rPr>
          <w:rFonts w:ascii="Arial Narrow" w:hAnsi="Arial Narrow"/>
          <w:color w:val="000000"/>
        </w:rPr>
        <w:t>bstante tener conocimiento del robo. Asimismo, le envió correos exigiendo pagos por otro vehículo asegurado.</w:t>
      </w:r>
    </w:p>
    <w:p w14:paraId="4A58F7AB" w14:textId="77777777" w:rsidR="00A2313A" w:rsidRDefault="007A6CBB">
      <w:pPr>
        <w:ind w:left="720" w:hanging="720"/>
        <w:jc w:val="both"/>
      </w:pPr>
      <w:r>
        <w:rPr>
          <w:rFonts w:ascii="Arial Narrow" w:hAnsi="Arial Narrow"/>
          <w:color w:val="000000"/>
        </w:rPr>
        <w:t>(v)</w:t>
      </w:r>
      <w:r>
        <w:rPr>
          <w:rFonts w:ascii="Arial Narrow" w:hAnsi="Arial Narrow"/>
          <w:color w:val="000000"/>
        </w:rPr>
        <w:tab/>
        <w:t>La aseguradora no brindó información clara ni entregó la documentación adecuada relacionada con la póliza contratada.</w:t>
      </w:r>
    </w:p>
    <w:p w14:paraId="522239AE" w14:textId="77777777" w:rsidR="00CA59A2" w:rsidRPr="00EB4D2D" w:rsidRDefault="00CA59A2" w:rsidP="00EB4D2D">
      <w:pPr>
        <w:pStyle w:val="Prrafodelista"/>
        <w:spacing w:after="0" w:line="240" w:lineRule="auto"/>
        <w:ind w:left="1134"/>
        <w:jc w:val="both"/>
        <w:rPr>
          <w:rFonts w:ascii="Arial Narrow" w:eastAsia="Times New Roman" w:hAnsi="Arial Narrow" w:cs="Arial"/>
          <w:color w:val="000000"/>
          <w:kern w:val="0"/>
          <w:highlight w:val="green"/>
          <w:lang w:eastAsia="es-ES"/>
          <w14:ligatures w14:val="none"/>
        </w:rPr>
      </w:pPr>
    </w:p>
    <w:p w14:paraId="060BAAE5" w14:textId="77777777" w:rsidR="00CA59A2" w:rsidRPr="00EB4D2D" w:rsidRDefault="00CA59A2" w:rsidP="00EB4D2D">
      <w:pPr>
        <w:tabs>
          <w:tab w:val="left" w:pos="1134"/>
        </w:tabs>
        <w:spacing w:after="0" w:line="240" w:lineRule="auto"/>
        <w:jc w:val="both"/>
        <w:rPr>
          <w:rFonts w:ascii="Arial Narrow" w:eastAsia="Times New Roman" w:hAnsi="Arial Narrow" w:cs="Arial"/>
          <w:color w:val="000000"/>
          <w:kern w:val="0"/>
          <w:highlight w:val="green"/>
          <w:lang w:eastAsia="es-ES"/>
          <w14:ligatures w14:val="none"/>
        </w:rPr>
      </w:pPr>
    </w:p>
    <w:p w14:paraId="08A7CF23" w14:textId="77777777" w:rsidR="00CA59A2" w:rsidRPr="00EB4D2D" w:rsidRDefault="00CA59A2" w:rsidP="00EB4D2D">
      <w:pPr>
        <w:tabs>
          <w:tab w:val="num" w:pos="567"/>
        </w:tabs>
        <w:spacing w:after="0" w:line="240" w:lineRule="auto"/>
        <w:contextualSpacing/>
        <w:jc w:val="both"/>
        <w:rPr>
          <w:rFonts w:ascii="Arial Narrow" w:eastAsia="Times New Roman" w:hAnsi="Arial Narrow" w:cs="Arial"/>
          <w:color w:val="000000"/>
          <w:kern w:val="0"/>
          <w:highlight w:val="green"/>
          <w:lang w:val="es-ES" w:eastAsia="es-ES"/>
          <w14:ligatures w14:val="none"/>
        </w:rPr>
      </w:pPr>
      <w:r>
        <w:rPr>
          <w:rFonts w:ascii="Arial Narrow" w:hAnsi="Arial Narrow"/>
          <w:color w:val="000000"/>
        </w:rPr>
        <w:t>2.</w:t>
      </w:r>
      <w:r>
        <w:rPr>
          <w:rFonts w:ascii="Arial Narrow" w:hAnsi="Arial Narrow"/>
          <w:color w:val="000000"/>
        </w:rPr>
        <w:tab/>
        <w:t>El señor Coronel solicitó, en calidad de medida correctiva, que la aseguradora cumpla con otorgar la cobertura del Seguro Vehicular por el siniestro de robo total ocurrido el 22 de mayo de 2024, el pago de la suma asegurada conforme a la póliza ascendente a USD 12 450,00, y la devolución de los cobros indebidos. Asimismo, requirió el reembolso de costas y costos del presente procedimiento.</w:t>
      </w:r>
    </w:p>
    <w:p w14:paraId="28C2312E"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CE585C8"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 LA ADMISIÓN A TRÁMITE DE LA DENUNCIA</w:t>
      </w:r>
    </w:p>
    <w:p w14:paraId="4C4A1BDA" w14:textId="77777777" w:rsidR="00CA59A2" w:rsidRPr="00EB4D2D"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521B5E00" w14:textId="51B6D549" w:rsidR="00121544" w:rsidRPr="00EB4D2D"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Pr>
          <w:rFonts w:ascii="Arial Narrow" w:hAnsi="Arial Narrow"/>
          <w:color w:val="000000"/>
        </w:rPr>
        <w:t xml:space="preserve">La Secretaría Técnica de la Comisión de Protección al Consumidor 1 (en adelante, la Secretaría Técnica), en ejercicio de sus facultades, considera que el hecho denunciado, consistente en que la compañía aseguradora habría negado injustificadamente al denunciante la cobertura del Seguro Vehicular (Póliza N° 230245150) para el vehículo con placa de rodaje BVO-787 por el siniestro de robo ocurrido el 22 de mayo de 2024, rechazo comunicado mediante carta LPG.SINIESTROS.RCH IR 000000853 - 2024 de fecha 25 de junio de 2024; involucraría una presunta afectación a sus expectativas, quien no habría encontrado una correspondencia entre lo que esperaba recibir de parte del proveedor y lo que realmente recibió. Por consiguiente, corresponde calificar el hecho </w:t>
      </w:r>
      <w:r>
        <w:rPr>
          <w:rFonts w:ascii="Arial Narrow" w:hAnsi="Arial Narrow"/>
          <w:color w:val="000000"/>
        </w:rPr>
        <w:lastRenderedPageBreak/>
        <w:t>materia de denuncia como una presunta infracción al deber de idoneidad, tipificado en los artículos 18° y 19° del Código.</w:t>
      </w:r>
      <w:r w:rsidR="007A6CBB">
        <w:rPr>
          <w:rStyle w:val="Refdenotaalpie"/>
          <w:color w:val="000000"/>
        </w:rPr>
        <w:footnoteReference w:id="1"/>
      </w:r>
    </w:p>
    <w:p w14:paraId="7EF1FDBD" w14:textId="77777777" w:rsidR="00121544" w:rsidRPr="00EB4D2D" w:rsidRDefault="00121544" w:rsidP="00EB4D2D">
      <w:pPr>
        <w:pStyle w:val="Prrafodelista"/>
        <w:spacing w:after="0" w:line="240" w:lineRule="auto"/>
        <w:ind w:left="567"/>
        <w:jc w:val="both"/>
        <w:rPr>
          <w:rFonts w:ascii="Arial Narrow" w:eastAsia="Arial Narrow" w:hAnsi="Arial Narrow" w:cs="Arial Narrow"/>
          <w:kern w:val="0"/>
          <w:highlight w:val="green"/>
          <w14:ligatures w14:val="none"/>
        </w:rPr>
      </w:pPr>
    </w:p>
    <w:p w14:paraId="24A03067" w14:textId="77777777"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Pr>
          <w:rFonts w:ascii="Arial Narrow" w:hAnsi="Arial Narrow"/>
          <w:color w:val="000000"/>
        </w:rPr>
        <w:t>Así también, la Secretaría Técnica, en ejercicio de sus facultades, considera que el hecho denunciado, consistente en que la compañía aseguradora no habría cumplido con entregar de manera adecuada las condiciones generales y particulares de la póliza del Seguro Vehicular (Póliza N° 230245150).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p>
    <w:bookmarkEnd w:id="0"/>
    <w:p w14:paraId="306D92E5"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76A92CDC" w14:textId="77777777" w:rsidR="00121544" w:rsidRPr="00EB4D2D"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highlight w:val="green"/>
          <w14:ligatures w14:val="none"/>
        </w:rPr>
      </w:pPr>
      <w:r>
        <w:rPr>
          <w:rFonts w:ascii="Arial Narrow" w:hAnsi="Arial Narrow"/>
          <w:color w:val="000000"/>
        </w:rPr>
        <w:t>Asimismo, la Secretaría Técnica, en ejercicio de sus facultades, considera que el hecho denunciado, consistente en que la compañía aseguradora habría efectuado cobros no aceptados en la tarjeta CMR por concepto de una renovación automática no solicitada del Seguro Vehicular (Póliza N° 230245150), y exigido pagos por otro vehículo asegurado;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w14:paraId="532AF3AC" w14:textId="77777777" w:rsidR="00121544" w:rsidRPr="00EB4D2D" w:rsidRDefault="00121544" w:rsidP="00EB4D2D">
      <w:pPr>
        <w:spacing w:after="0" w:line="240" w:lineRule="auto"/>
        <w:jc w:val="both"/>
        <w:rPr>
          <w:rFonts w:ascii="Arial Narrow" w:eastAsia="Arial Narrow" w:hAnsi="Arial Narrow" w:cs="Arial Narrow"/>
          <w:kern w:val="0"/>
          <w:highlight w:val="green"/>
          <w14:ligatures w14:val="none"/>
        </w:rPr>
      </w:pPr>
    </w:p>
    <w:p w14:paraId="31D30226" w14:textId="77777777" w:rsidR="00F71384" w:rsidRPr="00EB4D2D" w:rsidRDefault="00F71384" w:rsidP="00EB4D2D">
      <w:pPr>
        <w:pStyle w:val="Prrafodelista"/>
        <w:spacing w:after="0" w:line="240" w:lineRule="auto"/>
        <w:rPr>
          <w:rFonts w:ascii="Arial Narrow" w:eastAsia="Arial Narrow" w:hAnsi="Arial Narrow" w:cs="Arial Narrow"/>
          <w:kern w:val="0"/>
          <w:highlight w:val="green"/>
          <w14:ligatures w14:val="none"/>
        </w:rPr>
      </w:pPr>
    </w:p>
    <w:p w14:paraId="07063E88" w14:textId="77777777" w:rsidR="00CA59A2" w:rsidRPr="00EB4D2D" w:rsidRDefault="00CA59A2" w:rsidP="00EB4D2D">
      <w:pPr>
        <w:spacing w:after="0" w:line="240" w:lineRule="auto"/>
        <w:jc w:val="both"/>
        <w:rPr>
          <w:rFonts w:ascii="Arial Narrow" w:eastAsia="Calibri" w:hAnsi="Arial Narrow" w:cs="Arial Narrow"/>
          <w:kern w:val="0"/>
          <w:lang w:eastAsia="es-PE"/>
          <w14:ligatures w14:val="none"/>
        </w:rPr>
      </w:pPr>
    </w:p>
    <w:bookmarkEnd w:id="1"/>
    <w:p w14:paraId="159988E7"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color w:val="000000"/>
          <w:kern w:val="0"/>
          <w:vertAlign w:val="superscript"/>
          <w14:ligatures w14:val="none"/>
        </w:rPr>
        <w:footnoteReference w:id="2"/>
      </w:r>
      <w:r w:rsidRPr="00EB4D2D">
        <w:rPr>
          <w:rFonts w:ascii="Arial Narrow" w:eastAsia="Arial" w:hAnsi="Arial Narrow" w:cs="Arial"/>
          <w:color w:val="000000"/>
          <w:kern w:val="0"/>
          <w:lang w:eastAsia="es-PE"/>
          <w14:ligatures w14:val="none"/>
        </w:rPr>
        <w:t>.</w:t>
      </w:r>
    </w:p>
    <w:p w14:paraId="3E25C0D0"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4962BC8F"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6BE8A159"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5682C6A5" w14:textId="77777777"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Pr>
          <w:rFonts w:ascii="Arial Narrow" w:hAnsi="Arial Narrow"/>
          <w:color w:val="000000"/>
        </w:rPr>
        <w:t>A efectos de tener mayores elementos que sirvan para la resolución definitiva del presente caso, la Secretaría Técnica, en ejercicio de las facultades que la ley le confiere, conviene requerir a la compañía aseguradora que, en un plazo no mayor de cinco (5) días hábiles contado a partir del día siguiente de la notificación de la presente resolución, cumpla con lo siguiente: (i) presentar una copia completa, legible y debidamente suscrita de la Póliza N° 230245150 del Seguro Vehicular; y, (ii) presentar los medios probatorios que acrediten el estado de cuenta y los sustentos de los cobros realizados en la tarjeta CMR del denunciante, así como del otro vehículo asegurado, durante el periodo de julio de 2024 a julio de 2025.</w:t>
      </w:r>
    </w:p>
    <w:bookmarkEnd w:id="2"/>
    <w:p w14:paraId="720B96C2"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1A3831E"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38E9EC71"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1207D07" w14:textId="77777777" w:rsidR="00121544" w:rsidRPr="00EB4D2D" w:rsidRDefault="00CA59A2" w:rsidP="00EB4D2D">
      <w:pPr>
        <w:spacing w:after="0" w:line="240" w:lineRule="auto"/>
        <w:jc w:val="both"/>
        <w:rPr>
          <w:rFonts w:ascii="Arial Narrow" w:eastAsia="Calibri" w:hAnsi="Arial Narrow" w:cs="Arial Narrow"/>
          <w:color w:val="000000"/>
          <w:kern w:val="0"/>
          <w:lang w:eastAsia="es-PE"/>
          <w14:ligatures w14:val="none"/>
        </w:rPr>
      </w:pPr>
      <w:r>
        <w:rPr>
          <w:rFonts w:ascii="Arial Narrow" w:hAnsi="Arial Narrow"/>
          <w:b/>
          <w:color w:val="000000"/>
        </w:rPr>
        <w:t xml:space="preserve">PRIMERO: </w:t>
      </w:r>
      <w:r>
        <w:rPr>
          <w:rFonts w:ascii="Arial Narrow" w:hAnsi="Arial Narrow"/>
          <w:color w:val="000000"/>
        </w:rPr>
        <w:t>admitir a trámite la denuncia del 20 de abril de 2026 interpuesta por el señor Efraín Coronel Quispe contra La Positiva Seguros y Reaseguros S.A.A., por lo siguiente:</w:t>
      </w:r>
    </w:p>
    <w:p w14:paraId="56691E14" w14:textId="77777777" w:rsidR="00121544" w:rsidRPr="00EB4D2D" w:rsidRDefault="00121544" w:rsidP="00EB4D2D">
      <w:pPr>
        <w:spacing w:after="0" w:line="240" w:lineRule="auto"/>
        <w:jc w:val="both"/>
        <w:rPr>
          <w:rFonts w:ascii="Arial Narrow" w:eastAsia="Calibri" w:hAnsi="Arial Narrow" w:cs="Arial Narrow"/>
          <w:color w:val="000000"/>
          <w:kern w:val="0"/>
          <w:lang w:eastAsia="es-PE"/>
          <w14:ligatures w14:val="none"/>
        </w:rPr>
      </w:pPr>
    </w:p>
    <w:p w14:paraId="19B3C960" w14:textId="77777777" w:rsidR="00121544" w:rsidRPr="00EB4D2D" w:rsidRDefault="00711750" w:rsidP="00EB4D2D">
      <w:pPr>
        <w:pStyle w:val="Prrafodelista"/>
        <w:tabs>
          <w:tab w:val="num" w:pos="567"/>
        </w:tabs>
        <w:spacing w:after="0" w:line="240" w:lineRule="auto"/>
        <w:ind w:hanging="720"/>
        <w:jc w:val="both"/>
        <w:rPr>
          <w:rFonts w:ascii="Arial Narrow" w:eastAsia="Calibri" w:hAnsi="Arial Narrow" w:cs="Arial Narrow"/>
          <w:kern w:val="0"/>
          <w:highlight w:val="green"/>
          <w:lang w:eastAsia="es-PE"/>
          <w14:ligatures w14:val="none"/>
        </w:rPr>
      </w:pPr>
      <w:r>
        <w:rPr>
          <w:rFonts w:ascii="Arial Narrow" w:hAnsi="Arial Narrow"/>
          <w:color w:val="000000"/>
        </w:rPr>
        <w:t>(i)</w:t>
      </w:r>
      <w:r>
        <w:rPr>
          <w:rFonts w:ascii="Arial Narrow" w:hAnsi="Arial Narrow"/>
          <w:color w:val="000000"/>
        </w:rPr>
        <w:tab/>
        <w:t>Presunta infracción a los artículos 18° y 19° de la Ley N° 29571, Código de Protección y Defensa del Consumidor, en tanto la compañía aseguradora habría negado injustificadamente al denunciante la cobertura del Seguro Vehicular (Póliza N° 230245150) para el vehículo con placa de rodaje BVO-787 por el siniestro de robo ocurrido el 22 de mayo de 2024, rechazo comunicado mediante carta LPG.SINIESTROS.RCH IR 000000853 - 2024 de fecha 25 de junio de 2024.</w:t>
      </w:r>
    </w:p>
    <w:p w14:paraId="21411A3B"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p w14:paraId="5997FF4E" w14:textId="77777777" w:rsidR="00121544" w:rsidRPr="00EB4D2D" w:rsidRDefault="00711750" w:rsidP="00EB4D2D">
      <w:pPr>
        <w:pStyle w:val="Prrafodelista"/>
        <w:tabs>
          <w:tab w:val="num" w:pos="567"/>
        </w:tabs>
        <w:spacing w:after="0" w:line="240" w:lineRule="auto"/>
        <w:ind w:hanging="720"/>
        <w:jc w:val="both"/>
        <w:rPr>
          <w:rFonts w:ascii="Arial Narrow" w:eastAsia="Calibri" w:hAnsi="Arial Narrow" w:cs="Arial Narrow"/>
          <w:kern w:val="0"/>
          <w:highlight w:val="green"/>
          <w:lang w:eastAsia="es-PE"/>
          <w14:ligatures w14:val="none"/>
        </w:rPr>
      </w:pPr>
      <w:r>
        <w:rPr>
          <w:rFonts w:ascii="Arial Narrow" w:hAnsi="Arial Narrow"/>
          <w:color w:val="000000"/>
        </w:rPr>
        <w:t>(ii)</w:t>
      </w:r>
      <w:r>
        <w:rPr>
          <w:rFonts w:ascii="Arial Narrow" w:hAnsi="Arial Narrow"/>
          <w:color w:val="000000"/>
        </w:rPr>
        <w:tab/>
        <w:t>Presunta infracción al literal e) del artículo 47° de la Ley N° 29571, Código de Protección y Defensa del Consumidor, en tanto la compañía aseguradora no habría cumplido con entregar de manera adecuada las condiciones generales y particulares de la póliza del Seguro Vehicular (Póliza N° 230245150).</w:t>
      </w:r>
    </w:p>
    <w:p w14:paraId="372A442E"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6B866150" w14:textId="77777777" w:rsidR="00121544" w:rsidRPr="00EB4D2D" w:rsidRDefault="00121544" w:rsidP="00EB4D2D">
      <w:pPr>
        <w:pStyle w:val="Prrafodelista"/>
        <w:tabs>
          <w:tab w:val="num" w:pos="567"/>
        </w:tabs>
        <w:spacing w:after="0" w:line="240" w:lineRule="auto"/>
        <w:ind w:hanging="720"/>
        <w:jc w:val="both"/>
        <w:rPr>
          <w:rFonts w:ascii="Arial Narrow" w:eastAsia="Arial Narrow" w:hAnsi="Arial Narrow" w:cs="Arial Narrow"/>
          <w:kern w:val="0"/>
          <w:highlight w:val="green"/>
          <w14:ligatures w14:val="none"/>
        </w:rPr>
      </w:pPr>
      <w:r>
        <w:rPr>
          <w:rFonts w:ascii="Arial Narrow" w:hAnsi="Arial Narrow"/>
          <w:color w:val="000000"/>
        </w:rPr>
        <w:t>(iii)</w:t>
      </w:r>
      <w:r>
        <w:rPr>
          <w:rFonts w:ascii="Arial Narrow" w:hAnsi="Arial Narrow"/>
          <w:color w:val="000000"/>
        </w:rPr>
        <w:tab/>
        <w:t>Presunta infracción a los artículos 18° y 19° de la Ley N° 29571, Código de Protección y Defensa del Consumidor, en tanto la compañía aseguradora habría efectuado cobros no aceptados en la tarjeta CMR por concepto de una renovación automática no solicitada del Seguro Vehicular (Póliza N° 230245150), y exigido pagos por otro vehículo asegurado.</w:t>
      </w:r>
    </w:p>
    <w:p w14:paraId="1D503AA4" w14:textId="77777777" w:rsidR="00121544" w:rsidRPr="00EB4D2D" w:rsidRDefault="00121544" w:rsidP="00EB4D2D">
      <w:pPr>
        <w:spacing w:after="0" w:line="240" w:lineRule="auto"/>
        <w:jc w:val="both"/>
        <w:rPr>
          <w:rFonts w:ascii="Arial Narrow" w:eastAsia="Calibri" w:hAnsi="Arial Narrow" w:cs="Arial Narrow"/>
          <w:kern w:val="0"/>
          <w:highlight w:val="green"/>
          <w:lang w:eastAsia="es-PE"/>
          <w14:ligatures w14:val="none"/>
        </w:rPr>
      </w:pPr>
    </w:p>
    <w:p w14:paraId="29E673BB" w14:textId="77777777" w:rsidR="00121544" w:rsidRPr="00EB4D2D" w:rsidRDefault="00121544" w:rsidP="00EB4D2D">
      <w:pPr>
        <w:pStyle w:val="Prrafodelista"/>
        <w:spacing w:after="0" w:line="240" w:lineRule="auto"/>
        <w:rPr>
          <w:rFonts w:ascii="Arial Narrow" w:eastAsia="Arial Narrow" w:hAnsi="Arial Narrow" w:cs="Arial Narrow"/>
          <w:kern w:val="0"/>
          <w:highlight w:val="green"/>
          <w14:ligatures w14:val="none"/>
        </w:rPr>
      </w:pPr>
    </w:p>
    <w:p w14:paraId="08F291B9" w14:textId="77777777" w:rsidR="00CA59A2" w:rsidRPr="00EB4D2D" w:rsidRDefault="00CA59A2" w:rsidP="00EB4D2D">
      <w:pPr>
        <w:spacing w:after="0" w:line="240" w:lineRule="auto"/>
        <w:jc w:val="both"/>
        <w:rPr>
          <w:rFonts w:ascii="Arial Narrow" w:eastAsia="Arial Narrow" w:hAnsi="Arial Narrow" w:cs="Arial Narrow"/>
          <w:kern w:val="0"/>
          <w14:ligatures w14:val="none"/>
        </w:rPr>
      </w:pPr>
    </w:p>
    <w:p w14:paraId="5CCD0FF1" w14:textId="77777777" w:rsidR="00CA59A2" w:rsidRPr="00EB4D2D" w:rsidRDefault="00CA59A2" w:rsidP="00EB4D2D">
      <w:pPr>
        <w:spacing w:after="0" w:line="240" w:lineRule="auto"/>
        <w:contextualSpacing/>
        <w:jc w:val="both"/>
        <w:rPr>
          <w:rFonts w:ascii="Arial Narrow" w:eastAsia="Calibri" w:hAnsi="Arial Narrow" w:cs="Arial"/>
          <w:kern w:val="0"/>
          <w14:ligatures w14:val="none"/>
        </w:rPr>
      </w:pPr>
      <w:r>
        <w:rPr>
          <w:rFonts w:ascii="Arial Narrow" w:hAnsi="Arial Narrow"/>
          <w:b/>
          <w:color w:val="000000"/>
        </w:rPr>
        <w:t xml:space="preserve">SEGUNDO: </w:t>
      </w:r>
      <w:r>
        <w:rPr>
          <w:rFonts w:ascii="Arial Narrow" w:hAnsi="Arial Narrow"/>
          <w:color w:val="000000"/>
        </w:rPr>
        <w:t>tener por ofrecidos los medios probatorios presentados en el escrito de denuncia del 20 de abril de 2026.</w:t>
      </w:r>
    </w:p>
    <w:p w14:paraId="41E9710F"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33A3247E"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b/>
          <w:color w:val="000000"/>
        </w:rPr>
        <w:t xml:space="preserve">TERCERO: </w:t>
      </w:r>
      <w:r>
        <w:rPr>
          <w:rFonts w:ascii="Arial Narrow" w:hAnsi="Arial Narrow"/>
          <w:color w:val="000000"/>
        </w:rPr>
        <w:t>requerir a La Positiva Seguros y Reaseguros S.A.A. que cumpla con lo siguiente:</w:t>
      </w:r>
    </w:p>
    <w:p w14:paraId="14BBB9A9"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00CE519B"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61D462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2C1A2642"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023A8542" w14:textId="77777777"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color w:val="000000"/>
          <w:kern w:val="0"/>
          <w14:ligatures w14:val="none"/>
        </w:rPr>
        <w:t>Para ello podrá señalar domicilio físico o una dirección electrónica a la que pueda remitirse las notificaciones</w:t>
      </w:r>
      <w:r w:rsidRPr="00EB4D2D">
        <w:rPr>
          <w:rFonts w:ascii="Arial Narrow" w:eastAsia="Arial" w:hAnsi="Arial Narrow" w:cs="Arial"/>
          <w:color w:val="000000"/>
          <w:kern w:val="0"/>
          <w:lang w:val="es"/>
          <w14:ligatures w14:val="none"/>
        </w:rPr>
        <w:t>;</w:t>
      </w:r>
    </w:p>
    <w:p w14:paraId="1A16EFE9" w14:textId="77777777"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color w:val="000000"/>
          <w:kern w:val="0"/>
          <w:vertAlign w:val="superscript"/>
          <w14:ligatures w14:val="none"/>
        </w:rPr>
        <w:footnoteReference w:id="3"/>
      </w:r>
      <w:r w:rsidRPr="00EB4D2D">
        <w:rPr>
          <w:rFonts w:ascii="Arial Narrow" w:eastAsia="Calibri" w:hAnsi="Arial Narrow" w:cs="Arial"/>
          <w:color w:val="000000"/>
          <w:kern w:val="0"/>
          <w14:ligatures w14:val="none"/>
        </w:rPr>
        <w:t xml:space="preserve">. Ello, a fin de que la Comisión pueda meritar dicha documentación, conforme lo establece el artículo 110 del </w:t>
      </w:r>
      <w:r w:rsidRPr="00EB4D2D">
        <w:rPr>
          <w:rFonts w:ascii="Arial Narrow" w:eastAsia="Calibri" w:hAnsi="Arial Narrow" w:cs="Arial"/>
          <w:color w:val="000000"/>
          <w:spacing w:val="-2"/>
          <w:kern w:val="0"/>
          <w14:ligatures w14:val="none"/>
        </w:rPr>
        <w:t>Código</w:t>
      </w:r>
      <w:r w:rsidRPr="00EB4D2D">
        <w:rPr>
          <w:rFonts w:ascii="Arial Narrow" w:eastAsia="Calibri" w:hAnsi="Arial Narrow" w:cs="Arial"/>
          <w:color w:val="000000"/>
          <w:spacing w:val="-2"/>
          <w:kern w:val="0"/>
          <w:vertAlign w:val="superscript"/>
          <w14:ligatures w14:val="none"/>
        </w:rPr>
        <w:footnoteReference w:id="4"/>
      </w:r>
      <w:r w:rsidRPr="00EB4D2D">
        <w:rPr>
          <w:rFonts w:ascii="Arial Narrow" w:eastAsia="Calibri" w:hAnsi="Arial Narrow" w:cs="Arial"/>
          <w:color w:val="000000"/>
          <w:spacing w:val="-2"/>
          <w:kern w:val="0"/>
          <w14:ligatures w14:val="none"/>
        </w:rPr>
        <w:t>.</w:t>
      </w:r>
    </w:p>
    <w:p w14:paraId="7CFE7EF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4A58F313"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b/>
          <w:color w:val="000000"/>
        </w:rPr>
        <w:t xml:space="preserve">CUARTO: </w:t>
      </w:r>
      <w:r>
        <w:rPr>
          <w:rFonts w:ascii="Arial Narrow" w:hAnsi="Arial Narrow"/>
          <w:color w:val="000000"/>
        </w:rPr>
        <w:t>correr traslado de la denuncia interpuesta el 20 de abril de 2026 a La Positiva Seguros y Reaseguros S.A.A., para que, de conformidad con lo dispuesto por el artículo 26° de la Ley sobre Facultades, Normas y Organización del Indecopi, aprobada por Decreto Legislativo 807, presente sus descargos en un plazo no mayor de cinco (5) días hábiles contados desde la notificación.</w:t>
      </w:r>
    </w:p>
    <w:p w14:paraId="51720A60"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1F04E2FD"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Pr>
          <w:rFonts w:ascii="Arial Narrow" w:hAnsi="Arial Narrow"/>
          <w:b/>
          <w:color w:val="000000"/>
        </w:rPr>
        <w:t xml:space="preserve">QUINTO: </w:t>
      </w:r>
      <w:r>
        <w:rPr>
          <w:rFonts w:ascii="Arial Narrow" w:hAnsi="Arial Narrow"/>
          <w:color w:val="000000"/>
        </w:rPr>
        <w:t>requerir que, en un plazo no mayor de cinco (5) días hábiles contado a partir del día siguiente de la notificación de la presente resolución, el proveedor denunciado cumpla con lo siguiente: (i) presentar una copia completa, legible y debidamente suscrita de la Póliza N° 230245150 del Seguro Vehicular; y, (ii) presentar los medios probatorios que acrediten el estado de cuenta y los sustentos de los cobros realizados en la tarjeta CMR del denunciante, así como del otro vehículo asegurado, durante el periodo de julio de 2024 a julio de 2025.</w:t>
      </w:r>
    </w:p>
    <w:p w14:paraId="1984BCC9"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144B1954"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3"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color w:val="000000"/>
          <w:kern w:val="0"/>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5"/>
      </w:r>
      <w:r w:rsidRPr="00EB4D2D">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6"/>
      </w:r>
      <w:r w:rsidRPr="00EB4D2D">
        <w:rPr>
          <w:rFonts w:ascii="Arial Narrow" w:eastAsia="Arial Narrow" w:hAnsi="Arial Narrow" w:cs="Arial Narrow"/>
          <w:color w:val="000000"/>
          <w:kern w:val="0"/>
          <w:lang w:eastAsia="es-PE"/>
          <w14:ligatures w14:val="none"/>
        </w:rPr>
        <w:t xml:space="preserve">. </w:t>
      </w:r>
      <w:bookmarkEnd w:id="3"/>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w:t>
      </w:r>
    </w:p>
    <w:p w14:paraId="201768BC"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3D19B722"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1E936E18"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18F340EC"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color w:val="000000"/>
          <w:kern w:val="0"/>
          <w14:ligatures w14:val="none"/>
        </w:rPr>
        <w:t>OCTAVO</w:t>
      </w:r>
      <w:r w:rsidRPr="00EB4D2D">
        <w:rPr>
          <w:rFonts w:ascii="Arial Narrow" w:eastAsia="Calibri" w:hAnsi="Arial Narrow" w:cs="Arial"/>
          <w:b/>
          <w:color w:val="000000"/>
          <w:kern w:val="0"/>
          <w14:ligatures w14:val="none"/>
        </w:rPr>
        <w:t>:</w:t>
      </w:r>
      <w:r w:rsidRPr="00EB4D2D">
        <w:rPr>
          <w:rFonts w:ascii="Arial Narrow" w:eastAsia="Calibri" w:hAnsi="Arial Narrow" w:cs="Arial"/>
          <w:color w:val="000000"/>
          <w:kern w:val="0"/>
          <w14:ligatures w14:val="none"/>
        </w:rPr>
        <w:t xml:space="preserve"> comunicar a las partes que, de acuerdo a lo señalado por el artículo 29 del Decreto Legislativo  807</w:t>
      </w:r>
      <w:r w:rsidRPr="00EB4D2D">
        <w:rPr>
          <w:rFonts w:ascii="Arial Narrow" w:eastAsia="Calibri" w:hAnsi="Arial Narrow" w:cs="Arial"/>
          <w:color w:val="000000"/>
          <w:kern w:val="0"/>
          <w:vertAlign w:val="superscript"/>
          <w14:ligatures w14:val="none"/>
        </w:rPr>
        <w:footnoteReference w:id="8"/>
      </w:r>
      <w:r w:rsidRPr="00EB4D2D">
        <w:rPr>
          <w:rFonts w:ascii="Arial Narrow" w:eastAsia="Calibri" w:hAnsi="Arial Narrow" w:cs="Arial"/>
          <w:color w:val="000000"/>
          <w:kern w:val="0"/>
          <w14:ligatures w14:val="none"/>
        </w:rPr>
        <w:t xml:space="preserve">, hasta antes de la emisión de la Resolución Final tienen la posibilidad de solicitar una audiencia de </w:t>
      </w:r>
      <w:r w:rsidRPr="00EB4D2D">
        <w:rPr>
          <w:rFonts w:ascii="Arial Narrow" w:eastAsia="Calibri" w:hAnsi="Arial Narrow" w:cs="Arial"/>
          <w:color w:val="000000"/>
          <w:kern w:val="0"/>
          <w14:ligatures w14:val="none"/>
        </w:rPr>
        <w:lastRenderedPageBreak/>
        <w:t xml:space="preserve">conciliación. En caso deleguen a favor de una tercera persona su actuación en la diligencia programada, ésta deberá presentar un poder especial con firma legalizada ante Notario Público, donde conste </w:t>
      </w:r>
      <w:r w:rsidRPr="00EB4D2D">
        <w:rPr>
          <w:rFonts w:ascii="Arial Narrow" w:eastAsia="Calibri" w:hAnsi="Arial Narrow" w:cs="Arial"/>
          <w:color w:val="000000"/>
          <w:kern w:val="0"/>
          <w:u w:val="single"/>
          <w14:ligatures w14:val="none"/>
        </w:rPr>
        <w:t>expresamente su facultad para asistir y conciliar en su representación</w:t>
      </w:r>
      <w:r w:rsidRPr="00EB4D2D">
        <w:rPr>
          <w:rFonts w:ascii="Arial Narrow" w:eastAsia="Calibri" w:hAnsi="Arial Narrow" w:cs="Arial"/>
          <w:bCs/>
          <w:color w:val="000000"/>
          <w:kern w:val="0"/>
          <w14:ligatures w14:val="none"/>
        </w:rPr>
        <w:t>.</w:t>
      </w:r>
      <w:r w:rsidRPr="00EB4D2D">
        <w:rPr>
          <w:rFonts w:ascii="Arial Narrow" w:eastAsia="Calibri" w:hAnsi="Arial Narrow" w:cs="Arial"/>
          <w:b/>
          <w:bCs/>
          <w:color w:val="000000"/>
          <w:kern w:val="0"/>
          <w14:ligatures w14:val="none"/>
        </w:rPr>
        <w:t xml:space="preserve"> </w:t>
      </w:r>
      <w:r w:rsidRPr="00EB4D2D">
        <w:rPr>
          <w:rFonts w:ascii="Arial Narrow" w:eastAsia="Calibri" w:hAnsi="Arial Narrow" w:cs="Arial"/>
          <w:color w:val="000000"/>
          <w:kern w:val="0"/>
          <w:u w:val="single"/>
          <w14:ligatures w14:val="none"/>
        </w:rPr>
        <w:t xml:space="preserve">Ello bajo apercibimiento de no realizar la audiencia de conciliación y levantar el acta de inasistencia correspondiente. </w:t>
      </w:r>
    </w:p>
    <w:p w14:paraId="470E6C09"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F5367FE"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4" w:name="h.gjdgxs" w:colFirst="0" w:colLast="0"/>
      <w:bookmarkEnd w:id="4"/>
    </w:p>
    <w:p w14:paraId="0DC94322"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7D212A3E" w14:textId="318A23EF" w:rsidR="005B4857" w:rsidRPr="00EB4D2D" w:rsidRDefault="00CA59A2" w:rsidP="00EB4D2D">
      <w:pPr>
        <w:suppressAutoHyphens/>
        <w:spacing w:after="0" w:line="240" w:lineRule="auto"/>
        <w:jc w:val="both"/>
        <w:rPr>
          <w:rFonts w:ascii="Arial Narrow" w:hAnsi="Arial Narrow" w:cs="Arial"/>
        </w:rPr>
      </w:pPr>
      <w:r>
        <w:rPr>
          <w:rFonts w:ascii="Arial Narrow" w:hAnsi="Arial Narrow"/>
          <w:b/>
          <w:color w:val="000000"/>
        </w:rPr>
        <w:t xml:space="preserve">DÉCIMO: </w:t>
      </w:r>
      <w:r>
        <w:rPr>
          <w:rFonts w:ascii="Arial Narrow" w:hAnsi="Arial Narrow"/>
          <w:color w:val="000000"/>
        </w:rPr>
        <w:t>requerir al señor Efraín Coronel Quispe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w:t>
      </w:r>
      <w:r w:rsidR="007A6CBB">
        <w:rPr>
          <w:rStyle w:val="Refdenotaalpie"/>
          <w:color w:val="000000"/>
        </w:rPr>
        <w:footnoteReference w:id="9"/>
      </w:r>
      <w:r>
        <w:rPr>
          <w:rFonts w:ascii="Arial Narrow" w:hAnsi="Arial Narrow"/>
          <w:color w:val="000000"/>
        </w:rPr>
        <w:t>, bajo apercibimiento de rehacer el acto de notificación y notificarle conforme al numeral 1 del artículo 20° del citado cuerpo normativo.</w:t>
      </w:r>
    </w:p>
    <w:p w14:paraId="7C5E83E1" w14:textId="77777777" w:rsidR="005B4857" w:rsidRPr="00EB4D2D" w:rsidRDefault="005B4857" w:rsidP="00EB4D2D">
      <w:pPr>
        <w:suppressAutoHyphens/>
        <w:spacing w:after="0" w:line="240" w:lineRule="auto"/>
        <w:jc w:val="both"/>
        <w:rPr>
          <w:rFonts w:ascii="Arial Narrow" w:hAnsi="Arial Narrow" w:cs="Arial"/>
        </w:rPr>
      </w:pPr>
    </w:p>
    <w:p w14:paraId="50F65C94" w14:textId="77777777" w:rsidR="00CA59A2" w:rsidRPr="00EB4D2D" w:rsidRDefault="00CA59A2" w:rsidP="00EB4D2D">
      <w:pPr>
        <w:suppressAutoHyphens/>
        <w:spacing w:after="0" w:line="240" w:lineRule="auto"/>
        <w:jc w:val="both"/>
        <w:rPr>
          <w:rFonts w:ascii="Arial Narrow" w:hAnsi="Arial Narrow" w:cs="Arial"/>
        </w:rPr>
      </w:pPr>
      <w:r>
        <w:rPr>
          <w:rFonts w:ascii="Arial Narrow" w:hAnsi="Arial Narrow"/>
          <w:b/>
          <w:color w:val="000000"/>
        </w:rPr>
        <w:t xml:space="preserve">DÉCIMO PRIMERO: </w:t>
      </w:r>
      <w:r>
        <w:rPr>
          <w:rFonts w:ascii="Arial Narrow" w:hAnsi="Arial Narrow"/>
          <w:color w:val="000000"/>
        </w:rPr>
        <w:t>requerir a La Positiva Seguros y Reaseguros S.A.A. para que efectúe el acuse de recibo mediante la confirmación de recepción de la notificación remitida por este despacho a su Casilla Electrónica, dentro de los cinco (5) primeros días hábiles siguientes a la fecha en que recibe la notificación.</w:t>
      </w:r>
    </w:p>
    <w:p w14:paraId="164A6DC3" w14:textId="77777777" w:rsidR="00CA59A2" w:rsidRPr="00EB4D2D" w:rsidRDefault="00CA59A2" w:rsidP="00EB4D2D">
      <w:pPr>
        <w:suppressAutoHyphens/>
        <w:spacing w:after="0" w:line="240" w:lineRule="auto"/>
        <w:jc w:val="both"/>
        <w:rPr>
          <w:rFonts w:ascii="Arial Narrow" w:hAnsi="Arial Narrow" w:cs="Arial"/>
          <w:bCs/>
        </w:rPr>
      </w:pPr>
    </w:p>
    <w:p w14:paraId="40619D11" w14:textId="77777777" w:rsidR="00CA59A2" w:rsidRPr="00EB4D2D" w:rsidRDefault="00CA59A2" w:rsidP="00EB4D2D">
      <w:pPr>
        <w:suppressAutoHyphens/>
        <w:spacing w:after="0" w:line="240" w:lineRule="auto"/>
        <w:jc w:val="both"/>
        <w:rPr>
          <w:rFonts w:ascii="Arial Narrow" w:hAnsi="Arial Narrow" w:cs="Arial"/>
        </w:rPr>
      </w:pPr>
    </w:p>
    <w:p w14:paraId="7BD37D19"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7B7325CF"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B7E6E9D"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C662C9E" w14:textId="77777777"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46CA69FD"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5E50D86A" w14:textId="77777777" w:rsidR="00C03E0B" w:rsidRPr="00EB4D2D" w:rsidRDefault="00C03E0B"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5E8B3B9D" w14:textId="77777777" w:rsidR="003A00D7" w:rsidRPr="00EB4D2D" w:rsidRDefault="003A00D7" w:rsidP="00EB4D2D">
      <w:pPr>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1E7ADF76" w14:textId="77777777" w:rsidR="003A00D7" w:rsidRPr="007D7707" w:rsidRDefault="003A00D7" w:rsidP="00EB4D2D">
      <w:pPr>
        <w:spacing w:after="0" w:line="240" w:lineRule="auto"/>
        <w:rPr>
          <w:sz w:val="18"/>
          <w:szCs w:val="18"/>
        </w:rPr>
      </w:pPr>
      <w:r w:rsidRPr="007D7707">
        <w:rPr>
          <w:rFonts w:ascii="Arial Narrow" w:hAnsi="Arial Narrow"/>
          <w:color w:val="000000"/>
          <w:szCs w:val="18"/>
        </w:rPr>
        <w:t>LGP/JCQ</w:t>
      </w:r>
    </w:p>
    <w:p w14:paraId="6ADB7B25" w14:textId="77777777" w:rsidR="00CA59A2" w:rsidRPr="00EB4D2D" w:rsidRDefault="00CA59A2" w:rsidP="00EB4D2D">
      <w:pPr>
        <w:spacing w:after="0" w:line="240" w:lineRule="auto"/>
        <w:rPr>
          <w:rFonts w:ascii="Arial Narrow" w:hAnsi="Arial Narrow"/>
        </w:rPr>
      </w:pPr>
    </w:p>
    <w:p w14:paraId="01102D03"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9BFB6C" w14:textId="77777777" w:rsidR="000F776B" w:rsidRDefault="000F776B" w:rsidP="00DA79A0">
      <w:pPr>
        <w:spacing w:after="0" w:line="240" w:lineRule="auto"/>
      </w:pPr>
      <w:r>
        <w:separator/>
      </w:r>
    </w:p>
  </w:endnote>
  <w:endnote w:type="continuationSeparator" w:id="0">
    <w:p w14:paraId="45F42F5D" w14:textId="77777777" w:rsidR="000F776B" w:rsidRDefault="000F776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9E871"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00269"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6D29675C"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634A8"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B7539" w14:textId="77777777" w:rsidR="000F776B" w:rsidRDefault="000F776B" w:rsidP="00DA79A0">
      <w:pPr>
        <w:spacing w:after="0" w:line="240" w:lineRule="auto"/>
      </w:pPr>
      <w:r>
        <w:separator/>
      </w:r>
    </w:p>
  </w:footnote>
  <w:footnote w:type="continuationSeparator" w:id="0">
    <w:p w14:paraId="3153B946" w14:textId="77777777" w:rsidR="000F776B" w:rsidRDefault="000F776B" w:rsidP="00DA79A0">
      <w:pPr>
        <w:spacing w:after="0" w:line="240" w:lineRule="auto"/>
      </w:pPr>
      <w:r>
        <w:continuationSeparator/>
      </w:r>
    </w:p>
  </w:footnote>
  <w:footnote w:id="1">
    <w:p w14:paraId="6E2142F5" w14:textId="212ACFBF" w:rsidR="007A6CBB" w:rsidRPr="007A6CBB" w:rsidRDefault="007A6CBB" w:rsidP="007A6CBB">
      <w:pPr>
        <w:pStyle w:val="Textonotapie"/>
        <w:jc w:val="both"/>
        <w:rPr>
          <w:lang w:val="es-419"/>
        </w:rPr>
      </w:pPr>
      <w:r>
        <w:rPr>
          <w:rStyle w:val="Refdenotaalpie"/>
        </w:rPr>
        <w:footnoteRef/>
      </w:r>
      <w:r>
        <w:t xml:space="preserve"> </w:t>
      </w:r>
    </w:p>
  </w:footnote>
  <w:footnote w:id="2">
    <w:p w14:paraId="119FEA6A" w14:textId="77777777" w:rsidR="00CA59A2" w:rsidRPr="007A6CBB" w:rsidRDefault="00CA59A2" w:rsidP="007A6CBB">
      <w:pPr>
        <w:pStyle w:val="Textonotapie"/>
        <w:tabs>
          <w:tab w:val="left" w:pos="567"/>
        </w:tabs>
        <w:ind w:left="567" w:right="-1" w:hanging="567"/>
        <w:jc w:val="both"/>
        <w:rPr>
          <w:rFonts w:ascii="Arial Narrow" w:eastAsia="Arial Narrow" w:hAnsi="Arial Narrow" w:cs="Arial"/>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7A6CBB">
        <w:rPr>
          <w:rFonts w:ascii="Arial Narrow" w:hAnsi="Arial Narrow" w:cs="Arial"/>
          <w:szCs w:val="16"/>
        </w:rPr>
        <w:t xml:space="preserve"> </w:t>
      </w:r>
      <w:r w:rsidRPr="007A6CBB">
        <w:rPr>
          <w:rFonts w:ascii="Arial Narrow" w:hAnsi="Arial Narrow" w:cs="Arial"/>
          <w:szCs w:val="16"/>
        </w:rPr>
        <w:tab/>
      </w:r>
      <w:r w:rsidRPr="007A6CBB">
        <w:rPr>
          <w:rFonts w:ascii="Arial Narrow" w:eastAsia="Arial Narrow" w:hAnsi="Arial Narrow" w:cs="Arial"/>
          <w:b/>
          <w:bCs/>
          <w:szCs w:val="16"/>
        </w:rPr>
        <w:t>LEY SOBRE FACULTADES, NORMAS Y ORGANIZACIÓN DEL INDECOPI, APROBADA POR DECRETO LEGISLATIVO N 807 Artículo 24.-</w:t>
      </w:r>
      <w:r w:rsidRPr="007A6CBB">
        <w:rPr>
          <w:rFonts w:ascii="Arial Narrow" w:eastAsia="Arial Narrow" w:hAnsi="Arial Narrow" w:cs="Arial"/>
          <w:szCs w:val="16"/>
        </w:rPr>
        <w:t xml:space="preserve"> El Secretario Técnico se encargará de la tramitación del procedimiento. Para ello, cuenta con las siguientes facultades:</w:t>
      </w:r>
    </w:p>
    <w:p w14:paraId="3EF0AB51" w14:textId="77777777" w:rsidR="00CA59A2" w:rsidRPr="007A6CBB" w:rsidRDefault="00CA59A2" w:rsidP="007A6CBB">
      <w:pPr>
        <w:pStyle w:val="Textonotapie"/>
        <w:tabs>
          <w:tab w:val="left" w:pos="567"/>
        </w:tabs>
        <w:ind w:left="567" w:right="-1" w:hanging="567"/>
        <w:jc w:val="both"/>
        <w:rPr>
          <w:rFonts w:ascii="Arial Narrow" w:eastAsia="Arial Narrow" w:hAnsi="Arial Narrow" w:cs="Arial"/>
          <w:szCs w:val="16"/>
        </w:rPr>
      </w:pPr>
      <w:r w:rsidRPr="007A6CBB">
        <w:rPr>
          <w:rFonts w:ascii="Arial Narrow" w:eastAsia="Arial Narrow" w:hAnsi="Arial Narrow" w:cs="Arial"/>
          <w:szCs w:val="16"/>
        </w:rPr>
        <w:tab/>
        <w:t xml:space="preserve">(...) </w:t>
      </w:r>
    </w:p>
    <w:p w14:paraId="31E90EDB" w14:textId="77777777" w:rsidR="00CA59A2" w:rsidRPr="007A6CBB" w:rsidRDefault="00CA59A2" w:rsidP="007A6CBB">
      <w:pPr>
        <w:pStyle w:val="Textonotapie"/>
        <w:tabs>
          <w:tab w:val="left" w:pos="567"/>
        </w:tabs>
        <w:ind w:left="567" w:right="-1" w:hanging="567"/>
        <w:jc w:val="both"/>
        <w:rPr>
          <w:rFonts w:ascii="Arial Narrow" w:eastAsia="Arial Narrow" w:hAnsi="Arial Narrow" w:cs="Arial"/>
          <w:szCs w:val="16"/>
        </w:rPr>
      </w:pPr>
      <w:r w:rsidRPr="007A6CBB">
        <w:rPr>
          <w:rFonts w:ascii="Arial Narrow" w:eastAsia="Arial Narrow" w:hAnsi="Arial Narrow" w:cs="Arial"/>
          <w:szCs w:val="16"/>
        </w:rPr>
        <w:tab/>
        <w:t xml:space="preserve">c) Admitir denuncias a trámite, en aquellos casos en que la Comisión le haya delegado esta facultad. </w:t>
      </w:r>
    </w:p>
    <w:p w14:paraId="54EBA586" w14:textId="77777777" w:rsidR="00CA59A2" w:rsidRPr="007A6CBB" w:rsidRDefault="00CA59A2" w:rsidP="007A6CBB">
      <w:pPr>
        <w:pStyle w:val="Textonotapie"/>
        <w:tabs>
          <w:tab w:val="left" w:pos="567"/>
        </w:tabs>
        <w:ind w:left="567" w:right="-1" w:hanging="567"/>
        <w:jc w:val="both"/>
        <w:rPr>
          <w:rFonts w:ascii="Arial Narrow" w:eastAsia="Arial Narrow" w:hAnsi="Arial Narrow" w:cs="Arial"/>
          <w:szCs w:val="16"/>
        </w:rPr>
      </w:pPr>
      <w:r w:rsidRPr="007A6CBB">
        <w:rPr>
          <w:rFonts w:ascii="Arial Narrow" w:eastAsia="Arial Narrow" w:hAnsi="Arial Narrow" w:cs="Arial"/>
          <w:szCs w:val="16"/>
        </w:rPr>
        <w:tab/>
        <w:t>(...).</w:t>
      </w:r>
    </w:p>
    <w:p w14:paraId="6F39E7D5" w14:textId="77777777" w:rsidR="00CA59A2" w:rsidRPr="007A6CBB" w:rsidRDefault="00CA59A2" w:rsidP="007A6CBB">
      <w:pPr>
        <w:pStyle w:val="Textonotapie"/>
        <w:tabs>
          <w:tab w:val="left" w:pos="567"/>
        </w:tabs>
        <w:ind w:left="567" w:right="-1" w:hanging="567"/>
        <w:jc w:val="both"/>
        <w:rPr>
          <w:rFonts w:ascii="Arial Narrow" w:eastAsia="Arial Narrow" w:hAnsi="Arial Narrow" w:cs="Arial"/>
          <w:szCs w:val="16"/>
        </w:rPr>
      </w:pPr>
      <w:r w:rsidRPr="007A6CBB">
        <w:rPr>
          <w:rFonts w:ascii="Arial Narrow" w:eastAsia="Arial Narrow" w:hAnsi="Arial Narrow" w:cs="Arial"/>
          <w:szCs w:val="16"/>
        </w:rPr>
        <w:t xml:space="preserve">. </w:t>
      </w:r>
    </w:p>
    <w:p w14:paraId="1B7FD4A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3">
    <w:p w14:paraId="120D273E" w14:textId="77777777" w:rsidR="00CA59A2" w:rsidRPr="007A6CBB" w:rsidRDefault="00CA59A2" w:rsidP="007A6CBB">
      <w:pPr>
        <w:pStyle w:val="Textonotapie"/>
        <w:ind w:left="567" w:hanging="567"/>
        <w:jc w:val="both"/>
        <w:rPr>
          <w:rFonts w:ascii="Arial Narrow" w:hAnsi="Arial Narrow" w:cs="Arial"/>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7A6CBB">
        <w:rPr>
          <w:rFonts w:ascii="Arial Narrow" w:hAnsi="Arial Narrow" w:cs="Arial"/>
          <w:szCs w:val="16"/>
        </w:rPr>
        <w:tab/>
        <w:t>El número de trabajadores se atenderá siempre que la empresa haya sido constituida antes de la vigencia de la Ley Nº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DA72794" w14:textId="77777777" w:rsidR="00CA59A2" w:rsidRPr="00C20DB0" w:rsidRDefault="00CA59A2" w:rsidP="00EB4D2D">
      <w:pPr>
        <w:pStyle w:val="Textonotapie"/>
        <w:ind w:left="567" w:hanging="567"/>
        <w:jc w:val="both"/>
        <w:rPr>
          <w:rFonts w:ascii="Arial Narrow" w:hAnsi="Arial Narrow" w:cs="Arial"/>
          <w:sz w:val="16"/>
          <w:szCs w:val="16"/>
        </w:rPr>
      </w:pPr>
    </w:p>
  </w:footnote>
  <w:footnote w:id="4">
    <w:p w14:paraId="30A61921" w14:textId="77777777" w:rsidR="00CA59A2" w:rsidRPr="007A6CBB" w:rsidRDefault="00CA59A2" w:rsidP="007A6CBB">
      <w:pPr>
        <w:pStyle w:val="Textonotapie"/>
        <w:ind w:left="567" w:hanging="567"/>
        <w:jc w:val="both"/>
        <w:rPr>
          <w:rFonts w:ascii="Arial Narrow" w:hAnsi="Arial Narrow" w:cs="Arial"/>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7A6CBB">
        <w:rPr>
          <w:rFonts w:ascii="Arial Narrow" w:hAnsi="Arial Narrow" w:cs="Arial"/>
          <w:szCs w:val="16"/>
        </w:rPr>
        <w:tab/>
      </w:r>
      <w:r w:rsidRPr="007A6CBB">
        <w:rPr>
          <w:rFonts w:ascii="Arial Narrow" w:eastAsia="Arial Narrow" w:hAnsi="Arial Narrow" w:cs="Arial"/>
          <w:b/>
          <w:szCs w:val="16"/>
        </w:rPr>
        <w:t>LEY</w:t>
      </w:r>
      <w:r w:rsidR="003A71B1" w:rsidRPr="007A6CBB">
        <w:rPr>
          <w:rFonts w:ascii="Arial Narrow" w:eastAsia="Arial Narrow" w:hAnsi="Arial Narrow" w:cs="Arial"/>
          <w:b/>
          <w:szCs w:val="16"/>
        </w:rPr>
        <w:t xml:space="preserve"> 29571</w:t>
      </w:r>
      <w:r w:rsidRPr="007A6CBB">
        <w:rPr>
          <w:rFonts w:ascii="Arial Narrow" w:eastAsia="Arial Narrow" w:hAnsi="Arial Narrow" w:cs="Arial"/>
          <w:b/>
          <w:szCs w:val="16"/>
        </w:rPr>
        <w:t>, CÓDIGO DE PROTECCIÓN Y DEFENSA DEL CONSUMIDOR</w:t>
      </w:r>
      <w:r w:rsidRPr="007A6CBB">
        <w:rPr>
          <w:rFonts w:ascii="Arial Narrow" w:hAnsi="Arial Narrow" w:cs="Arial"/>
          <w:b/>
          <w:bCs/>
          <w:szCs w:val="16"/>
        </w:rPr>
        <w:t xml:space="preserve">, </w:t>
      </w:r>
      <w:r w:rsidRPr="007A6CBB">
        <w:rPr>
          <w:rFonts w:ascii="Arial Narrow" w:hAnsi="Arial Narrow" w:cs="Arial"/>
          <w:b/>
          <w:szCs w:val="16"/>
        </w:rPr>
        <w:t>publicado el 2 de setiembre de 2010 y modificado por Decreto Legislativo N 1308</w:t>
      </w:r>
    </w:p>
    <w:p w14:paraId="6F1EE1F3" w14:textId="77777777" w:rsidR="00CA59A2" w:rsidRPr="007A6CBB" w:rsidRDefault="00CA59A2" w:rsidP="007A6CBB">
      <w:pPr>
        <w:pStyle w:val="Textonotapie"/>
        <w:ind w:left="567" w:hanging="567"/>
        <w:jc w:val="both"/>
        <w:rPr>
          <w:rFonts w:ascii="Arial Narrow" w:hAnsi="Arial Narrow" w:cs="Arial"/>
          <w:b/>
          <w:bCs/>
          <w:szCs w:val="16"/>
        </w:rPr>
      </w:pPr>
      <w:r w:rsidRPr="007A6CBB">
        <w:rPr>
          <w:rFonts w:ascii="Arial Narrow" w:hAnsi="Arial Narrow" w:cs="Arial"/>
          <w:szCs w:val="16"/>
        </w:rPr>
        <w:tab/>
      </w:r>
      <w:r w:rsidRPr="007A6CBB">
        <w:rPr>
          <w:rFonts w:ascii="Arial Narrow" w:hAnsi="Arial Narrow" w:cs="Arial"/>
          <w:b/>
          <w:bCs/>
          <w:szCs w:val="16"/>
        </w:rPr>
        <w:t>Artículo 110.- Sanciones Administrativas</w:t>
      </w:r>
    </w:p>
    <w:p w14:paraId="0ECF14C0" w14:textId="77777777" w:rsidR="00CA59A2" w:rsidRPr="007A6CBB" w:rsidRDefault="00CA59A2" w:rsidP="007A6CBB">
      <w:pPr>
        <w:autoSpaceDE w:val="0"/>
        <w:autoSpaceDN w:val="0"/>
        <w:adjustRightInd w:val="0"/>
        <w:spacing w:after="0" w:line="240" w:lineRule="auto"/>
        <w:ind w:left="567"/>
        <w:jc w:val="both"/>
        <w:rPr>
          <w:rFonts w:ascii="Arial Narrow" w:hAnsi="Arial Narrow" w:cs="Arial"/>
          <w:sz w:val="20"/>
          <w:szCs w:val="16"/>
          <w:lang w:eastAsia="es-PE"/>
        </w:rPr>
      </w:pPr>
      <w:r w:rsidRPr="007A6CBB">
        <w:rPr>
          <w:rFonts w:ascii="Arial Narrow" w:hAnsi="Arial Narrow" w:cs="Arial"/>
          <w:sz w:val="20"/>
          <w:szCs w:val="16"/>
          <w:lang w:eastAsia="es-PE"/>
        </w:rPr>
        <w:t>(…)</w:t>
      </w:r>
    </w:p>
    <w:p w14:paraId="395BCBC3" w14:textId="77777777" w:rsidR="00CA59A2" w:rsidRPr="007A6CBB" w:rsidRDefault="00CA59A2" w:rsidP="007A6CBB">
      <w:pPr>
        <w:autoSpaceDE w:val="0"/>
        <w:autoSpaceDN w:val="0"/>
        <w:adjustRightInd w:val="0"/>
        <w:spacing w:after="0" w:line="240" w:lineRule="auto"/>
        <w:ind w:left="567"/>
        <w:jc w:val="both"/>
        <w:rPr>
          <w:rFonts w:ascii="Arial Narrow" w:hAnsi="Arial Narrow" w:cs="Arial"/>
          <w:sz w:val="20"/>
          <w:szCs w:val="16"/>
          <w:lang w:eastAsia="es-PE"/>
        </w:rPr>
      </w:pPr>
      <w:r w:rsidRPr="007A6CBB">
        <w:rPr>
          <w:rFonts w:ascii="Arial Narrow" w:hAnsi="Arial Narrow" w:cs="Arial"/>
          <w:sz w:val="20"/>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1A4D2A8" w14:textId="77777777" w:rsidR="00CA59A2" w:rsidRPr="007A6CBB" w:rsidRDefault="00CA59A2" w:rsidP="007A6CBB">
      <w:pPr>
        <w:autoSpaceDE w:val="0"/>
        <w:autoSpaceDN w:val="0"/>
        <w:adjustRightInd w:val="0"/>
        <w:spacing w:after="0" w:line="240" w:lineRule="auto"/>
        <w:ind w:left="567"/>
        <w:jc w:val="both"/>
        <w:rPr>
          <w:rFonts w:ascii="Arial Narrow" w:hAnsi="Arial Narrow" w:cs="Arial"/>
          <w:sz w:val="20"/>
          <w:szCs w:val="16"/>
          <w:lang w:eastAsia="es-PE"/>
        </w:rPr>
      </w:pPr>
      <w:r w:rsidRPr="007A6CBB">
        <w:rPr>
          <w:rFonts w:ascii="Arial Narrow" w:hAnsi="Arial Narrow" w:cs="Arial"/>
          <w:sz w:val="20"/>
          <w:szCs w:val="16"/>
          <w:lang w:eastAsia="es-PE"/>
        </w:rPr>
        <w:t>(…).</w:t>
      </w:r>
    </w:p>
    <w:p w14:paraId="7B323033"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5">
    <w:p w14:paraId="4F700512" w14:textId="77777777" w:rsidR="00CA59A2" w:rsidRPr="007A6CBB" w:rsidRDefault="00CA59A2" w:rsidP="007A6CBB">
      <w:pPr>
        <w:spacing w:after="0" w:line="240" w:lineRule="auto"/>
        <w:ind w:left="567" w:hanging="567"/>
        <w:jc w:val="both"/>
        <w:rPr>
          <w:rFonts w:ascii="Arial Narrow" w:hAnsi="Arial Narrow" w:cs="Arial"/>
          <w:sz w:val="20"/>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7A6CBB">
        <w:rPr>
          <w:rFonts w:ascii="Arial Narrow" w:hAnsi="Arial Narrow" w:cs="Arial"/>
          <w:sz w:val="20"/>
          <w:szCs w:val="16"/>
          <w:vertAlign w:val="superscript"/>
        </w:rPr>
        <w:t xml:space="preserve"> </w:t>
      </w:r>
      <w:r w:rsidRPr="007A6CBB">
        <w:rPr>
          <w:rFonts w:ascii="Arial Narrow" w:hAnsi="Arial Narrow" w:cs="Arial"/>
          <w:sz w:val="20"/>
          <w:szCs w:val="16"/>
        </w:rPr>
        <w:t xml:space="preserve">     </w:t>
      </w:r>
      <w:r w:rsidRPr="007A6CBB">
        <w:rPr>
          <w:rFonts w:ascii="Arial Narrow" w:hAnsi="Arial Narrow" w:cs="Arial"/>
          <w:sz w:val="20"/>
          <w:szCs w:val="16"/>
        </w:rPr>
        <w:tab/>
      </w:r>
      <w:r w:rsidRPr="007A6CBB">
        <w:rPr>
          <w:rFonts w:ascii="Arial Narrow" w:eastAsia="Arial Narrow" w:hAnsi="Arial Narrow" w:cs="Arial"/>
          <w:b/>
          <w:sz w:val="20"/>
          <w:szCs w:val="16"/>
        </w:rPr>
        <w:t>LEY</w:t>
      </w:r>
      <w:r w:rsidR="003A71B1" w:rsidRPr="007A6CBB">
        <w:rPr>
          <w:rFonts w:ascii="Arial Narrow" w:eastAsia="Arial Narrow" w:hAnsi="Arial Narrow" w:cs="Arial"/>
          <w:b/>
          <w:sz w:val="20"/>
          <w:szCs w:val="16"/>
        </w:rPr>
        <w:t xml:space="preserve"> 29571</w:t>
      </w:r>
      <w:r w:rsidRPr="007A6CBB">
        <w:rPr>
          <w:rFonts w:ascii="Arial Narrow" w:eastAsia="Arial Narrow" w:hAnsi="Arial Narrow" w:cs="Arial"/>
          <w:b/>
          <w:sz w:val="20"/>
          <w:szCs w:val="16"/>
        </w:rPr>
        <w:t>, CÓDIGO DE PROTECCIÓN Y DEFENSA DEL CONSUMIDOR</w:t>
      </w:r>
      <w:r w:rsidRPr="007A6CBB">
        <w:rPr>
          <w:rFonts w:ascii="Arial Narrow" w:hAnsi="Arial Narrow" w:cs="Arial"/>
          <w:b/>
          <w:bCs/>
          <w:sz w:val="20"/>
          <w:szCs w:val="16"/>
        </w:rPr>
        <w:t xml:space="preserve">, </w:t>
      </w:r>
      <w:r w:rsidRPr="007A6CBB">
        <w:rPr>
          <w:rFonts w:ascii="Arial Narrow" w:hAnsi="Arial Narrow" w:cs="Arial"/>
          <w:b/>
          <w:sz w:val="20"/>
          <w:szCs w:val="16"/>
        </w:rPr>
        <w:t>publicado el 2 de setiembre de 2010 y modificado por Decreto Legislativo N 1308</w:t>
      </w:r>
    </w:p>
    <w:p w14:paraId="177F56CA" w14:textId="77777777" w:rsidR="00CA59A2" w:rsidRPr="007A6CBB" w:rsidRDefault="00CA59A2" w:rsidP="007A6CBB">
      <w:pPr>
        <w:spacing w:after="0" w:line="240" w:lineRule="auto"/>
        <w:ind w:left="567" w:hanging="567"/>
        <w:jc w:val="both"/>
        <w:rPr>
          <w:rFonts w:ascii="Arial Narrow" w:eastAsia="Arial Narrow" w:hAnsi="Arial Narrow" w:cs="Arial"/>
          <w:b/>
          <w:sz w:val="20"/>
          <w:szCs w:val="16"/>
        </w:rPr>
      </w:pPr>
      <w:r w:rsidRPr="007A6CBB">
        <w:rPr>
          <w:rFonts w:ascii="Arial Narrow" w:eastAsia="Arial Narrow" w:hAnsi="Arial Narrow" w:cs="Arial"/>
          <w:b/>
          <w:sz w:val="20"/>
          <w:szCs w:val="16"/>
        </w:rPr>
        <w:tab/>
        <w:t>Artículo 110.- Sanciones administrativas</w:t>
      </w:r>
    </w:p>
    <w:p w14:paraId="0B312F4B" w14:textId="77777777" w:rsidR="00CA59A2" w:rsidRPr="007A6CBB" w:rsidRDefault="00CA59A2" w:rsidP="007A6CBB">
      <w:pPr>
        <w:spacing w:after="0" w:line="240" w:lineRule="auto"/>
        <w:ind w:left="567"/>
        <w:jc w:val="both"/>
        <w:rPr>
          <w:rFonts w:ascii="Arial Narrow" w:hAnsi="Arial Narrow" w:cs="Arial"/>
          <w:sz w:val="20"/>
          <w:szCs w:val="16"/>
        </w:rPr>
      </w:pPr>
      <w:r w:rsidRPr="007A6CBB">
        <w:rPr>
          <w:rFonts w:ascii="Arial Narrow" w:eastAsia="Arial Narrow" w:hAnsi="Arial Narrow" w:cs="Arial"/>
          <w:sz w:val="20"/>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8F014A7" w14:textId="77777777" w:rsidR="00CA59A2" w:rsidRPr="007A6CBB" w:rsidRDefault="00CA59A2" w:rsidP="007A6CBB">
      <w:pPr>
        <w:numPr>
          <w:ilvl w:val="0"/>
          <w:numId w:val="2"/>
        </w:numPr>
        <w:spacing w:after="0" w:line="240" w:lineRule="auto"/>
        <w:ind w:left="426" w:firstLine="141"/>
        <w:jc w:val="both"/>
        <w:rPr>
          <w:rFonts w:ascii="Arial Narrow" w:eastAsia="Arial Narrow" w:hAnsi="Arial Narrow" w:cs="Arial"/>
          <w:sz w:val="20"/>
          <w:szCs w:val="16"/>
        </w:rPr>
      </w:pPr>
      <w:r w:rsidRPr="007A6CBB">
        <w:rPr>
          <w:rFonts w:ascii="Arial Narrow" w:eastAsia="Arial Narrow" w:hAnsi="Arial Narrow" w:cs="Arial"/>
          <w:sz w:val="20"/>
          <w:szCs w:val="16"/>
        </w:rPr>
        <w:t>Infracciones leves, con una amonestación o con una multa de hasta cincuenta (50) UIT.</w:t>
      </w:r>
    </w:p>
    <w:p w14:paraId="2D5544A7" w14:textId="77777777" w:rsidR="00CA59A2" w:rsidRPr="007A6CBB" w:rsidRDefault="00CA59A2" w:rsidP="007A6CBB">
      <w:pPr>
        <w:numPr>
          <w:ilvl w:val="0"/>
          <w:numId w:val="2"/>
        </w:numPr>
        <w:spacing w:after="0" w:line="240" w:lineRule="auto"/>
        <w:ind w:left="426" w:firstLine="141"/>
        <w:jc w:val="both"/>
        <w:rPr>
          <w:rFonts w:ascii="Arial Narrow" w:eastAsia="Arial Narrow" w:hAnsi="Arial Narrow" w:cs="Arial"/>
          <w:sz w:val="20"/>
          <w:szCs w:val="16"/>
        </w:rPr>
      </w:pPr>
      <w:r w:rsidRPr="007A6CBB">
        <w:rPr>
          <w:rFonts w:ascii="Arial Narrow" w:eastAsia="Arial Narrow" w:hAnsi="Arial Narrow" w:cs="Arial"/>
          <w:sz w:val="20"/>
          <w:szCs w:val="16"/>
        </w:rPr>
        <w:t>Infracciones graves, con una multa de hasta ciento cincuenta (150) UIT.</w:t>
      </w:r>
    </w:p>
    <w:p w14:paraId="3B37896B" w14:textId="77777777" w:rsidR="00CA59A2" w:rsidRPr="007A6CBB" w:rsidRDefault="00CA59A2" w:rsidP="007A6CBB">
      <w:pPr>
        <w:numPr>
          <w:ilvl w:val="0"/>
          <w:numId w:val="2"/>
        </w:numPr>
        <w:spacing w:after="0" w:line="240" w:lineRule="auto"/>
        <w:ind w:left="426" w:firstLine="141"/>
        <w:jc w:val="both"/>
        <w:rPr>
          <w:rFonts w:ascii="Arial Narrow" w:eastAsia="Arial Narrow" w:hAnsi="Arial Narrow" w:cs="Arial"/>
          <w:sz w:val="20"/>
          <w:szCs w:val="16"/>
        </w:rPr>
      </w:pPr>
      <w:r w:rsidRPr="007A6CBB">
        <w:rPr>
          <w:rFonts w:ascii="Arial Narrow" w:eastAsia="Arial Narrow" w:hAnsi="Arial Narrow" w:cs="Arial"/>
          <w:sz w:val="20"/>
          <w:szCs w:val="16"/>
        </w:rPr>
        <w:t>Infracciones muy graves, con una multa de hasta cuatrocientos cincuenta (450) UIT.</w:t>
      </w:r>
    </w:p>
    <w:p w14:paraId="5C9FA40A" w14:textId="77777777" w:rsidR="00CA59A2" w:rsidRPr="00C20DB0" w:rsidRDefault="00CA59A2" w:rsidP="007A6CBB">
      <w:pPr>
        <w:spacing w:after="0" w:line="240" w:lineRule="auto"/>
        <w:ind w:left="567"/>
        <w:jc w:val="both"/>
        <w:rPr>
          <w:rFonts w:ascii="Arial Narrow" w:eastAsia="Arial Narrow" w:hAnsi="Arial Narrow" w:cs="Arial"/>
          <w:sz w:val="16"/>
          <w:szCs w:val="16"/>
        </w:rPr>
      </w:pPr>
      <w:r w:rsidRPr="007A6CBB">
        <w:rPr>
          <w:rFonts w:ascii="Arial Narrow" w:eastAsia="Arial Narrow" w:hAnsi="Arial Narrow" w:cs="Arial"/>
          <w:sz w:val="20"/>
          <w:szCs w:val="16"/>
        </w:rPr>
        <w:t>(…).</w:t>
      </w:r>
    </w:p>
  </w:footnote>
  <w:footnote w:id="6">
    <w:p w14:paraId="7364E920" w14:textId="77777777" w:rsidR="00A008E2" w:rsidRPr="007A6CBB" w:rsidRDefault="00CA59A2" w:rsidP="007A6CBB">
      <w:pPr>
        <w:spacing w:after="0" w:line="240" w:lineRule="auto"/>
        <w:ind w:left="567" w:hanging="567"/>
        <w:jc w:val="both"/>
        <w:rPr>
          <w:rFonts w:ascii="Arial Narrow" w:hAnsi="Arial Narrow" w:cs="Arial"/>
          <w:b/>
          <w:sz w:val="20"/>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7A6CBB">
        <w:rPr>
          <w:rFonts w:ascii="Arial Narrow" w:hAnsi="Arial Narrow" w:cs="Arial"/>
          <w:sz w:val="20"/>
          <w:szCs w:val="16"/>
        </w:rPr>
        <w:t xml:space="preserve">       </w:t>
      </w:r>
      <w:r w:rsidRPr="007A6CBB">
        <w:rPr>
          <w:rFonts w:ascii="Arial Narrow" w:hAnsi="Arial Narrow" w:cs="Arial"/>
          <w:sz w:val="20"/>
          <w:szCs w:val="16"/>
        </w:rPr>
        <w:tab/>
      </w:r>
      <w:r w:rsidR="00A008E2" w:rsidRPr="007A6CBB">
        <w:rPr>
          <w:rFonts w:ascii="Arial Narrow" w:eastAsia="Arial Narrow" w:hAnsi="Arial Narrow" w:cs="Arial"/>
          <w:b/>
          <w:sz w:val="20"/>
          <w:szCs w:val="16"/>
        </w:rPr>
        <w:t>LEY 29571, CÓDIGO DE PROTECCIÓN Y DEFENSA DEL CONSUMIDOR</w:t>
      </w:r>
      <w:r w:rsidR="00A008E2" w:rsidRPr="007A6CBB">
        <w:rPr>
          <w:rFonts w:ascii="Arial Narrow" w:hAnsi="Arial Narrow" w:cs="Arial"/>
          <w:b/>
          <w:bCs/>
          <w:sz w:val="20"/>
          <w:szCs w:val="16"/>
        </w:rPr>
        <w:t xml:space="preserve">, </w:t>
      </w:r>
      <w:r w:rsidR="00A008E2" w:rsidRPr="007A6CBB">
        <w:rPr>
          <w:rFonts w:ascii="Arial Narrow" w:hAnsi="Arial Narrow" w:cs="Arial"/>
          <w:b/>
          <w:sz w:val="20"/>
          <w:szCs w:val="16"/>
        </w:rPr>
        <w:t>publicado el 2 de setiembre de 2010 y modificado por Decreto Legislativo N 1308</w:t>
      </w:r>
    </w:p>
    <w:p w14:paraId="01505422"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b/>
          <w:sz w:val="20"/>
          <w:szCs w:val="16"/>
        </w:rPr>
        <w:t>Artículo 114.- Medidas correctivas</w:t>
      </w:r>
    </w:p>
    <w:p w14:paraId="01B85839"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Sin perjuicio de la sanción administrativa que corresponda al proveedor por una infracción al presente Código, el Indecopi puede dictar, en calidad de mandatos, medidas correctivas reparadoras y complementarias. </w:t>
      </w:r>
    </w:p>
    <w:p w14:paraId="181D3B35" w14:textId="77777777" w:rsidR="00CA59A2" w:rsidRPr="007A6CBB" w:rsidRDefault="00CA59A2" w:rsidP="007A6CBB">
      <w:pPr>
        <w:spacing w:after="0" w:line="240" w:lineRule="auto"/>
        <w:ind w:left="567" w:hanging="567"/>
        <w:jc w:val="both"/>
        <w:rPr>
          <w:rFonts w:ascii="Arial Narrow" w:eastAsia="Arial Narrow" w:hAnsi="Arial Narrow" w:cs="Arial"/>
          <w:sz w:val="20"/>
          <w:szCs w:val="16"/>
        </w:rPr>
      </w:pPr>
      <w:r w:rsidRPr="007A6CBB">
        <w:rPr>
          <w:rFonts w:ascii="Arial Narrow" w:eastAsia="Arial Narrow" w:hAnsi="Arial Narrow" w:cs="Arial"/>
          <w:sz w:val="20"/>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34751D95" w14:textId="77777777" w:rsidR="00CA59A2" w:rsidRPr="007A6CBB" w:rsidRDefault="00CA59A2" w:rsidP="007A6CBB">
      <w:pPr>
        <w:spacing w:after="0" w:line="240" w:lineRule="auto"/>
        <w:ind w:left="567" w:hanging="567"/>
        <w:jc w:val="both"/>
        <w:rPr>
          <w:rFonts w:ascii="Arial Narrow" w:eastAsia="Arial Narrow" w:hAnsi="Arial Narrow" w:cs="Arial"/>
          <w:sz w:val="20"/>
          <w:szCs w:val="16"/>
        </w:rPr>
      </w:pPr>
      <w:r w:rsidRPr="007A6CBB">
        <w:rPr>
          <w:rFonts w:ascii="Arial Narrow" w:eastAsia="Arial Narrow" w:hAnsi="Arial Narrow" w:cs="Arial"/>
          <w:sz w:val="20"/>
          <w:szCs w:val="16"/>
        </w:rPr>
        <w:tab/>
        <w:t>Las medidas correctivas complementarias pueden dictarse de oficio o a pedido de parte.</w:t>
      </w:r>
    </w:p>
    <w:p w14:paraId="0BFCA699" w14:textId="77777777" w:rsidR="00CA59A2" w:rsidRPr="007A6CBB" w:rsidRDefault="00CA59A2" w:rsidP="007A6CBB">
      <w:pPr>
        <w:spacing w:after="0" w:line="240" w:lineRule="auto"/>
        <w:ind w:left="567" w:hanging="567"/>
        <w:jc w:val="both"/>
        <w:rPr>
          <w:rFonts w:ascii="Arial Narrow" w:hAnsi="Arial Narrow" w:cs="Arial"/>
          <w:sz w:val="20"/>
          <w:szCs w:val="16"/>
        </w:rPr>
      </w:pPr>
    </w:p>
    <w:p w14:paraId="76900605" w14:textId="77777777" w:rsidR="00CA59A2" w:rsidRPr="007A6CBB" w:rsidRDefault="00CA59A2" w:rsidP="007A6CBB">
      <w:pPr>
        <w:spacing w:after="0" w:line="240" w:lineRule="auto"/>
        <w:ind w:left="567" w:hanging="567"/>
        <w:jc w:val="both"/>
        <w:rPr>
          <w:rFonts w:ascii="Arial Narrow" w:hAnsi="Arial Narrow" w:cs="Arial"/>
          <w:sz w:val="20"/>
          <w:szCs w:val="16"/>
        </w:rPr>
      </w:pPr>
      <w:r w:rsidRPr="007A6CBB">
        <w:rPr>
          <w:rFonts w:ascii="Arial Narrow" w:eastAsia="Arial Narrow" w:hAnsi="Arial Narrow" w:cs="Arial"/>
          <w:b/>
          <w:sz w:val="20"/>
          <w:szCs w:val="16"/>
        </w:rPr>
        <w:tab/>
        <w:t>Artículo 115.- Medidas correctivas reparadoras</w:t>
      </w:r>
    </w:p>
    <w:p w14:paraId="0E43EC7C" w14:textId="77777777" w:rsidR="00CA59A2" w:rsidRPr="007A6CBB" w:rsidRDefault="00CA59A2" w:rsidP="007A6CBB">
      <w:pPr>
        <w:spacing w:after="0" w:line="240" w:lineRule="auto"/>
        <w:ind w:left="567" w:hanging="283"/>
        <w:jc w:val="both"/>
        <w:rPr>
          <w:rFonts w:ascii="Arial Narrow" w:eastAsia="Arial Narrow" w:hAnsi="Arial Narrow" w:cs="Arial"/>
          <w:sz w:val="20"/>
          <w:szCs w:val="16"/>
        </w:rPr>
      </w:pPr>
      <w:r w:rsidRPr="007A6CBB">
        <w:rPr>
          <w:rFonts w:ascii="Arial Narrow" w:eastAsia="Arial Narrow" w:hAnsi="Arial Narrow" w:cs="Arial"/>
          <w:sz w:val="20"/>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ED41A40" w14:textId="77777777" w:rsidR="00CA59A2" w:rsidRPr="007A6CBB" w:rsidRDefault="00CA59A2" w:rsidP="007A6CBB">
      <w:pPr>
        <w:numPr>
          <w:ilvl w:val="0"/>
          <w:numId w:val="1"/>
        </w:numPr>
        <w:spacing w:after="0" w:line="240" w:lineRule="auto"/>
        <w:ind w:left="567" w:firstLine="0"/>
        <w:jc w:val="both"/>
        <w:rPr>
          <w:rFonts w:ascii="Arial Narrow" w:eastAsia="Arial Narrow" w:hAnsi="Arial Narrow" w:cs="Arial"/>
          <w:sz w:val="20"/>
          <w:szCs w:val="16"/>
        </w:rPr>
      </w:pPr>
      <w:r w:rsidRPr="007A6CBB">
        <w:rPr>
          <w:rFonts w:ascii="Arial Narrow" w:eastAsia="Arial Narrow" w:hAnsi="Arial Narrow" w:cs="Arial"/>
          <w:sz w:val="20"/>
          <w:szCs w:val="16"/>
        </w:rPr>
        <w:t>Reparar productos.</w:t>
      </w:r>
    </w:p>
    <w:p w14:paraId="09FFF4DA" w14:textId="77777777" w:rsidR="00CA59A2" w:rsidRPr="007A6CBB" w:rsidRDefault="00CA59A2" w:rsidP="007A6CBB">
      <w:pPr>
        <w:numPr>
          <w:ilvl w:val="0"/>
          <w:numId w:val="1"/>
        </w:numPr>
        <w:spacing w:after="0" w:line="240" w:lineRule="auto"/>
        <w:ind w:left="567" w:firstLine="0"/>
        <w:jc w:val="both"/>
        <w:rPr>
          <w:rFonts w:ascii="Arial Narrow" w:eastAsia="Arial Narrow" w:hAnsi="Arial Narrow" w:cs="Arial"/>
          <w:sz w:val="20"/>
          <w:szCs w:val="16"/>
        </w:rPr>
      </w:pPr>
      <w:r w:rsidRPr="007A6CBB">
        <w:rPr>
          <w:rFonts w:ascii="Arial Narrow" w:eastAsia="Arial Narrow" w:hAnsi="Arial Narrow" w:cs="Arial"/>
          <w:sz w:val="20"/>
          <w:szCs w:val="16"/>
        </w:rPr>
        <w:t>Cambiar productos por otros de idénticas o similares características, cuando la reparación no sea posible o no resulte razonable según las circunstancias.</w:t>
      </w:r>
    </w:p>
    <w:p w14:paraId="3B60FC61" w14:textId="77777777" w:rsidR="00CA59A2" w:rsidRPr="007A6CBB" w:rsidRDefault="00CA59A2" w:rsidP="007A6CBB">
      <w:pPr>
        <w:numPr>
          <w:ilvl w:val="0"/>
          <w:numId w:val="1"/>
        </w:numPr>
        <w:spacing w:after="0" w:line="240" w:lineRule="auto"/>
        <w:ind w:left="567" w:firstLine="0"/>
        <w:jc w:val="both"/>
        <w:rPr>
          <w:rFonts w:ascii="Arial Narrow" w:eastAsia="Arial Narrow" w:hAnsi="Arial Narrow" w:cs="Arial"/>
          <w:sz w:val="20"/>
          <w:szCs w:val="16"/>
        </w:rPr>
      </w:pPr>
      <w:r w:rsidRPr="007A6CBB">
        <w:rPr>
          <w:rFonts w:ascii="Arial Narrow" w:eastAsia="Arial Narrow" w:hAnsi="Arial Narrow" w:cs="Arial"/>
          <w:sz w:val="20"/>
          <w:szCs w:val="16"/>
        </w:rPr>
        <w:t>Entregar un producto de idénticas características o, cuando esto no resulte posible, de similares características, en los supuestos de pérdida o deterioro atribuible al proveedor y siempre que exista interés del consumidor.</w:t>
      </w:r>
    </w:p>
    <w:p w14:paraId="12BEDD06" w14:textId="77777777" w:rsidR="00CA59A2" w:rsidRPr="007A6CBB" w:rsidRDefault="00CA59A2" w:rsidP="007A6CBB">
      <w:pPr>
        <w:numPr>
          <w:ilvl w:val="0"/>
          <w:numId w:val="1"/>
        </w:numPr>
        <w:spacing w:after="0" w:line="240" w:lineRule="auto"/>
        <w:ind w:left="567" w:firstLine="0"/>
        <w:jc w:val="both"/>
        <w:rPr>
          <w:rFonts w:ascii="Arial Narrow" w:eastAsia="Arial Narrow" w:hAnsi="Arial Narrow" w:cs="Arial"/>
          <w:sz w:val="20"/>
          <w:szCs w:val="16"/>
        </w:rPr>
      </w:pPr>
      <w:r w:rsidRPr="007A6CBB">
        <w:rPr>
          <w:rFonts w:ascii="Arial Narrow" w:eastAsia="Arial Narrow" w:hAnsi="Arial Narrow" w:cs="Arial"/>
          <w:sz w:val="20"/>
          <w:szCs w:val="16"/>
        </w:rPr>
        <w:t>Cumplir con ejecutar la prestación u obligación asumida; y si esto no resulte posible o no sea razonable, otra de efectos equivalentes, incluyendo prestaciones dinerarias.</w:t>
      </w:r>
    </w:p>
    <w:p w14:paraId="3F31E31B" w14:textId="77777777" w:rsidR="00CA59A2" w:rsidRPr="007A6CBB" w:rsidRDefault="00CA59A2" w:rsidP="007A6CBB">
      <w:pPr>
        <w:numPr>
          <w:ilvl w:val="0"/>
          <w:numId w:val="1"/>
        </w:numPr>
        <w:spacing w:after="0" w:line="240" w:lineRule="auto"/>
        <w:ind w:left="567" w:firstLine="0"/>
        <w:jc w:val="both"/>
        <w:rPr>
          <w:rFonts w:ascii="Arial Narrow" w:eastAsia="Arial Narrow" w:hAnsi="Arial Narrow" w:cs="Arial"/>
          <w:sz w:val="20"/>
          <w:szCs w:val="16"/>
        </w:rPr>
      </w:pPr>
      <w:r w:rsidRPr="007A6CBB">
        <w:rPr>
          <w:rFonts w:ascii="Arial Narrow" w:eastAsia="Arial Narrow" w:hAnsi="Arial Narrow" w:cs="Arial"/>
          <w:sz w:val="20"/>
          <w:szCs w:val="16"/>
        </w:rPr>
        <w:t>Cumplir con ejecutar otras prestaciones u obligaciones legales o convencionales a su cargo.</w:t>
      </w:r>
    </w:p>
    <w:p w14:paraId="77E257ED" w14:textId="77777777" w:rsidR="00CA59A2" w:rsidRPr="007A6CBB" w:rsidRDefault="00CA59A2" w:rsidP="007A6CBB">
      <w:pPr>
        <w:numPr>
          <w:ilvl w:val="0"/>
          <w:numId w:val="1"/>
        </w:numPr>
        <w:spacing w:after="0" w:line="240" w:lineRule="auto"/>
        <w:ind w:left="567" w:firstLine="0"/>
        <w:jc w:val="both"/>
        <w:rPr>
          <w:rFonts w:ascii="Arial Narrow" w:eastAsia="Arial Narrow" w:hAnsi="Arial Narrow" w:cs="Arial"/>
          <w:sz w:val="20"/>
          <w:szCs w:val="16"/>
        </w:rPr>
      </w:pPr>
      <w:r w:rsidRPr="007A6CBB">
        <w:rPr>
          <w:rFonts w:ascii="Arial Narrow" w:eastAsia="Arial Narrow" w:hAnsi="Arial Narrow" w:cs="Arial"/>
          <w:sz w:val="20"/>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41540620" w14:textId="77777777" w:rsidR="00CA59A2" w:rsidRPr="007A6CBB" w:rsidRDefault="00CA59A2" w:rsidP="007A6CBB">
      <w:pPr>
        <w:numPr>
          <w:ilvl w:val="0"/>
          <w:numId w:val="1"/>
        </w:numPr>
        <w:spacing w:after="0" w:line="240" w:lineRule="auto"/>
        <w:ind w:left="567" w:firstLine="0"/>
        <w:jc w:val="both"/>
        <w:rPr>
          <w:rFonts w:ascii="Arial Narrow" w:eastAsia="Arial Narrow" w:hAnsi="Arial Narrow" w:cs="Arial"/>
          <w:sz w:val="20"/>
          <w:szCs w:val="16"/>
        </w:rPr>
      </w:pPr>
      <w:r w:rsidRPr="007A6CBB">
        <w:rPr>
          <w:rFonts w:ascii="Arial Narrow" w:eastAsia="Arial Narrow" w:hAnsi="Arial Narrow" w:cs="Arial"/>
          <w:sz w:val="20"/>
          <w:szCs w:val="16"/>
        </w:rPr>
        <w:t>En los supuestos de pagos indebidos o en exceso, devolver estos montos, más los intereses correspondientes.</w:t>
      </w:r>
    </w:p>
    <w:p w14:paraId="4F7BCA2C" w14:textId="77777777" w:rsidR="00CA59A2" w:rsidRPr="007A6CBB" w:rsidRDefault="00CA59A2" w:rsidP="007A6CBB">
      <w:pPr>
        <w:pStyle w:val="Sinespaciado"/>
        <w:ind w:firstLine="567"/>
        <w:jc w:val="both"/>
        <w:rPr>
          <w:rFonts w:ascii="Arial Narrow" w:hAnsi="Arial Narrow" w:cs="Arial"/>
          <w:sz w:val="20"/>
          <w:szCs w:val="16"/>
        </w:rPr>
      </w:pPr>
      <w:r w:rsidRPr="007A6CBB">
        <w:rPr>
          <w:rFonts w:ascii="Arial Narrow" w:hAnsi="Arial Narrow" w:cs="Arial"/>
          <w:sz w:val="20"/>
          <w:szCs w:val="16"/>
        </w:rPr>
        <w:t>Pagar los gastos incurridos por el consumidor para mitigar las consecuencias de la infracción administrativa.</w:t>
      </w:r>
    </w:p>
    <w:p w14:paraId="5B07DDF0" w14:textId="77777777" w:rsidR="00CA59A2" w:rsidRPr="007A6CBB" w:rsidRDefault="00CA59A2" w:rsidP="007A6CBB">
      <w:pPr>
        <w:pStyle w:val="Sinespaciado"/>
        <w:ind w:firstLine="567"/>
        <w:jc w:val="both"/>
        <w:rPr>
          <w:rFonts w:ascii="Arial Narrow" w:hAnsi="Arial Narrow" w:cs="Arial"/>
          <w:sz w:val="20"/>
          <w:szCs w:val="16"/>
        </w:rPr>
      </w:pPr>
      <w:r w:rsidRPr="007A6CBB">
        <w:rPr>
          <w:rFonts w:ascii="Arial Narrow" w:hAnsi="Arial Narrow" w:cs="Arial"/>
          <w:sz w:val="20"/>
          <w:szCs w:val="16"/>
        </w:rPr>
        <w:t>Otras medidas reparadoras análogas de efectos equivalentes a las anteriores.</w:t>
      </w:r>
    </w:p>
    <w:p w14:paraId="57DA25DD" w14:textId="77777777" w:rsidR="00CA59A2" w:rsidRPr="007A6CBB" w:rsidRDefault="00CA59A2" w:rsidP="007A6CBB">
      <w:pPr>
        <w:pStyle w:val="Sinespaciado"/>
        <w:ind w:left="567"/>
        <w:jc w:val="both"/>
        <w:rPr>
          <w:rFonts w:ascii="Arial Narrow" w:hAnsi="Arial Narrow" w:cs="Arial"/>
          <w:sz w:val="20"/>
          <w:szCs w:val="16"/>
        </w:rPr>
      </w:pPr>
      <w:r w:rsidRPr="007A6CBB">
        <w:rPr>
          <w:rFonts w:ascii="Arial Narrow" w:hAnsi="Arial Narrow" w:cs="Arial"/>
          <w:sz w:val="20"/>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6EB7BC7" w14:textId="77777777" w:rsidR="00CA59A2" w:rsidRPr="007A6CBB" w:rsidRDefault="00CA59A2" w:rsidP="007A6CBB">
      <w:pPr>
        <w:spacing w:after="0" w:line="240" w:lineRule="auto"/>
        <w:ind w:left="567"/>
        <w:jc w:val="both"/>
        <w:rPr>
          <w:rFonts w:ascii="Arial Narrow" w:hAnsi="Arial Narrow" w:cs="Arial"/>
          <w:sz w:val="20"/>
          <w:szCs w:val="16"/>
        </w:rPr>
      </w:pPr>
      <w:r w:rsidRPr="007A6CBB">
        <w:rPr>
          <w:rFonts w:ascii="Arial Narrow" w:eastAsia="Arial Narrow" w:hAnsi="Arial Narrow" w:cs="Arial"/>
          <w:sz w:val="20"/>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2F88218" w14:textId="77777777" w:rsidR="00CA59A2" w:rsidRPr="007A6CBB" w:rsidRDefault="00CA59A2" w:rsidP="007A6CBB">
      <w:pPr>
        <w:spacing w:after="0" w:line="240" w:lineRule="auto"/>
        <w:ind w:left="567"/>
        <w:jc w:val="both"/>
        <w:rPr>
          <w:rFonts w:ascii="Arial Narrow" w:hAnsi="Arial Narrow" w:cs="Arial"/>
          <w:sz w:val="20"/>
          <w:szCs w:val="16"/>
        </w:rPr>
      </w:pPr>
      <w:r w:rsidRPr="007A6CBB">
        <w:rPr>
          <w:rFonts w:ascii="Arial Narrow" w:eastAsia="Arial Narrow" w:hAnsi="Arial Narrow" w:cs="Arial"/>
          <w:sz w:val="20"/>
          <w:szCs w:val="16"/>
        </w:rPr>
        <w:t>115.4 Corresponde al consumidor que solicita el dictado de la medida correctiva reparadora probar las consecuencias patrimoniales directas e inmediatas causadas por la comisión de la infracción administrativa.</w:t>
      </w:r>
    </w:p>
    <w:p w14:paraId="42A3B5C6"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1D814BDE"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04483C73"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6243AF1D" w14:textId="77777777" w:rsidR="00CA59A2" w:rsidRPr="007A6CBB" w:rsidRDefault="00CA59A2" w:rsidP="007A6CBB">
      <w:pPr>
        <w:spacing w:after="0" w:line="240" w:lineRule="auto"/>
        <w:ind w:left="567"/>
        <w:jc w:val="both"/>
        <w:rPr>
          <w:rFonts w:ascii="Arial Narrow" w:eastAsia="Arial Narrow" w:hAnsi="Arial Narrow" w:cs="Arial"/>
          <w:sz w:val="20"/>
          <w:szCs w:val="16"/>
        </w:rPr>
      </w:pPr>
    </w:p>
    <w:p w14:paraId="59A1D33C" w14:textId="77777777" w:rsidR="00CA59A2" w:rsidRPr="007A6CBB" w:rsidRDefault="00CA59A2" w:rsidP="007A6CBB">
      <w:pPr>
        <w:spacing w:after="0" w:line="240" w:lineRule="auto"/>
        <w:ind w:left="567"/>
        <w:jc w:val="both"/>
        <w:rPr>
          <w:rFonts w:ascii="Arial Narrow" w:eastAsia="Arial Narrow" w:hAnsi="Arial Narrow" w:cs="Arial"/>
          <w:b/>
          <w:bCs/>
          <w:sz w:val="20"/>
          <w:szCs w:val="16"/>
        </w:rPr>
      </w:pPr>
      <w:r w:rsidRPr="007A6CBB">
        <w:rPr>
          <w:rFonts w:ascii="Arial Narrow" w:eastAsia="Arial Narrow" w:hAnsi="Arial Narrow" w:cs="Arial"/>
          <w:b/>
          <w:bCs/>
          <w:sz w:val="20"/>
          <w:szCs w:val="16"/>
        </w:rPr>
        <w:t>Artículo 116.- Medidas correctivas complementarias</w:t>
      </w:r>
    </w:p>
    <w:p w14:paraId="30318D9F"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Las medidas correctivas complementarias tienen el objeto de revertir los efectos de la conducta infractora o evitar que esta se produzca nuevamente en el futuro y pueden ser, entre otras, las siguientes: </w:t>
      </w:r>
    </w:p>
    <w:p w14:paraId="7812EB05"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a. Que el proveedor cumpla con atender la solicitud de información requerida por el consumidor, siempre que dicho requerimiento guarde relación con el producto adquirido o servicio contratado. </w:t>
      </w:r>
    </w:p>
    <w:p w14:paraId="08CF0BFE"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b. Declarar inexigibles las cláusulas que han sido identificadas como abusivas en el procedimiento. </w:t>
      </w:r>
    </w:p>
    <w:p w14:paraId="0A0BB56A"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c. El decomiso y destrucción de la mercadería, envases, envolturas o etiquetas. </w:t>
      </w:r>
    </w:p>
    <w:p w14:paraId="7E3B6870"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d. En caso de infracciones muy graves y de reincidencia o reiterancia: </w:t>
      </w:r>
    </w:p>
    <w:p w14:paraId="48229516"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(i) Solicitar a la autoridad correspondiente la clausura temporal del establecimiento industrial, comercial o de servicios por un plazo máximo de seis (6) meses. </w:t>
      </w:r>
    </w:p>
    <w:p w14:paraId="71BE4554"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(ii) Solicitar a la autoridad competente la inhabilitación, temporal o permanente, del proveedor en función de los alcances de la infracción sancionada. </w:t>
      </w:r>
    </w:p>
    <w:p w14:paraId="2B76ADA4"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2F02574"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 xml:space="preserve">f. Cualquier otra medida correctiva que tenga el objeto de revertir los efectos de la conducta infractora o evitar que esta se produzca nuevamente en el futuro. </w:t>
      </w:r>
    </w:p>
    <w:p w14:paraId="51D98172" w14:textId="77777777" w:rsidR="00CA59A2" w:rsidRPr="007A6CBB" w:rsidRDefault="00CA59A2" w:rsidP="007A6CBB">
      <w:pPr>
        <w:spacing w:after="0" w:line="240" w:lineRule="auto"/>
        <w:ind w:left="567"/>
        <w:jc w:val="both"/>
        <w:rPr>
          <w:rFonts w:ascii="Arial Narrow" w:eastAsia="Arial Narrow" w:hAnsi="Arial Narrow" w:cs="Arial"/>
          <w:sz w:val="20"/>
          <w:szCs w:val="16"/>
        </w:rPr>
      </w:pPr>
      <w:r w:rsidRPr="007A6CBB">
        <w:rPr>
          <w:rFonts w:ascii="Arial Narrow" w:eastAsia="Arial Narrow" w:hAnsi="Arial Narrow" w:cs="Arial"/>
          <w:sz w:val="20"/>
          <w:szCs w:val="16"/>
        </w:rPr>
        <w:t>El Indecopi está facultado para solicitar a la autoridad municipal y policial el apoyo respectivo para la ejecución de las medidas correctivas complementarias correspondientes.</w:t>
      </w:r>
    </w:p>
    <w:p w14:paraId="2047D600"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7">
    <w:p w14:paraId="7EE97179" w14:textId="77777777" w:rsidR="00CA59A2" w:rsidRPr="007A6CBB" w:rsidRDefault="00CA59A2" w:rsidP="007A6CBB">
      <w:pPr>
        <w:pStyle w:val="Textonotapie"/>
        <w:tabs>
          <w:tab w:val="left" w:pos="567"/>
        </w:tabs>
        <w:ind w:left="567" w:hanging="567"/>
        <w:jc w:val="both"/>
        <w:rPr>
          <w:rFonts w:ascii="Arial Narrow" w:hAnsi="Arial Narrow" w:cs="Arial"/>
          <w:b/>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7A6CBB">
        <w:rPr>
          <w:rFonts w:ascii="Arial Narrow" w:hAnsi="Arial Narrow" w:cs="Arial"/>
          <w:szCs w:val="16"/>
        </w:rPr>
        <w:t xml:space="preserve">        </w:t>
      </w:r>
      <w:r w:rsidRPr="007A6CBB">
        <w:rPr>
          <w:rFonts w:ascii="Arial Narrow" w:hAnsi="Arial Narrow" w:cs="Arial"/>
          <w:szCs w:val="16"/>
        </w:rPr>
        <w:tab/>
      </w:r>
      <w:r w:rsidRPr="007A6CBB">
        <w:rPr>
          <w:rFonts w:ascii="Arial Narrow" w:eastAsia="Arial Narrow" w:hAnsi="Arial Narrow" w:cs="Arial"/>
          <w:b/>
          <w:szCs w:val="16"/>
        </w:rPr>
        <w:t xml:space="preserve">LEY </w:t>
      </w:r>
      <w:r w:rsidR="003A71B1" w:rsidRPr="007A6CBB">
        <w:rPr>
          <w:rFonts w:ascii="Arial Narrow" w:eastAsia="Arial Narrow" w:hAnsi="Arial Narrow" w:cs="Arial"/>
          <w:b/>
          <w:szCs w:val="16"/>
        </w:rPr>
        <w:t>29571</w:t>
      </w:r>
      <w:r w:rsidRPr="007A6CBB">
        <w:rPr>
          <w:rFonts w:ascii="Arial Narrow" w:eastAsia="Arial Narrow" w:hAnsi="Arial Narrow" w:cs="Arial"/>
          <w:b/>
          <w:szCs w:val="16"/>
        </w:rPr>
        <w:t>, CÓDIGO DE PROTECCIÓN Y DEFENSA DEL CONSUMIDOR</w:t>
      </w:r>
      <w:r w:rsidRPr="007A6CBB">
        <w:rPr>
          <w:rFonts w:ascii="Arial Narrow" w:hAnsi="Arial Narrow" w:cs="Arial"/>
          <w:b/>
          <w:bCs/>
          <w:szCs w:val="16"/>
        </w:rPr>
        <w:t xml:space="preserve">, </w:t>
      </w:r>
      <w:r w:rsidRPr="007A6CBB">
        <w:rPr>
          <w:rFonts w:ascii="Arial Narrow" w:hAnsi="Arial Narrow" w:cs="Arial"/>
          <w:b/>
          <w:szCs w:val="16"/>
        </w:rPr>
        <w:t>publicado el 2 de setiembre de 2010 y modificado por Decreto Legislativo N 1308</w:t>
      </w:r>
    </w:p>
    <w:p w14:paraId="5CB326FE" w14:textId="77777777" w:rsidR="00CA59A2" w:rsidRPr="007A6CBB" w:rsidRDefault="00CA59A2" w:rsidP="007A6CBB">
      <w:pPr>
        <w:pStyle w:val="Textonotapie"/>
        <w:tabs>
          <w:tab w:val="left" w:pos="567"/>
        </w:tabs>
        <w:jc w:val="both"/>
        <w:rPr>
          <w:rFonts w:ascii="Arial Narrow" w:eastAsia="Arial Narrow" w:hAnsi="Arial Narrow" w:cs="Arial"/>
          <w:b/>
          <w:szCs w:val="16"/>
        </w:rPr>
      </w:pPr>
      <w:r w:rsidRPr="007A6CBB">
        <w:rPr>
          <w:rFonts w:ascii="Arial Narrow" w:eastAsia="Arial Narrow" w:hAnsi="Arial Narrow" w:cs="Arial"/>
          <w:b/>
          <w:szCs w:val="16"/>
        </w:rPr>
        <w:tab/>
        <w:t>Artículo 112.- Criterios de graduación de las sanciones administrativas</w:t>
      </w:r>
    </w:p>
    <w:p w14:paraId="5FEBB7D0" w14:textId="77777777" w:rsidR="00CA59A2" w:rsidRPr="007A6CBB" w:rsidRDefault="00CA59A2" w:rsidP="007A6CBB">
      <w:pPr>
        <w:pStyle w:val="Textonotapie"/>
        <w:tabs>
          <w:tab w:val="left" w:pos="567"/>
        </w:tabs>
        <w:jc w:val="both"/>
        <w:rPr>
          <w:rFonts w:ascii="Arial Narrow" w:eastAsia="Arial Narrow" w:hAnsi="Arial Narrow" w:cs="Arial"/>
          <w:szCs w:val="16"/>
        </w:rPr>
      </w:pPr>
      <w:r w:rsidRPr="007A6CBB">
        <w:rPr>
          <w:rFonts w:ascii="Arial Narrow" w:eastAsia="Arial Narrow" w:hAnsi="Arial Narrow" w:cs="Arial"/>
          <w:szCs w:val="16"/>
        </w:rPr>
        <w:tab/>
        <w:t>(…)</w:t>
      </w:r>
    </w:p>
    <w:p w14:paraId="70F782B9" w14:textId="77777777" w:rsidR="00CA59A2" w:rsidRPr="007A6CBB" w:rsidRDefault="00CA59A2" w:rsidP="007A6CBB">
      <w:pPr>
        <w:pStyle w:val="Textonotapie"/>
        <w:tabs>
          <w:tab w:val="left" w:pos="567"/>
        </w:tabs>
        <w:jc w:val="both"/>
        <w:rPr>
          <w:rFonts w:ascii="Arial Narrow" w:eastAsia="Arial Narrow" w:hAnsi="Arial Narrow" w:cs="Arial"/>
          <w:szCs w:val="16"/>
        </w:rPr>
      </w:pPr>
      <w:r w:rsidRPr="007A6CBB">
        <w:rPr>
          <w:rFonts w:ascii="Arial Narrow" w:eastAsia="Arial Narrow" w:hAnsi="Arial Narrow" w:cs="Arial"/>
          <w:szCs w:val="16"/>
        </w:rPr>
        <w:tab/>
        <w:t>Se consideran circunstancias atenuantes especiales, las siguientes:</w:t>
      </w:r>
    </w:p>
    <w:p w14:paraId="625EDD14" w14:textId="77777777" w:rsidR="00CA59A2" w:rsidRPr="007A6CBB" w:rsidRDefault="00CA59A2" w:rsidP="007A6CBB">
      <w:pPr>
        <w:pStyle w:val="Textonotapie"/>
        <w:tabs>
          <w:tab w:val="left" w:pos="567"/>
        </w:tabs>
        <w:jc w:val="both"/>
        <w:rPr>
          <w:rFonts w:ascii="Arial Narrow" w:eastAsia="Arial Narrow" w:hAnsi="Arial Narrow" w:cs="Arial"/>
          <w:szCs w:val="16"/>
        </w:rPr>
      </w:pPr>
      <w:r w:rsidRPr="007A6CBB">
        <w:rPr>
          <w:rFonts w:ascii="Arial Narrow" w:eastAsia="Arial Narrow" w:hAnsi="Arial Narrow" w:cs="Arial"/>
          <w:szCs w:val="16"/>
        </w:rPr>
        <w:tab/>
        <w:t>(…)</w:t>
      </w:r>
    </w:p>
    <w:p w14:paraId="6C543B6E" w14:textId="77777777" w:rsidR="00CA59A2" w:rsidRPr="007A6CBB" w:rsidRDefault="00CA59A2" w:rsidP="007A6CBB">
      <w:pPr>
        <w:pStyle w:val="Textonotapie"/>
        <w:tabs>
          <w:tab w:val="left" w:pos="567"/>
        </w:tabs>
        <w:ind w:left="567"/>
        <w:jc w:val="both"/>
        <w:rPr>
          <w:rFonts w:ascii="Arial Narrow" w:eastAsia="Arial Narrow" w:hAnsi="Arial Narrow" w:cs="Arial"/>
          <w:szCs w:val="16"/>
        </w:rPr>
      </w:pPr>
      <w:r w:rsidRPr="007A6CBB">
        <w:rPr>
          <w:rFonts w:ascii="Arial Narrow" w:eastAsia="Arial Narrow" w:hAnsi="Arial Narrow" w:cs="Arial"/>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678CBC4" w14:textId="77777777" w:rsidR="00CA59A2" w:rsidRPr="00C20DB0" w:rsidRDefault="00CA59A2" w:rsidP="00EB4D2D">
      <w:pPr>
        <w:pStyle w:val="Textonotapie"/>
        <w:jc w:val="both"/>
        <w:rPr>
          <w:rFonts w:ascii="Arial Narrow" w:hAnsi="Arial Narrow" w:cs="Arial"/>
          <w:sz w:val="16"/>
          <w:szCs w:val="16"/>
        </w:rPr>
      </w:pPr>
    </w:p>
  </w:footnote>
  <w:footnote w:id="8">
    <w:p w14:paraId="132E121F" w14:textId="77777777" w:rsidR="00CA59A2" w:rsidRPr="007A6CBB" w:rsidRDefault="00CA59A2" w:rsidP="007A6CBB">
      <w:pPr>
        <w:autoSpaceDE w:val="0"/>
        <w:autoSpaceDN w:val="0"/>
        <w:adjustRightInd w:val="0"/>
        <w:spacing w:after="0" w:line="240" w:lineRule="auto"/>
        <w:ind w:left="567" w:hanging="567"/>
        <w:jc w:val="both"/>
        <w:rPr>
          <w:rFonts w:ascii="Arial Narrow" w:hAnsi="Arial Narrow" w:cs="Arial"/>
          <w:b/>
          <w:bCs/>
          <w:sz w:val="20"/>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7A6CBB">
        <w:rPr>
          <w:rFonts w:ascii="Arial Narrow" w:hAnsi="Arial Narrow" w:cs="Arial"/>
          <w:b/>
          <w:bCs/>
          <w:sz w:val="20"/>
          <w:szCs w:val="16"/>
        </w:rPr>
        <w:tab/>
        <w:t>DECRETO LEGISLATIVO Nº 807, LEY SOBRE FACULTADES, NORMAS Y ORGANIZACIÓN DEL INDECOPI FACULTADES DE LAS COMISIONES Y OFICINAS DEL INDECOPI</w:t>
      </w:r>
    </w:p>
    <w:p w14:paraId="6979E2BC" w14:textId="77777777" w:rsidR="00CA59A2" w:rsidRPr="007A6CBB" w:rsidRDefault="00CA59A2" w:rsidP="007A6CBB">
      <w:pPr>
        <w:pStyle w:val="NormalWeb"/>
        <w:spacing w:after="0" w:line="240" w:lineRule="auto"/>
        <w:ind w:left="567"/>
        <w:jc w:val="both"/>
        <w:rPr>
          <w:rFonts w:ascii="Arial Narrow" w:hAnsi="Arial Narrow" w:cs="Arial"/>
          <w:bCs/>
          <w:sz w:val="20"/>
          <w:szCs w:val="16"/>
        </w:rPr>
      </w:pPr>
      <w:r w:rsidRPr="007A6CBB">
        <w:rPr>
          <w:rFonts w:ascii="Arial Narrow" w:hAnsi="Arial Narrow" w:cs="Arial"/>
          <w:b/>
          <w:sz w:val="20"/>
          <w:szCs w:val="16"/>
        </w:rPr>
        <w:t xml:space="preserve">Artículo 29.- </w:t>
      </w:r>
      <w:r w:rsidRPr="007A6CBB">
        <w:rPr>
          <w:rFonts w:ascii="Arial Narrow" w:hAnsi="Arial Narrow" w:cs="Arial"/>
          <w:bCs/>
          <w:sz w:val="20"/>
          <w:szCs w:val="16"/>
        </w:rPr>
        <w:t>En cualquier estado del procedimiento, e incluso antes de admitirse a trámite la denuncia, el Secretario Técnico podrá citar a las partes a audiencia de conciliación. La audiencia se desarrollará ante el Secretario Técnico o ante la persona que éste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03FC3E56"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9">
    <w:p w14:paraId="1B914CEA" w14:textId="312CA1EF" w:rsidR="007A6CBB" w:rsidRPr="007A6CBB" w:rsidRDefault="007A6CBB" w:rsidP="007A6CBB">
      <w:pPr>
        <w:pStyle w:val="Textonotapie"/>
        <w:jc w:val="both"/>
        <w:rPr>
          <w:lang w:val="es-419"/>
        </w:rPr>
      </w:pPr>
      <w:r>
        <w:rPr>
          <w:rStyle w:val="Refdenotaalpi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35872"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0DB02F6A" w14:textId="77777777" w:rsidTr="003D7BF0">
      <w:trPr>
        <w:trHeight w:val="1310"/>
      </w:trPr>
      <w:tc>
        <w:tcPr>
          <w:tcW w:w="4518" w:type="dxa"/>
        </w:tcPr>
        <w:p w14:paraId="24DDF9B7" w14:textId="77777777" w:rsidR="00B91E42" w:rsidRPr="00C211F8" w:rsidRDefault="00B91E42" w:rsidP="003D7BF0">
          <w:pPr>
            <w:spacing w:after="0"/>
          </w:pPr>
          <w:bookmarkStart w:id="5" w:name="_Hlk212019410"/>
          <w:r>
            <w:rPr>
              <w:noProof/>
            </w:rPr>
            <w:drawing>
              <wp:inline distT="0" distB="0" distL="0" distR="0" wp14:anchorId="14DEB981" wp14:editId="3F7F4C53">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72C1987A"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0803669A"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0583D32D"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D4925CA"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A3B71F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58F60A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687AC2CC"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489002CC"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57C81B2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32C6BF93"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5"/>
  </w:tbl>
  <w:p w14:paraId="3B17B426"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95392"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6125F"/>
    <w:rsid w:val="00761FEA"/>
    <w:rsid w:val="00762D3E"/>
    <w:rsid w:val="00763DFC"/>
    <w:rsid w:val="0076646A"/>
    <w:rsid w:val="00772A00"/>
    <w:rsid w:val="00783D3F"/>
    <w:rsid w:val="00793E0A"/>
    <w:rsid w:val="007A4F99"/>
    <w:rsid w:val="007A5184"/>
    <w:rsid w:val="007A6CBB"/>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7FC8"/>
    <w:rsid w:val="00A2313A"/>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46CD3"/>
    <w:rsid w:val="00D502EA"/>
    <w:rsid w:val="00D53538"/>
    <w:rsid w:val="00D53DDE"/>
    <w:rsid w:val="00D56261"/>
    <w:rsid w:val="00D6254A"/>
    <w:rsid w:val="00D62B83"/>
    <w:rsid w:val="00D66B2A"/>
    <w:rsid w:val="00D753B8"/>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07600"/>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1822</Words>
  <Characters>10023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2</cp:revision>
  <dcterms:created xsi:type="dcterms:W3CDTF">2026-07-17T21:01:00Z</dcterms:created>
  <dcterms:modified xsi:type="dcterms:W3CDTF">2026-07-17T21:01:00Z</dcterms:modified>
</cp:coreProperties>
</file>