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79937" w14: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6A7D">
        <w:rPr>
          <w:rFonts w:ascii="Arial Narrow" w:eastAsia="Times New Roman" w:hAnsi="Arial Narrow" w:cs="Times New Roman"/>
          <w:b/>
          <w:bCs/>
          <w:color w:val="000000"/>
          <w:kern w:val="0"/>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0F6A7D">
        <w:rPr>
          <w:rFonts w:ascii="Arial Narrow" w:eastAsia="Arial Narrow" w:hAnsi="Arial Narrow" w:cs="Arial Narrow"/>
          <w:b/>
          <w:color w:val="000000"/>
          <w:kern w:val="0"/>
          <w:lang w:eastAsia="es-PE"/>
          <w14:ligatures w14:val="none"/>
        </w:rPr>
        <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DENUNCIADO</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r>
      <w:bookmarkStart w:id="1" w:name="_Hlk202354592"/>
      <w:r w:rsidRPr="000F6A7D">
        <w:rPr>
          <w:rFonts w:ascii="Arial Narrow" w:eastAsia="Arial Narrow" w:hAnsi="Arial Narrow" w:cs="Arial Narrow"/>
          <w:b/>
          <w:color w:val="000000"/>
          <w:kern w:val="0"/>
          <w:lang w:eastAsia="es-PE"/>
          <w14:ligatures w14:val="none"/>
        </w:rPr>
        <w:t>RÍMAC SEGUROS Y REASEGUROS S.A.</w:t>
      </w:r>
      <w:bookmarkEnd w:id="1"/>
      <w:r w:rsidRPr="000F6A7D">
        <w:rPr>
          <w:rFonts w:ascii="Arial Narrow" w:eastAsia="Arial Narrow" w:hAnsi="Arial Narrow" w:cs="Arial Narrow"/>
          <w:b/>
          <w:color w:val="000000"/>
          <w:kern w:val="0"/>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MATERIAS</w:t>
      </w:r>
      <w:r w:rsidRPr="000F6A7D">
        <w:rPr>
          <w:rFonts w:ascii="Arial Narrow" w:eastAsia="Arial Narrow" w:hAnsi="Arial Narrow" w:cs="Arial Narrow"/>
          <w:b/>
          <w:color w:val="000000"/>
          <w:kern w:val="0"/>
          <w:lang w:eastAsia="es-PE"/>
          <w14:ligatures w14:val="none"/>
        </w:rPr>
        <w:tab/>
        <w:t xml:space="preserve">: </w:t>
      </w:r>
      <w:r w:rsidRPr="000F6A7D">
        <w:rPr>
          <w:rFonts w:ascii="Arial Narrow" w:eastAsia="Arial Narrow" w:hAnsi="Arial Narrow" w:cs="Arial Narrow"/>
          <w:b/>
          <w:color w:val="000000"/>
          <w:kern w:val="0"/>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RESOLUCIÓN </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6A7D">
        <w:rPr>
          <w:rFonts w:ascii="Arial Narrow" w:eastAsia="Times New Roman" w:hAnsi="Arial Narrow" w:cs="Times New Roman"/>
          <w:color w:val="000000"/>
          <w:kern w:val="0"/>
          <w:shd w:val="clear" w:color="auto" w:fill="FFFFFF"/>
          <w:lang w:eastAsia="es-PE"/>
          <w14:ligatures w14:val="none"/>
        </w:rPr>
        <w:t xml:space="preserve">Lima, </w:t>
      </w:r>
      <w:r w:rsidR="00B0275D">
        <w:rPr>
          <w:rFonts w:ascii="Arial Narrow" w:eastAsia="Times New Roman" w:hAnsi="Arial Narrow" w:cs="Times New Roman"/>
          <w:color w:val="000000"/>
          <w:kern w:val="0"/>
          <w:shd w:val="clear" w:color="auto" w:fill="FFFFFF"/>
          <w:lang w:eastAsia="es-PE"/>
          <w14:ligatures w14:val="none"/>
        </w:rPr>
        <w:t>11</w:t>
      </w:r>
      <w:r w:rsidRPr="000F6A7D">
        <w:rPr>
          <w:rFonts w:ascii="Arial Narrow" w:eastAsia="Times New Roman" w:hAnsi="Arial Narrow" w:cs="Times New Roman"/>
          <w:color w:val="000000"/>
          <w:kern w:val="0"/>
          <w:shd w:val="clear" w:color="auto" w:fill="FFFFFF"/>
          <w:lang w:eastAsia="es-PE"/>
          <w14:ligatures w14:val="none"/>
        </w:rPr>
        <w:t xml:space="preserve"> de julio de 2025</w:t>
      </w:r>
    </w:p>
    <w:p w14:paraId="626AF93F"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HECHOS </w:t>
      </w:r>
    </w:p>
    <w:p w14:paraId="49B6A13B"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53F7">
        <w:rPr>
          <w:rFonts w:ascii="Arial Narrow" w:eastAsia="Times New Roman" w:hAnsi="Arial Narrow" w:cs="Arial"/>
          <w:color w:val="000000"/>
          <w:kern w:val="0"/>
          <w:lang w:val="es-ES" w:eastAsia="es-ES"/>
          <w14:ligatures w14: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Times New Roman" w:hAnsi="Arial Narrow" w:cs="Arial"/>
          <w:color w:val="000000"/>
          <w:kern w:val="0"/>
          <w:lang w:val="es-ES" w:eastAsia="es-ES"/>
          <w14:ligatures w14:val="none"/>
        </w:rPr>
        <w:t/>
      </w:r>
      <w:r w:rsidRPr="003C7DF0">
        <w:rPr>
          <w:rFonts w:ascii="Arial Narrow" w:eastAsia="Times New Roman" w:hAnsi="Arial Narrow" w:cs="Times New Roman"/>
          <w:color w:val="000000"/>
          <w:kern w:val="0"/>
          <w:vertAlign w:val="superscript"/>
          <w:lang w:val="es-ES" w:eastAsia="es-ES"/>
          <w14:ligatures w14:val="none"/>
        </w:rPr>
        <w:footnoteReference w:id="1"/>
      </w:r>
      <w:r w:rsidRPr="003C7DF0">
        <w:rPr>
          <w:rFonts w:ascii="Arial Narrow" w:eastAsia="Calibri" w:hAnsi="Arial Narrow" w:cs="Arial"/>
          <w:kern w:val="0"/>
          <w14:ligatures w14:val="none"/>
        </w:rPr>
        <w:t xml:space="preserve"/>
      </w:r>
      <w:r w:rsidRPr="003C7DF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7FA25809" w14: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E3941">
        <w:rPr>
          <w:rFonts w:ascii="Arial Narrow" w:eastAsia="Times New Roman" w:hAnsi="Arial Narrow" w:cs="Arial"/>
          <w:color w:val="000000"/>
          <w:kern w:val="0"/>
          <w:lang w:eastAsia="es-ES"/>
          <w14:ligatures w14: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w14:ligatures w14: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w14:ligatures w14:val="none"/>
        </w:rPr>
        <w:t xml:space="preserve">59936319 </w:t>
      </w:r>
      <w:r w:rsidRPr="001A3752">
        <w:rPr>
          <w:rFonts w:ascii="Arial Narrow" w:eastAsia="Times New Roman" w:hAnsi="Arial Narrow" w:cs="Arial"/>
          <w:color w:val="000000"/>
          <w:kern w:val="0"/>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 xml:space="preserve">El 11 de septiembre de 2024, el COMAFP emitió el Dictamen 02301-2024, </w:t>
      </w:r>
      <w:r>
        <w:rPr>
          <w:rFonts w:ascii="Arial Narrow" w:eastAsia="Times New Roman" w:hAnsi="Arial Narrow" w:cs="Arial"/>
          <w:color w:val="000000"/>
          <w:kern w:val="0"/>
          <w:lang w:eastAsia="es-ES"/>
          <w14:ligatures w14:val="none"/>
        </w:rPr>
        <w:t>que lo calificaba con</w:t>
      </w:r>
      <w:r w:rsidRPr="001A3752">
        <w:rPr>
          <w:rFonts w:ascii="Arial Narrow" w:eastAsia="Times New Roman" w:hAnsi="Arial Narrow" w:cs="Arial"/>
          <w:color w:val="000000"/>
          <w:kern w:val="0"/>
          <w:lang w:eastAsia="es-ES"/>
          <w14:ligatures w14:val="none"/>
        </w:rPr>
        <w:t xml:space="preserve"> Invalidez Definitiva, Total y Permanente, con un menoscabo del 89,19 %</w:t>
      </w:r>
      <w:r w:rsidRPr="004E1242">
        <w:rPr>
          <w:rFonts w:ascii="Arial Narrow" w:eastAsia="Times New Roman" w:hAnsi="Arial Narrow" w:cs="Arial"/>
          <w:color w:val="000000"/>
          <w:kern w:val="0"/>
          <w:lang w:eastAsia="es-ES"/>
          <w14:ligatures w14:val="none"/>
        </w:rPr>
        <w:t>.</w:t>
      </w:r>
    </w:p>
    <w:p w14:paraId="0C10961A" w14: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19 de septiembre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w14:ligatures w14:val="none"/>
        </w:rPr>
        <w:t xml:space="preserve"> </w:t>
      </w:r>
      <w:r w:rsidRPr="004E1242">
        <w:rPr>
          <w:rFonts w:ascii="Arial Narrow" w:eastAsia="Times New Roman" w:hAnsi="Arial Narrow" w:cs="Arial"/>
          <w:color w:val="000000"/>
          <w:kern w:val="0"/>
          <w:lang w:eastAsia="es-ES"/>
          <w14:ligatures w14:val="none"/>
        </w:rPr>
        <w:t xml:space="preserve">El rechazo de </w:t>
      </w:r>
      <w:r w:rsidRPr="00807F3D">
        <w:rPr>
          <w:rFonts w:ascii="Arial Narrow" w:eastAsia="Times New Roman" w:hAnsi="Arial Narrow" w:cs="Arial"/>
          <w:color w:val="000000"/>
          <w:kern w:val="0"/>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7F3D">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Calibri" w:hAnsi="Arial Narrow" w:cs="Arial"/>
          <w:kern w:val="0"/>
          <w14:ligatures w14:val="none"/>
        </w:rPr>
        <w:t xml:space="preserve"/>
      </w:r>
      <w:r w:rsidRPr="00807F3D">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807F3D">
        <w:rPr>
          <w:rFonts w:ascii="Arial Narrow" w:eastAsia="Times New Roman" w:hAnsi="Arial Narrow" w:cs="Arial"/>
          <w:color w:val="000000"/>
          <w:kern w:val="0"/>
          <w:lang w:val="es-ES" w:eastAsia="es-ES"/>
          <w14:ligatures w14:val="none"/>
        </w:rPr>
        <w:t xml:space="preserve"/>
      </w:r>
    </w:p>
    <w:p w14:paraId="5989C786" w14: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7DF70D9" w14: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F40C05" w:rsidRPr="00F40C05">
        <w:rPr>
          <w:rFonts w:ascii="Arial Narrow" w:eastAsia="Times New Roman" w:hAnsi="Arial Narrow" w:cs="Arial"/>
          <w:color w:val="000000"/>
          <w:kern w:val="0"/>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y 19</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del Código</w:t>
      </w:r>
      <w:r w:rsidRPr="006439A4">
        <w:rPr>
          <w:rFonts w:ascii="Arial Narrow" w:eastAsia="Arial Narrow" w:hAnsi="Arial Narrow" w:cs="Arial"/>
          <w:kern w:val="0"/>
          <w:vertAlign w:val="superscript"/>
          <w14:ligatures w14:val="none"/>
        </w:rPr>
        <w:footnoteReference w:id="4"/>
      </w:r>
      <w:r w:rsidRPr="006439A4">
        <w:rPr>
          <w:rFonts w:ascii="Arial Narrow" w:eastAsia="Arial Narrow" w:hAnsi="Arial Narrow" w:cs="Arial Narrow"/>
          <w:kern w:val="0"/>
          <w14:ligatures w14:val="none"/>
        </w:rPr>
        <w:t>.</w:t>
      </w:r>
    </w:p>
    <w:p w14:paraId="3DDF49B0" w14: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D553E24" w14: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D428DDA"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836A63">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w14:ligatures w14:val="none"/>
        </w:rPr>
        <w:t>.</w:t>
      </w:r>
    </w:p>
    <w:p w14:paraId="6029F1E7" w14: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23A469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836A63">
        <w:rPr>
          <w:rFonts w:ascii="Arial Narrow" w:eastAsia="Times New Roman" w:hAnsi="Arial Narrow" w:cs="Times New Roman"/>
          <w:color w:val="000000"/>
          <w:kern w:val="0"/>
          <w:shd w:val="clear" w:color="auto" w:fill="FFFFFF"/>
          <w:lang w:eastAsia="es-PE"/>
          <w14:ligatures w14:val="none"/>
        </w:rPr>
        <w:t xml:space="preserve"/>
      </w:r>
      <w:r w:rsidRPr="00836A63">
        <w:rPr>
          <w:rFonts w:ascii="Arial Narrow" w:eastAsia="Times New Roman" w:hAnsi="Arial Narrow" w:cs="Arial"/>
          <w:color w:val="000000"/>
          <w:kern w:val="0"/>
          <w:lang w:val="es-ES" w:eastAsia="es-ES"/>
          <w14:ligatures w14:val="none"/>
        </w:rPr>
        <w:t xml:space="preserve"/>
      </w:r>
      <w:r w:rsidRPr="00836A63">
        <w:rPr>
          <w:rFonts w:ascii="Arial Narrow" w:eastAsia="Times New Roman" w:hAnsi="Arial Narrow" w:cs="Times New Roman"/>
          <w:color w:val="000000"/>
          <w:kern w:val="0"/>
          <w:shd w:val="clear" w:color="auto" w:fill="FFFFFF"/>
          <w:lang w:eastAsia="es-PE"/>
          <w14:ligatures w14:val="none"/>
        </w:rPr>
        <w:t/>
      </w:r>
      <w:r w:rsidRPr="00127855">
        <w:rPr>
          <w:rFonts w:ascii="Arial Narrow" w:eastAsia="Times New Roman" w:hAnsi="Arial Narrow" w:cs="Times New Roman"/>
          <w:color w:val="000000"/>
          <w:kern w:val="0"/>
          <w:shd w:val="clear" w:color="auto" w:fill="FFFFFF"/>
          <w:lang w:eastAsia="es-PE"/>
          <w14:ligatures w14:val="none"/>
        </w:rPr>
        <w:t xml:space="preserve"/>
      </w:r>
      <w:r w:rsidRPr="006439A4">
        <w:rPr>
          <w:rFonts w:ascii="Arial Narrow" w:eastAsia="Times New Roman" w:hAnsi="Arial Narrow" w:cs="Times New Roman"/>
          <w:color w:val="000000"/>
          <w:kern w:val="0"/>
          <w:shd w:val="clear" w:color="auto" w:fill="FFFFFF"/>
          <w:lang w:eastAsia="es-PE"/>
          <w14:ligatures w14:val="none"/>
        </w:rPr>
        <w:t/>
      </w:r>
      <w:r w:rsidRPr="006439A4">
        <w:rPr>
          <w:rFonts w:ascii="Arial Narrow" w:eastAsia="Times New Roman" w:hAnsi="Arial Narrow" w:cs="Segoe UI"/>
          <w:color w:val="000000"/>
          <w:kern w:val="0"/>
          <w:lang w:eastAsia="es-PE"/>
          <w14:ligatures w14:val="none"/>
        </w:rPr>
        <w:t/>
      </w:r>
      <w:r w:rsidRPr="006439A4">
        <w:rPr>
          <w:rFonts w:ascii="Arial Narrow" w:eastAsia="Times New Roman" w:hAnsi="Arial Narrow" w:cs="Times New Roman"/>
          <w:color w:val="000000"/>
          <w:kern w:val="0"/>
          <w:shd w:val="clear" w:color="auto" w:fill="FFFFFF"/>
          <w:lang w:eastAsia="es-PE"/>
          <w14:ligatures w14:val="none"/>
        </w:rPr>
        <w:t xml:space="preserve"/>
      </w:r>
      <w:r w:rsidRPr="006439A4">
        <w:rPr>
          <w:rFonts w:ascii="Arial Narrow" w:eastAsia="Times New Roman" w:hAnsi="Arial Narrow" w:cs="Arial"/>
          <w:color w:val="000000"/>
          <w:kern w:val="0"/>
          <w:lang w:val="es-ES" w:eastAsia="es-ES"/>
          <w14:ligatures w14:val="none"/>
        </w:rPr>
        <w:t/>
      </w:r>
      <w:r w:rsidR="007315B7">
        <w:rPr>
          <w:rFonts w:ascii="Arial Narrow" w:eastAsia="Times New Roman" w:hAnsi="Arial Narrow" w:cs="Arial"/>
          <w:color w:val="000000"/>
          <w:kern w:val="0"/>
          <w:lang w:val="es-ES" w:eastAsia="es-ES"/>
          <w14:ligatures w14:val="none"/>
        </w:rPr>
        <w:t xml:space="preserve"/>
      </w:r>
      <w:r w:rsidRPr="006439A4">
        <w:rPr>
          <w:rFonts w:ascii="Arial Narrow" w:eastAsia="Times New Roman" w:hAnsi="Arial Narrow" w:cs="Arial"/>
          <w:color w:val="000000"/>
          <w:kern w:val="0"/>
          <w:lang w:val="es-ES" w:eastAsia="es-ES"/>
          <w14:ligatures w14:val="none"/>
        </w:rPr>
        <w:t xml:space="preserve"/>
      </w:r>
      <w:r w:rsidRPr="00A27CE3">
        <w:rPr>
          <w:rFonts w:ascii="Arial Narrow" w:eastAsia="Times New Roman" w:hAnsi="Arial Narrow" w:cs="Arial"/>
          <w:color w:val="000000"/>
          <w:kern w:val="0"/>
          <w:lang w:eastAsia="es-ES"/>
          <w14:ligatures w14:val="none"/>
        </w:rPr>
        <w:t xml:space="preserve"/>
      </w:r>
      <w:r w:rsidRPr="006439A4">
        <w:rPr>
          <w:rFonts w:ascii="Arial Narrow" w:eastAsia="Times New Roman" w:hAnsi="Arial Narrow" w:cs="Arial"/>
          <w:color w:val="000000"/>
          <w:kern w:val="0"/>
          <w:lang w:val="es-ES" w:eastAsia="es-ES"/>
          <w14:ligatures w14:val="none"/>
        </w:rPr>
        <w:t/>
      </w:r>
    </w:p>
    <w:p w14:paraId="31F0E10D" w14:textId="77777777" w:rsidR="00AC5DE1" w:rsidRPr="0026598E" w:rsidRDefault="00AC5DE1" w:rsidP="007315B7">
      <w:pPr>
        <w:spacing w:after="0" w:line="240" w:lineRule="auto"/>
        <w:jc w:val="both"/>
        <w:rPr>
          <w:rFonts w:ascii="Arial Narrow" w:eastAsia="Arial Narrow" w:hAnsi="Arial Narrow" w:cs="Arial Narrow"/>
          <w:kern w:val="0"/>
          <w14:ligatures w14:val="none"/>
        </w:rPr>
      </w:pPr>
    </w:p>
    <w:p w14:paraId="00F67569" w14:textId="77777777" w:rsidR="00AC5DE1" w:rsidRPr="0026598E" w:rsidRDefault="00AC5DE1" w:rsidP="007315B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853F7">
        <w:rPr>
          <w:rFonts w:ascii="Arial Narrow" w:eastAsia="Times New Roman" w:hAnsi="Arial Narrow" w:cs="Arial"/>
          <w:color w:val="000000"/>
          <w:kern w:val="0"/>
          <w:lang w:val="es-ES" w:eastAsia="es-ES"/>
          <w14:ligatures w14:val="none"/>
        </w:rPr>
        <w:t xml:space="preserve">17 de marzo de </w:t>
      </w:r>
      <w:r w:rsidRPr="003C7DF0">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0A02EDC7" w14: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127855">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6305F"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53526F2" w14: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w14:ligatures w14:val="none"/>
        </w:rPr>
      </w:pPr>
    </w:p>
    <w:p w14:paraId="3323C7B7"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853F7">
        <w:rPr>
          <w:rFonts w:ascii="Arial Narrow" w:eastAsia="Times New Roman" w:hAnsi="Arial Narrow" w:cs="Arial"/>
          <w:color w:val="000000"/>
          <w:kern w:val="0"/>
          <w:lang w:val="es-ES" w:eastAsia="es-ES"/>
          <w14:ligatures w14:val="none"/>
        </w:rPr>
        <w:t xml:space="preserve">17 de marzo de </w:t>
      </w:r>
      <w:r w:rsidRPr="00836A63">
        <w:rPr>
          <w:rFonts w:ascii="Arial Narrow" w:eastAsia="Times New Roman" w:hAnsi="Arial Narrow" w:cs="Arial"/>
          <w:color w:val="000000"/>
          <w:kern w:val="0"/>
          <w:lang w:val="es-ES" w:eastAsia="es-ES"/>
          <w14:ligatures w14:val="none"/>
        </w:rPr>
        <w:t>2025</w:t>
      </w:r>
      <w:r w:rsidRPr="00836A63">
        <w:rPr>
          <w:rFonts w:ascii="Arial Narrow" w:eastAsia="Calibri" w:hAnsi="Arial Narrow" w:cs="Arial"/>
          <w:kern w:val="0"/>
          <w14:ligatures w14:val="none"/>
        </w:rPr>
        <w:t xml:space="preserve">, </w:t>
      </w:r>
      <w:r w:rsidRPr="00836A63">
        <w:rPr>
          <w:rFonts w:ascii="Arial Narrow" w:eastAsia="Arial Narrow" w:hAnsi="Arial Narrow" w:cs="Arial Narrow"/>
          <w:color w:val="000000"/>
          <w:kern w:val="0"/>
          <w:lang w:eastAsia="es-PE"/>
          <w14:ligatures w14:val="none"/>
        </w:rPr>
        <w:t>a</w:t>
      </w:r>
      <w:r w:rsidRPr="00836A63">
        <w:rPr>
          <w:rFonts w:ascii="Arial Narrow" w:eastAsia="Times New Roman" w:hAnsi="Arial Narrow" w:cs="Times New Roman"/>
          <w:color w:val="000000"/>
          <w:kern w:val="0"/>
          <w:shd w:val="clear" w:color="auto" w:fill="FFFFFF"/>
          <w:lang w:eastAsia="es-PE"/>
          <w14:ligatures w14:val="none"/>
        </w:rPr>
        <w:t xml:space="preserve"> Rímac</w:t>
      </w:r>
      <w:r w:rsidRPr="00127855">
        <w:rPr>
          <w:rFonts w:ascii="Arial Narrow" w:eastAsia="Times New Roman" w:hAnsi="Arial Narrow" w:cs="Times New Roman"/>
          <w:color w:val="000000"/>
          <w:kern w:val="0"/>
          <w:shd w:val="clear" w:color="auto" w:fill="FFFFFF"/>
          <w:lang w:eastAsia="es-PE"/>
          <w14:ligatures w14:val="none"/>
        </w:rPr>
        <w:t xml:space="preserve"> Seguros y Reaseguros S.</w:t>
      </w:r>
      <w:r w:rsidRPr="00836A63">
        <w:rPr>
          <w:rFonts w:ascii="Arial Narrow" w:eastAsia="Times New Roman" w:hAnsi="Arial Narrow" w:cs="Times New Roman"/>
          <w:color w:val="000000"/>
          <w:kern w:val="0"/>
          <w:shd w:val="clear" w:color="auto" w:fill="FFFFFF"/>
          <w:lang w:eastAsia="es-PE"/>
          <w14:ligatures w14:val="none"/>
        </w:rPr>
        <w:t>A.</w:t>
      </w:r>
      <w:r w:rsidRPr="00836A6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EB17AFD"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p>
    <w:p w14:paraId="79C82EFF"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AA0814">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w14:ligatures w14:val="none"/>
        </w:rPr>
        <w:t>59936319</w:t>
      </w:r>
      <w:r w:rsidRPr="00AA0814">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FBFECD8" w14: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CCC1C8D" w14: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p>
    <w:p w14:paraId="75DB5B3C" w14: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27855">
        <w:rPr>
          <w:rFonts w:ascii="Arial Narrow" w:hAnsi="Arial Narrow" w:cs="Arial"/>
          <w:bCs/>
          <w:spacing w:val="-3"/>
          <w:kern w:val="0"/>
          <w14:ligatures w14:val="none"/>
        </w:rPr>
        <w:t xml:space="preserve"/>
      </w:r>
      <w:r w:rsidRPr="00127855">
        <w:rPr>
          <w:rFonts w:ascii="Arial Narrow" w:eastAsia="Times New Roman" w:hAnsi="Arial Narrow" w:cs="Times New Roman"/>
          <w:color w:val="000000"/>
          <w:kern w:val="0"/>
          <w:shd w:val="clear" w:color="auto" w:fill="FFFFFF"/>
          <w:lang w:eastAsia="es-PE"/>
          <w14:ligatures w14:val="none"/>
        </w:rPr>
        <w:t xml:space="preserve"/>
      </w:r>
      <w:r w:rsidRPr="00127855">
        <w:rPr>
          <w:rFonts w:ascii="Arial Narrow" w:hAnsi="Arial Narrow"/>
          <w:color w:val="000000"/>
        </w:rPr>
        <w:t/>
      </w:r>
      <w:r w:rsidRPr="00A67ADF">
        <w:rPr>
          <w:rFonts w:ascii="Arial Narrow" w:hAnsi="Arial Narrow"/>
          <w:color w:val="000000"/>
        </w:rPr>
        <w:t xml:space="preserve"/>
      </w:r>
      <w:r w:rsidRPr="00836A6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7B47F0F9" w14:textId="77777777" w:rsidR="00AC5DE1" w:rsidRPr="0026598E" w:rsidRDefault="00AC5DE1" w:rsidP="007315B7">
      <w:pPr>
        <w:suppressAutoHyphens/>
        <w:spacing w:after="0" w:line="240" w:lineRule="auto"/>
        <w:jc w:val="both"/>
        <w:rPr>
          <w:rFonts w:ascii="Arial Narrow" w:hAnsi="Arial Narrow" w:cs="Arial"/>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w14:ligatures w14:val="none"/>
        </w:rPr>
      </w:pPr>
    </w:p>
    <w:p w14:paraId="0022ADC2"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D70A03A"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4BFBD1C" w14: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bookmarkEnd w:id="0"/>
    <w:p w14:paraId="36FDC487" w14: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hAnsi="Arial Narrow"/>
        </w:rPr>
      </w:pPr>
    </w:p>
    <w:p w14:paraId="1E9180A5" w14:textId="77777777" w:rsidR="00AC5DE1" w:rsidRPr="0026598E" w:rsidRDefault="00AC5DE1" w:rsidP="007315B7">
      <w:pPr>
        <w:spacing w:line="240" w:lineRule="auto"/>
        <w:rPr>
          <w:rFonts w:ascii="Arial Narrow" w:hAnsi="Arial Narrow"/>
        </w:rPr>
      </w:pPr>
    </w:p>
    <w:p w14:paraId="4F00EADE" w14:textId="77777777" w:rsidR="00AC5DE1" w:rsidRPr="0026598E" w:rsidRDefault="00AC5DE1" w:rsidP="007315B7">
      <w:pPr>
        <w:spacing w:line="240" w:lineRule="auto"/>
        <w:rPr>
          <w:rFonts w:ascii="Arial Narrow" w:hAnsi="Arial Narrow"/>
        </w:rPr>
      </w:pPr>
    </w:p>
    <w:p w14:paraId="74AAB5F4" w14:textId="77777777" w:rsidR="001B5674" w:rsidRDefault="001B5674" w:rsidP="007315B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t>Denuncia remitida a esta Comisión mediante MEMORANDUM 000438-2025-CHT/INDECOPI de fecha 28 de mayo del 2025, recepcionada el 28 de mayo del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el 2 de setiembre del 2010 en el Diario Oficial El Peruano, vigente desde el 2 de octubre del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TextonotapieCar"/>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