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rPr>
        <w:footnoteReference w:id="2"/>
      </w:r>
      <w:r w:rsidRPr="00FA39FB">
        <w:rPr>
          <w:rFonts w:ascii="Arial Narrow" w:eastAsia="Arial Narrow" w:hAnsi="Arial Narrow"/>
          <w:color w:val="000000"/>
        </w:rPr>
        <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14:paraId="15EF7F0D"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CUARTO: </w:t>
      </w:r>
      <w:r w:rsidRPr="00FA39FB">
        <w:rPr>
          <w:rFonts w:ascii="Arial Narrow" w:eastAsia="Arial Narrow" w:hAnsi="Arial Narrow"/>
          <w:color w:val="000000"/>
        </w:rPr>
        <w:t>correr traslado de la denuncia interpuesta el 22 de junio de 2026 a Rímac Seguros y Reaseguros S.A. y Banco Bbva Peru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rPr>
        <w:footnoteReference w:id="14"/>
      </w:r>
      <w:r w:rsidRPr="00FA39FB">
        <w:rPr>
          <w:rFonts w:ascii="Arial Narrow" w:eastAsia="Arial Narrow" w:hAnsi="Arial Narrow"/>
          <w:color w:val="000000"/>
        </w:rPr>
        <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w:hAnsi="Arial" w:cs="Arial"/>
          <w:sz w:val="16"/>
        </w:rPr>
      </w:pPr>
      <w:r w:rsidRPr="00FA39FB">
        <w:rPr>
          <w:rStyle w:val="Refdenotaalpie"/>
          <w:rFonts w:ascii="Arial Narrow" w:hAnsi="Arial Narrow" w:cs="Arial"/>
          <w:sz w:val="16"/>
          <w:szCs w:val="16"/>
        </w:rPr>
        <w:footnoteRef/>
      </w:r>
      <w:r w:rsidRPr="00FA39FB">
        <w:rPr>
          <w:rFonts w:ascii="Arial" w:hAnsi="Arial"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P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w:hAnsi="Arial"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TextonotapieCar"/>
          <w:rFonts w:ascii="Arial Narrow" w:hAnsi="Arial Narrow" w:cs="Arial"/>
          <w:sz w:val="16"/>
          <w:szCs w:val="16"/>
          <w:vertAlign w:val="superscript"/>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w:eastAsia="Arial Narrow" w:hAnsi="Arial"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rPr>
        <w:footnoteRef/>
      </w:r>
      <w:r w:rsidRPr="00FA39FB">
        <w:rPr>
          <w:rFonts w:ascii="Arial" w:hAnsi="Arial"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rPr>
        <w:footnoteRef/>
      </w:r>
      <w:r w:rsidRPr="00FA39FB">
        <w:rPr>
          <w:rFonts w:ascii="Arial" w:hAnsi="Arial"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w:hAnsi="Arial"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