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C8F53E5"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26C8A" w:rsidRPr="00526C8A">
        <w:rPr>
          <w:rFonts w:ascii="Arial Narrow" w:eastAsia="Times New Roman" w:hAnsi="Arial Narrow" w:cs="Times New Roman"/>
          <w:b/>
          <w:bCs/>
          <w:color w:val="000000"/>
          <w:kern w:val="0"/>
          <w:shd w:val="clear" w:color="auto" w:fill="FFFFFF"/>
          <w:lang w:eastAsia="es-PE"/>
          <w14:ligatures w14:val="none"/>
        </w:rPr>
        <w:t>2389-2025/CC1</w:t>
      </w:r>
    </w:p>
    <w:p w14:paraId="174737B6" w14:textId="15105FAF"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DENUNCIANTE:[DENUNCIANTE] (SEÑORA [APELLIDO])</w:t>
      </w:r>
      <w:r w:rsidRPr="00D5131F">
        <w:rPr>
          <w:rFonts w:ascii="Arial Narrow" w:eastAsia="Arial Narrow" w:hAnsi="Arial Narrow" w:cs="Arial Narrow"/>
          <w:b/>
          <w:color w:val="000000"/>
          <w:kern w:val="0"/>
          <w:lang w:eastAsia="es-PE"/>
          <w14:ligatures w14:val="none"/>
        </w:rPr>
        <w:tab/>
        <w:t/>
      </w:r>
      <w:r w:rsidRPr="00D5131F">
        <w:rPr>
          <w:rFonts w:ascii="Arial Narrow" w:eastAsia="Arial Narrow" w:hAnsi="Arial Narrow" w:cs="Arial Narrow"/>
          <w:b/>
          <w:color w:val="000000"/>
          <w:kern w:val="0"/>
          <w:lang w:eastAsia="es-PE"/>
          <w14:ligatures w14:val="none"/>
        </w:rPr>
        <w:tab/>
      </w:r>
      <w:r w:rsidR="00526C8A" w:rsidRPr="00526C8A">
        <w:rPr>
          <w:rFonts w:ascii="Arial Narrow" w:eastAsia="Arial Narrow" w:hAnsi="Arial Narrow" w:cs="Arial Narrow"/>
          <w:b/>
          <w:color w:val="000000"/>
          <w:kern w:val="0"/>
          <w:lang w:eastAsia="es-PE"/>
          <w14:ligatures w14:val="none"/>
        </w:rPr>
        <w:t xml:space="preserve"/>
      </w:r>
      <w:r w:rsidR="00526C8A" w:rsidRPr="004E4705">
        <w:rPr>
          <w:rFonts w:ascii="Arial Narrow" w:eastAsia="Arial Narrow" w:hAnsi="Arial Narrow" w:cs="Arial Narrow"/>
          <w:b/>
          <w:color w:val="000000"/>
          <w:kern w:val="0"/>
          <w:lang w:eastAsia="es-PE"/>
          <w14:ligatures w14:val="none"/>
        </w:rPr>
        <w:t xml:space="preserve"/>
      </w:r>
      <w:r w:rsidRPr="004E4705">
        <w:rPr>
          <w:rFonts w:ascii="Arial Narrow" w:eastAsia="Arial Narrow" w:hAnsi="Arial Narrow" w:cs="Arial Narrow"/>
          <w:b/>
          <w:color w:val="000000"/>
          <w:kern w:val="0"/>
          <w:lang w:eastAsia="es-PE"/>
          <w14:ligatures w14:val="none"/>
        </w:rPr>
        <w:t/>
      </w:r>
      <w:r w:rsidR="00526C8A" w:rsidRPr="004E4705">
        <w:rPr>
          <w:rFonts w:ascii="Arial Narrow" w:eastAsia="Arial Narrow" w:hAnsi="Arial Narrow" w:cs="Arial Narrow"/>
          <w:b/>
          <w:color w:val="000000"/>
          <w:kern w:val="0"/>
          <w:lang w:eastAsia="es-PE"/>
          <w14:ligatures w14:val="none"/>
        </w:rPr>
        <w:t/>
      </w:r>
      <w:r w:rsidRPr="004E4705">
        <w:rPr>
          <w:rFonts w:ascii="Arial Narrow" w:eastAsia="Arial Narrow" w:hAnsi="Arial Narrow" w:cs="Arial Narrow"/>
          <w:b/>
          <w:color w:val="000000"/>
          <w:kern w:val="0"/>
          <w:lang w:eastAsia="es-PE"/>
          <w14:ligatures w14:val="none"/>
        </w:rPr>
        <w:t xml:space="preserve"/>
      </w:r>
      <w:r w:rsidR="00526C8A" w:rsidRPr="004E4705">
        <w:rPr>
          <w:rFonts w:ascii="Arial Narrow" w:eastAsia="Arial Narrow" w:hAnsi="Arial Narrow" w:cs="Arial Narrow"/>
          <w:b/>
          <w:color w:val="000000"/>
          <w:kern w:val="0"/>
          <w:lang w:eastAsia="es-PE"/>
          <w14:ligatures w14:val="none"/>
        </w:rPr>
        <w:t/>
      </w:r>
      <w:r w:rsidRPr="004E4705">
        <w:rPr>
          <w:rFonts w:ascii="Arial Narrow" w:eastAsia="Arial Narrow" w:hAnsi="Arial Narrow" w:cs="Arial Narrow"/>
          <w:b/>
          <w:color w:val="000000"/>
          <w:kern w:val="0"/>
          <w:lang w:eastAsia="es-PE"/>
          <w14:ligatures w14:val="none"/>
        </w:rPr>
        <w:t/>
      </w:r>
    </w:p>
    <w:p w14:paraId="223101EF" w14:textId="385984CC"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DENUNCIADOS</w:t>
      </w:r>
      <w:r w:rsidRPr="004E4705">
        <w:rPr>
          <w:rFonts w:ascii="Arial Narrow" w:eastAsia="Arial Narrow" w:hAnsi="Arial Narrow" w:cs="Arial Narrow"/>
          <w:b/>
          <w:color w:val="000000"/>
          <w:kern w:val="0"/>
          <w:lang w:eastAsia="es-PE"/>
          <w14:ligatures w14:val="none"/>
        </w:rPr>
        <w:tab/>
        <w:t>:</w:t>
      </w:r>
      <w:r w:rsidRPr="004E4705">
        <w:rPr>
          <w:rFonts w:ascii="Arial Narrow" w:eastAsia="Arial Narrow" w:hAnsi="Arial Narrow" w:cs="Arial Narrow"/>
          <w:b/>
          <w:color w:val="000000"/>
          <w:kern w:val="0"/>
          <w:lang w:eastAsia="es-PE"/>
          <w14:ligatures w14:val="none"/>
        </w:rPr>
        <w:tab/>
      </w:r>
      <w:r w:rsidR="00526C8A" w:rsidRPr="004E4705">
        <w:rPr>
          <w:rFonts w:ascii="Arial Narrow" w:eastAsia="Arial Narrow" w:hAnsi="Arial Narrow" w:cs="Arial Narrow"/>
          <w:b/>
          <w:color w:val="000000"/>
          <w:kern w:val="0"/>
          <w:lang w:eastAsia="es-PE"/>
          <w14:ligatures w14:val="none"/>
        </w:rPr>
        <w:t xml:space="preserve">CHUBB PERÚ S.A. COMPAÑÍA DE SEGUROS Y REASEGUROS </w:t>
      </w:r>
      <w:r w:rsidRPr="004E4705">
        <w:rPr>
          <w:rFonts w:ascii="Arial Narrow" w:eastAsia="Arial Narrow" w:hAnsi="Arial Narrow" w:cs="Arial Narrow"/>
          <w:b/>
          <w:color w:val="000000"/>
          <w:kern w:val="0"/>
          <w:lang w:eastAsia="es-PE"/>
          <w14:ligatures w14:val="none"/>
        </w:rPr>
        <w:t>(</w:t>
      </w:r>
      <w:bookmarkStart w:id="1" w:name="_Hlk212150491"/>
      <w:r w:rsidR="00526C8A" w:rsidRPr="004E4705">
        <w:rPr>
          <w:rFonts w:ascii="Arial Narrow" w:eastAsia="Arial Narrow" w:hAnsi="Arial Narrow" w:cs="Arial Narrow"/>
          <w:b/>
          <w:color w:val="000000"/>
          <w:kern w:val="0"/>
          <w:lang w:eastAsia="es-PE"/>
          <w14:ligatures w14:val="none"/>
        </w:rPr>
        <w:t>CHUBB</w:t>
      </w:r>
      <w:bookmarkEnd w:id="1"/>
      <w:r w:rsidRPr="004E4705">
        <w:rPr>
          <w:rFonts w:ascii="Arial Narrow" w:eastAsia="Arial Narrow" w:hAnsi="Arial Narrow" w:cs="Arial Narrow"/>
          <w:b/>
          <w:color w:val="000000"/>
          <w:kern w:val="0"/>
          <w:lang w:eastAsia="es-PE"/>
          <w14:ligatures w14:val="none"/>
        </w:rPr>
        <w:t xml:space="preserve">) </w:t>
      </w:r>
    </w:p>
    <w:p w14:paraId="4D23E5DF" w14:textId="776C5B12"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ab/>
      </w:r>
      <w:r w:rsidRPr="004E4705">
        <w:rPr>
          <w:rFonts w:ascii="Arial Narrow" w:eastAsia="Arial Narrow" w:hAnsi="Arial Narrow" w:cs="Arial Narrow"/>
          <w:b/>
          <w:color w:val="000000"/>
          <w:kern w:val="0"/>
          <w:lang w:eastAsia="es-PE"/>
          <w14:ligatures w14:val="none"/>
        </w:rPr>
        <w:tab/>
      </w:r>
      <w:r w:rsidR="004E4705" w:rsidRPr="004E4705">
        <w:rPr>
          <w:rFonts w:ascii="Arial Narrow" w:eastAsia="Arial Narrow" w:hAnsi="Arial Narrow" w:cs="Arial Narrow"/>
          <w:b/>
          <w:color w:val="000000"/>
          <w:kern w:val="0"/>
          <w:lang w:eastAsia="es-PE"/>
          <w14:ligatures w14:val="none"/>
        </w:rPr>
        <w:t>BANCO INTERNACIONAL DEL PERU-INTERBANK S.A.A. (BANCO</w:t>
      </w:r>
      <w:r w:rsidRPr="004E4705">
        <w:rPr>
          <w:rFonts w:ascii="Arial Narrow" w:eastAsia="Arial Narrow" w:hAnsi="Arial Narrow" w:cs="Arial Narrow"/>
          <w:b/>
          <w:color w:val="000000"/>
          <w:kern w:val="0"/>
          <w:lang w:eastAsia="es-PE"/>
          <w14:ligatures w14:val="none"/>
        </w:rPr>
        <w:t>)</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MATERIAS</w:t>
      </w:r>
      <w:r w:rsidRPr="004E4705">
        <w:rPr>
          <w:rFonts w:ascii="Arial Narrow" w:eastAsia="Arial Narrow" w:hAnsi="Arial Narrow" w:cs="Arial Narrow"/>
          <w:b/>
          <w:color w:val="000000"/>
          <w:kern w:val="0"/>
          <w:lang w:eastAsia="es-PE"/>
          <w14:ligatures w14:val="none"/>
        </w:rPr>
        <w:tab/>
        <w:t xml:space="preserve">: </w:t>
      </w:r>
      <w:r w:rsidRPr="004E4705">
        <w:rPr>
          <w:rFonts w:ascii="Arial Narrow" w:eastAsia="Arial Narrow" w:hAnsi="Arial Narrow" w:cs="Arial Narrow"/>
          <w:b/>
          <w:color w:val="000000"/>
          <w:kern w:val="0"/>
          <w:lang w:eastAsia="es-PE"/>
          <w14:ligatures w14:val="none"/>
        </w:rPr>
        <w:tab/>
        <w:t>ADMISIÓN A TRÁMITE</w:t>
      </w:r>
    </w:p>
    <w:p w14:paraId="449086A9" w14:textId="77777777" w:rsidR="00E60CD7" w:rsidRPr="00526C8A"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26C8A">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526C8A"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26C8A">
        <w:rPr>
          <w:rFonts w:ascii="Arial Narrow" w:eastAsia="Arial Narrow" w:hAnsi="Arial Narrow" w:cs="Arial Narrow"/>
          <w:b/>
          <w:color w:val="000000"/>
          <w:kern w:val="0"/>
          <w:lang w:eastAsia="es-PE"/>
          <w14:ligatures w14:val="none"/>
        </w:rPr>
        <w:t xml:space="preserve">RESOLUCIÓN </w:t>
      </w:r>
      <w:r w:rsidRPr="00526C8A">
        <w:rPr>
          <w:rFonts w:ascii="Arial Narrow" w:eastAsia="Arial Narrow" w:hAnsi="Arial Narrow" w:cs="Arial Narrow"/>
          <w:b/>
          <w:color w:val="000000"/>
          <w:kern w:val="0"/>
          <w:lang w:eastAsia="es-PE"/>
          <w14:ligatures w14:val="none"/>
        </w:rPr>
        <w:tab/>
        <w:t>:</w:t>
      </w:r>
      <w:r w:rsidRPr="00526C8A">
        <w:rPr>
          <w:rFonts w:ascii="Arial Narrow" w:eastAsia="Arial Narrow" w:hAnsi="Arial Narrow" w:cs="Arial Narrow"/>
          <w:b/>
          <w:color w:val="000000"/>
          <w:kern w:val="0"/>
          <w:lang w:eastAsia="es-PE"/>
          <w14:ligatures w14:val="none"/>
        </w:rPr>
        <w:tab/>
        <w:t>1</w:t>
      </w:r>
    </w:p>
    <w:p w14:paraId="26BE4AD0" w14:textId="77777777" w:rsidR="00E60CD7" w:rsidRPr="00526C8A"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550F8C5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26C8A">
        <w:rPr>
          <w:rFonts w:ascii="Arial Narrow" w:eastAsia="Times New Roman" w:hAnsi="Arial Narrow" w:cs="Times New Roman"/>
          <w:color w:val="000000"/>
          <w:kern w:val="0"/>
          <w:shd w:val="clear" w:color="auto" w:fill="FFFFFF"/>
          <w:lang w:eastAsia="es-PE"/>
          <w14:ligatures w14:val="none"/>
        </w:rPr>
        <w:t xml:space="preserve">Lima, </w:t>
      </w:r>
      <w:r w:rsidR="00D903BD">
        <w:rPr>
          <w:rFonts w:ascii="Arial Narrow" w:eastAsia="Times New Roman" w:hAnsi="Arial Narrow" w:cs="Times New Roman"/>
          <w:color w:val="000000"/>
          <w:kern w:val="0"/>
          <w:shd w:val="clear" w:color="auto" w:fill="FFFFFF"/>
          <w:lang w:eastAsia="es-PE"/>
          <w14:ligatures w14:val="none"/>
        </w:rPr>
        <w:t>24</w:t>
      </w:r>
      <w:r w:rsidRPr="00526C8A">
        <w:rPr>
          <w:rFonts w:ascii="Arial Narrow" w:eastAsia="Times New Roman" w:hAnsi="Arial Narrow" w:cs="Times New Roman"/>
          <w:color w:val="000000"/>
          <w:kern w:val="0"/>
          <w:shd w:val="clear" w:color="auto" w:fill="FFFFFF"/>
          <w:lang w:eastAsia="es-PE"/>
          <w14:ligatures w14:val="none"/>
        </w:rPr>
        <w:t xml:space="preserve"> de </w:t>
      </w:r>
      <w:r w:rsidR="008752F0" w:rsidRPr="00526C8A">
        <w:rPr>
          <w:rFonts w:ascii="Arial Narrow" w:eastAsia="Times New Roman" w:hAnsi="Arial Narrow" w:cs="Times New Roman"/>
          <w:color w:val="000000"/>
          <w:kern w:val="0"/>
          <w:shd w:val="clear" w:color="auto" w:fill="FFFFFF"/>
          <w:lang w:eastAsia="es-PE"/>
          <w14:ligatures w14:val="none"/>
        </w:rPr>
        <w:t xml:space="preserve">octubre </w:t>
      </w:r>
      <w:r w:rsidRPr="00526C8A">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49531107" w:rsidR="00E60CD7" w:rsidRPr="00D5131F" w:rsidRDefault="7DB2BEE4"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17D40">
        <w:rPr>
          <w:rFonts w:ascii="Arial Narrow" w:eastAsia="Times New Roman" w:hAnsi="Arial Narrow" w:cs="Arial"/>
          <w:color w:val="000000"/>
          <w:kern w:val="0"/>
          <w:lang w:val="es-ES" w:eastAsia="es-ES"/>
          <w14:ligatures w14:val="none"/>
        </w:rPr>
        <w:t xml:space="preserve">Mediante la denuncia del 24 de setiembre de 2025, complementada mediante escrito del 22 de octubre de 2025, la señora [APELLIDO] denunció a Chubb y al Banco por presuntas infracciones a la Ley 29571, Código de Protección y Defensa del Consumidor (en adelante, Código), señalando lo siguiente:</w:t>
      </w:r>
      <w:r w:rsidR="09ED95CA" w:rsidRPr="00517D40">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517D40">
        <w:rPr>
          <w:rFonts w:ascii="Arial Narrow" w:eastAsia="Calibri" w:hAnsi="Arial Narrow" w:cs="Arial"/>
          <w:kern w:val="0"/>
          <w14:ligatures w14:val="none"/>
        </w:rPr>
        <w:t xml:space="preserve"/>
      </w:r>
      <w:r w:rsidR="09ED95CA" w:rsidRPr="00517D40">
        <w:rPr>
          <w:rFonts w:ascii="Arial Narrow" w:eastAsia="Calibri" w:hAnsi="Arial Narrow" w:cs="Arial"/>
          <w:kern w:val="0"/>
          <w14:ligatures w14:val="none"/>
        </w:rPr>
        <w:t/>
      </w:r>
      <w:r w:rsidRPr="00517D40">
        <w:rPr>
          <w:rFonts w:ascii="Arial Narrow" w:eastAsia="Calibri" w:hAnsi="Arial Narrow" w:cs="Arial"/>
          <w:kern w:val="0"/>
          <w14:ligatures w14:val="none"/>
        </w:rPr>
        <w:t xml:space="preserve"/>
      </w:r>
      <w:r w:rsidR="09ED95CA" w:rsidRPr="00517D40">
        <w:rPr>
          <w:rFonts w:ascii="Arial Narrow" w:eastAsia="Calibri" w:hAnsi="Arial Narrow" w:cs="Arial"/>
          <w:kern w:val="0"/>
          <w14:ligatures w14:val="none"/>
        </w:rPr>
        <w:t xml:space="preserve"/>
      </w:r>
      <w:r w:rsidRPr="00517D40">
        <w:rPr>
          <w:rFonts w:ascii="Arial Narrow" w:eastAsia="Calibri" w:hAnsi="Arial Narrow" w:cs="Arial"/>
          <w:kern w:val="0"/>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xml:space="preserve"/>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xml:space="preserve"/>
      </w:r>
      <w:r w:rsidRPr="00517D40">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w:r>
      <w:r w:rsidR="00E60CD7" w:rsidRPr="00D5131F">
        <w:rPr>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w:r>
      <w:r w:rsidRPr="000B00F2">
        <w:rPr>
          <w:rFonts w:ascii="Arial Narrow" w:eastAsia="Times New Roman" w:hAnsi="Arial Narrow" w:cs="Arial"/>
          <w:color w:val="000000"/>
          <w:kern w:val="0"/>
          <w:lang w:val="es-ES" w:eastAsia="es-ES"/>
          <w14:ligatures w14:val="none"/>
        </w:rPr>
        <w:t/>
      </w:r>
    </w:p>
    <w:p w14:paraId="64AF7FDB"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8DB8007" w14:textId="52CA617F"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Con anterioridad al 19 de agosto de 2025, adquirió el Seguro Protección de Tarjetas – Póliza 26720 (en adelante, “Seguro Protección de Tarjetas”)</w:t>
      </w:r>
      <w:r w:rsidR="4D2E2813" w:rsidRPr="000B00F2">
        <w:rPr>
          <w:rFonts w:ascii="Arial Narrow" w:eastAsia="Times New Roman" w:hAnsi="Arial Narrow" w:cs="Arial"/>
          <w:color w:val="000000" w:themeColor="text1"/>
          <w:lang w:eastAsia="es-ES"/>
        </w:rPr>
        <w:t xml:space="preserve"> emitida por Chubb</w:t>
      </w:r>
      <w:r w:rsidRPr="000B00F2">
        <w:rPr>
          <w:rFonts w:ascii="Arial Narrow" w:eastAsia="Times New Roman" w:hAnsi="Arial Narrow" w:cs="Arial"/>
          <w:color w:val="000000" w:themeColor="text1"/>
          <w:lang w:eastAsia="es-ES"/>
        </w:rPr>
        <w:t>, que cubría compras fraudulentas por internet, teléfono y transferencias virtuales; la tarjeta de crédito asociada</w:t>
      </w:r>
      <w:r w:rsidR="07975C08" w:rsidRPr="000B00F2">
        <w:rPr>
          <w:rFonts w:ascii="Arial Narrow" w:eastAsia="Times New Roman" w:hAnsi="Arial Narrow" w:cs="Arial"/>
          <w:color w:val="000000" w:themeColor="text1"/>
          <w:lang w:eastAsia="es-ES"/>
        </w:rPr>
        <w:t xml:space="preserve"> emitida por el Banco</w:t>
      </w:r>
      <w:r w:rsidRPr="000B00F2">
        <w:rPr>
          <w:rFonts w:ascii="Arial Narrow" w:eastAsia="Times New Roman" w:hAnsi="Arial Narrow" w:cs="Arial"/>
          <w:color w:val="000000" w:themeColor="text1"/>
          <w:lang w:eastAsia="es-ES"/>
        </w:rPr>
        <w:t xml:space="preserve"> no registraba movimientos de consumo distintos a los cargos del propio seguro y permanecía en su domicilio, guardada en el sobre original de entrega. </w:t>
      </w:r>
    </w:p>
    <w:p w14:paraId="62CEC7F4" w14:textId="07B0EF55"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621885B" w14:textId="6DBEA84D"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19 de agosto de 2025, se efectuó un consumo por S/ 17 497,00, fraccionado en seis cuotas, a través del aplicativo </w:t>
      </w:r>
      <w:r w:rsidR="164C53B1" w:rsidRPr="000B00F2">
        <w:rPr>
          <w:rFonts w:ascii="Arial Narrow" w:eastAsia="Times New Roman" w:hAnsi="Arial Narrow" w:cs="Arial"/>
          <w:color w:val="000000" w:themeColor="text1"/>
          <w:lang w:eastAsia="es-ES"/>
        </w:rPr>
        <w:t>del Banco</w:t>
      </w:r>
      <w:r w:rsidRPr="000B00F2">
        <w:rPr>
          <w:rFonts w:ascii="Arial Narrow" w:eastAsia="Times New Roman" w:hAnsi="Arial Narrow" w:cs="Arial"/>
          <w:color w:val="000000" w:themeColor="text1"/>
          <w:lang w:eastAsia="es-ES"/>
        </w:rPr>
        <w:t xml:space="preserve">, sin su autorización ni conocimiento. </w:t>
      </w:r>
    </w:p>
    <w:p w14:paraId="2098D058" w14:textId="1B4AE442"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75143CED" w14:textId="70208309"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El 20 de agosto de 2025, bloqueó la tarjeta</w:t>
      </w:r>
      <w:r w:rsidR="6D347737" w:rsidRPr="000B00F2">
        <w:rPr>
          <w:rFonts w:ascii="Arial Narrow" w:eastAsia="Times New Roman" w:hAnsi="Arial Narrow" w:cs="Arial"/>
          <w:color w:val="000000" w:themeColor="text1"/>
          <w:lang w:eastAsia="es-ES"/>
        </w:rPr>
        <w:t xml:space="preserve"> de crédito </w:t>
      </w:r>
      <w:r w:rsidR="1C1528A8" w:rsidRPr="000B00F2">
        <w:rPr>
          <w:rFonts w:ascii="Arial Narrow" w:eastAsia="Times New Roman" w:hAnsi="Arial Narrow" w:cs="Arial"/>
          <w:color w:val="000000" w:themeColor="text1"/>
          <w:lang w:eastAsia="es-ES"/>
        </w:rPr>
        <w:t xml:space="preserve">e </w:t>
      </w:r>
      <w:r w:rsidRPr="000B00F2">
        <w:rPr>
          <w:rFonts w:ascii="Arial Narrow" w:eastAsia="Times New Roman" w:hAnsi="Arial Narrow" w:cs="Arial"/>
          <w:color w:val="000000" w:themeColor="text1"/>
          <w:lang w:eastAsia="es-ES"/>
        </w:rPr>
        <w:t>interpuso la denuncia policial</w:t>
      </w:r>
      <w:r w:rsidR="1EFE46DD" w:rsidRPr="000B00F2">
        <w:rPr>
          <w:rFonts w:ascii="Arial Narrow" w:eastAsia="Times New Roman" w:hAnsi="Arial Narrow" w:cs="Arial"/>
          <w:color w:val="000000" w:themeColor="text1"/>
          <w:lang w:eastAsia="es-ES"/>
        </w:rPr>
        <w:t xml:space="preserve"> correspondiente</w:t>
      </w:r>
      <w:r w:rsidRPr="000B00F2">
        <w:rPr>
          <w:rFonts w:ascii="Arial Narrow" w:eastAsia="Times New Roman" w:hAnsi="Arial Narrow" w:cs="Arial"/>
          <w:color w:val="000000" w:themeColor="text1"/>
          <w:lang w:eastAsia="es-ES"/>
        </w:rPr>
        <w:t xml:space="preserve">. Con dichas acciones, gestionó </w:t>
      </w:r>
      <w:r w:rsidR="3C6B6792" w:rsidRPr="000B00F2">
        <w:rPr>
          <w:rFonts w:ascii="Arial Narrow" w:eastAsia="Times New Roman" w:hAnsi="Arial Narrow" w:cs="Arial"/>
          <w:color w:val="000000" w:themeColor="text1"/>
          <w:lang w:eastAsia="es-ES"/>
        </w:rPr>
        <w:t xml:space="preserve">el otorgamiento de cobertura </w:t>
      </w:r>
      <w:r w:rsidRPr="000B00F2">
        <w:rPr>
          <w:rFonts w:ascii="Arial Narrow" w:eastAsia="Times New Roman" w:hAnsi="Arial Narrow" w:cs="Arial"/>
          <w:color w:val="000000" w:themeColor="text1"/>
          <w:lang w:eastAsia="es-ES"/>
        </w:rPr>
        <w:t>del Seguro Protección de Tarjetas</w:t>
      </w:r>
      <w:r w:rsidR="5DABD4EE" w:rsidRPr="000B00F2">
        <w:rPr>
          <w:rFonts w:ascii="Arial Narrow" w:eastAsia="Times New Roman" w:hAnsi="Arial Narrow" w:cs="Arial"/>
          <w:color w:val="000000" w:themeColor="text1"/>
          <w:lang w:eastAsia="es-ES"/>
        </w:rPr>
        <w:t xml:space="preserve"> con la compañía aseguradora</w:t>
      </w:r>
      <w:r w:rsidRPr="000B00F2">
        <w:rPr>
          <w:rFonts w:ascii="Arial Narrow" w:eastAsia="Times New Roman" w:hAnsi="Arial Narrow" w:cs="Arial"/>
          <w:color w:val="000000" w:themeColor="text1"/>
          <w:lang w:eastAsia="es-ES"/>
        </w:rPr>
        <w:t xml:space="preserve">. </w:t>
      </w:r>
    </w:p>
    <w:p w14:paraId="65671192" w14:textId="08CC2049"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1D89CB0" w14:textId="415FC204" w:rsidR="00E60CD7" w:rsidRPr="007E2BFC" w:rsidRDefault="515B96B5"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Asimismo,</w:t>
      </w:r>
      <w:r w:rsidR="4DDB8A08" w:rsidRPr="000B00F2">
        <w:rPr>
          <w:rFonts w:ascii="Arial Narrow" w:eastAsia="Times New Roman" w:hAnsi="Arial Narrow" w:cs="Arial"/>
          <w:color w:val="000000" w:themeColor="text1"/>
          <w:lang w:eastAsia="es-ES"/>
        </w:rPr>
        <w:t xml:space="preserve"> comunicó a</w:t>
      </w:r>
      <w:r w:rsidR="13FAA7E2" w:rsidRPr="000B00F2">
        <w:rPr>
          <w:rFonts w:ascii="Arial Narrow" w:eastAsia="Times New Roman" w:hAnsi="Arial Narrow" w:cs="Arial"/>
          <w:color w:val="000000" w:themeColor="text1"/>
          <w:lang w:eastAsia="es-ES"/>
        </w:rPr>
        <w:t>l Banco la operación no reconocida del 19 de agosto de 2025</w:t>
      </w:r>
      <w:r w:rsidR="4DDB8A08" w:rsidRPr="000B00F2">
        <w:rPr>
          <w:rFonts w:ascii="Arial Narrow" w:eastAsia="Times New Roman" w:hAnsi="Arial Narrow" w:cs="Arial"/>
          <w:color w:val="000000" w:themeColor="text1"/>
          <w:lang w:eastAsia="es-ES"/>
        </w:rPr>
        <w:t xml:space="preserve">; </w:t>
      </w:r>
      <w:r w:rsidR="40297D53" w:rsidRPr="000B00F2">
        <w:rPr>
          <w:rFonts w:ascii="Arial Narrow" w:eastAsia="Times New Roman" w:hAnsi="Arial Narrow" w:cs="Arial"/>
          <w:color w:val="000000" w:themeColor="text1"/>
          <w:lang w:eastAsia="es-ES"/>
        </w:rPr>
        <w:t xml:space="preserve">no obstante, </w:t>
      </w:r>
      <w:r w:rsidR="4DDB8A08" w:rsidRPr="000B00F2">
        <w:rPr>
          <w:rFonts w:ascii="Arial Narrow" w:eastAsia="Times New Roman" w:hAnsi="Arial Narrow" w:cs="Arial"/>
          <w:color w:val="000000" w:themeColor="text1"/>
          <w:lang w:eastAsia="es-ES"/>
        </w:rPr>
        <w:t>la entidad</w:t>
      </w:r>
      <w:r w:rsidR="3F858AF5" w:rsidRPr="000B00F2">
        <w:rPr>
          <w:rFonts w:ascii="Arial Narrow" w:eastAsia="Times New Roman" w:hAnsi="Arial Narrow" w:cs="Arial"/>
          <w:color w:val="000000" w:themeColor="text1"/>
          <w:lang w:eastAsia="es-ES"/>
        </w:rPr>
        <w:t xml:space="preserve"> bancaria</w:t>
      </w:r>
      <w:r w:rsidR="4DDB8A08" w:rsidRPr="000B00F2">
        <w:rPr>
          <w:rFonts w:ascii="Arial Narrow" w:eastAsia="Times New Roman" w:hAnsi="Arial Narrow" w:cs="Arial"/>
          <w:color w:val="000000" w:themeColor="text1"/>
          <w:lang w:eastAsia="es-ES"/>
        </w:rPr>
        <w:t xml:space="preserve"> </w:t>
      </w:r>
      <w:r w:rsidR="6359CBE9" w:rsidRPr="000B00F2">
        <w:rPr>
          <w:rFonts w:ascii="Arial Narrow" w:eastAsia="Times New Roman" w:hAnsi="Arial Narrow" w:cs="Arial"/>
          <w:color w:val="000000" w:themeColor="text1"/>
          <w:lang w:eastAsia="es-ES"/>
        </w:rPr>
        <w:t xml:space="preserve">estuvo realizando </w:t>
      </w:r>
      <w:r w:rsidR="4DDB8A08" w:rsidRPr="000B00F2">
        <w:rPr>
          <w:rFonts w:ascii="Arial Narrow" w:eastAsia="Times New Roman" w:hAnsi="Arial Narrow" w:cs="Arial"/>
          <w:color w:val="000000" w:themeColor="text1"/>
          <w:lang w:eastAsia="es-ES"/>
        </w:rPr>
        <w:t xml:space="preserve">llamadas de cobranza reiteradas, incluso con intervalos de un minuto. </w:t>
      </w:r>
    </w:p>
    <w:p w14:paraId="5F7F56A4" w14:textId="61B93ACA"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CAB0691" w14:textId="7D13CDA6"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16 de septiembre de 2025, </w:t>
      </w:r>
      <w:r w:rsidR="25650523" w:rsidRPr="000B00F2">
        <w:rPr>
          <w:rFonts w:ascii="Arial Narrow" w:eastAsia="Times New Roman" w:hAnsi="Arial Narrow" w:cs="Arial"/>
          <w:color w:val="000000" w:themeColor="text1"/>
          <w:lang w:eastAsia="es-ES"/>
        </w:rPr>
        <w:t>Chubb</w:t>
      </w:r>
      <w:r w:rsidRPr="000B00F2">
        <w:rPr>
          <w:rFonts w:ascii="Arial Narrow" w:eastAsia="Times New Roman" w:hAnsi="Arial Narrow" w:cs="Arial"/>
          <w:color w:val="000000" w:themeColor="text1"/>
          <w:lang w:eastAsia="es-ES"/>
        </w:rPr>
        <w:t xml:space="preserve"> rechazó la cobertura del Seguro Protección de Tarjetas mediante carta, </w:t>
      </w:r>
      <w:r w:rsidR="474E71FB" w:rsidRPr="000B00F2">
        <w:rPr>
          <w:rFonts w:ascii="Arial Narrow" w:eastAsia="Times New Roman" w:hAnsi="Arial Narrow" w:cs="Arial"/>
          <w:color w:val="000000" w:themeColor="text1"/>
          <w:lang w:eastAsia="es-ES"/>
        </w:rPr>
        <w:t>señalando</w:t>
      </w:r>
      <w:r w:rsidRPr="000B00F2">
        <w:rPr>
          <w:rFonts w:ascii="Arial Narrow" w:eastAsia="Times New Roman" w:hAnsi="Arial Narrow" w:cs="Arial"/>
          <w:color w:val="000000" w:themeColor="text1"/>
          <w:lang w:eastAsia="es-ES"/>
        </w:rPr>
        <w:t xml:space="preserve"> que </w:t>
      </w:r>
      <w:r w:rsidR="718A5EFE" w:rsidRPr="000B00F2">
        <w:rPr>
          <w:rFonts w:ascii="Arial Narrow" w:eastAsia="Times New Roman" w:hAnsi="Arial Narrow" w:cs="Arial"/>
          <w:color w:val="000000" w:themeColor="text1"/>
          <w:lang w:eastAsia="es-ES"/>
        </w:rPr>
        <w:t>el bloqueo de la tarjeta se efectuó el 20 de agosto de 2025 a las 11:55 horas, fuera del plazo de 4 horas, y que la denuncia policial se presentó el 20 de agosto de 2025 a las 16:57 horas, fuera del plazo de 24 horas.</w:t>
      </w:r>
    </w:p>
    <w:p w14:paraId="56967709" w14:textId="1E8DAA63"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FB14F49" w14:textId="278E40EE"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22 de septiembre de 2025, </w:t>
      </w:r>
      <w:r w:rsidR="068B46EC" w:rsidRPr="000B00F2">
        <w:rPr>
          <w:rFonts w:ascii="Arial Narrow" w:eastAsia="Times New Roman" w:hAnsi="Arial Narrow" w:cs="Arial"/>
          <w:color w:val="000000" w:themeColor="text1"/>
          <w:lang w:eastAsia="es-ES"/>
        </w:rPr>
        <w:t>el Banco le</w:t>
      </w:r>
      <w:r w:rsidRPr="000B00F2">
        <w:rPr>
          <w:rFonts w:ascii="Arial Narrow" w:eastAsia="Times New Roman" w:hAnsi="Arial Narrow" w:cs="Arial"/>
          <w:color w:val="000000" w:themeColor="text1"/>
          <w:lang w:eastAsia="es-ES"/>
        </w:rPr>
        <w:t xml:space="preserve"> comunicó mediante carta que la operación se realizó a través de un comercio electrónico seguro con autenticación vía SMS; no</w:t>
      </w:r>
      <w:r w:rsidR="7EFC3E42" w:rsidRPr="000B00F2">
        <w:rPr>
          <w:rFonts w:ascii="Arial Narrow" w:eastAsia="Times New Roman" w:hAnsi="Arial Narrow" w:cs="Arial"/>
          <w:color w:val="000000" w:themeColor="text1"/>
          <w:lang w:eastAsia="es-ES"/>
        </w:rPr>
        <w:t xml:space="preserve"> obstante, no</w:t>
      </w:r>
      <w:r w:rsidRPr="000B00F2">
        <w:rPr>
          <w:rFonts w:ascii="Arial Narrow" w:eastAsia="Times New Roman" w:hAnsi="Arial Narrow" w:cs="Arial"/>
          <w:color w:val="000000" w:themeColor="text1"/>
          <w:lang w:eastAsia="es-ES"/>
        </w:rPr>
        <w:t xml:space="preserve"> aprobó ni validó mensaje de autenticación alguno y no recibió notificación o alerta preventiva respecto de dicha operación. </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39ED8FF0" w:rsidR="00E60CD7" w:rsidRPr="00D5131F" w:rsidRDefault="09ED95CA"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Calibri" w:hAnsi="Arial Narrow" w:cs="Arial"/>
          <w:kern w:val="0"/>
          <w14:ligatures w14:val="none"/>
        </w:rPr>
        <w:t xml:space="preserve">La señora [APELLIDO] solicitó, en calidad de medida correctiva, que Chubb y el Banco cumplan con: (i) cubrir el siniestro por fraude electrónico ocurrido el 19 de agosto de 2025, por el monto de S/ 17 497,00 soles; (ii) dejar sin efecto el compromiso de pago que no fue autorizado por su persona, y que se ordene el cese inmediato de presiones, llamadas telefónicas, mensajes y amenazas de reporte a Infocorp, mediante las cuales se me exige el pago de cuotas derivadas de una compra que no realizó. Asimismo, no requirió de manera expresa el reembolso de costos y costas del presente procedimiento.</w:t>
      </w:r>
      <w:r w:rsidRPr="00517D40">
        <w:rPr>
          <w:rFonts w:ascii="Arial Narrow" w:eastAsia="Calibri" w:hAnsi="Arial Narrow" w:cs="Arial"/>
          <w:kern w:val="0"/>
          <w14:ligatures w14:val="none"/>
        </w:rPr>
        <w:t xml:space="preserve"/>
      </w:r>
      <w:r w:rsidR="7DB2BEE4" w:rsidRPr="00D5131F">
        <w:rPr>
          <w:rFonts w:ascii="Arial Narrow" w:eastAsia="Times New Roman" w:hAnsi="Arial Narrow" w:cs="Arial"/>
          <w:color w:val="000000"/>
          <w:kern w:val="0"/>
          <w:lang w:val="es-ES" w:eastAsia="es-ES"/>
          <w14:ligatures w14:val="none"/>
        </w:rPr>
        <w:t xml:space="preserve"/>
      </w:r>
      <w:bookmarkStart w:id="2" w:name="_Hlk206587071"/>
      <w:r w:rsidRPr="00517D40">
        <w:rPr>
          <w:rFonts w:ascii="Arial Narrow" w:eastAsia="Times New Roman" w:hAnsi="Arial Narrow" w:cs="Arial"/>
          <w:color w:val="000000"/>
          <w:kern w:val="0"/>
          <w:lang w:val="es-ES" w:eastAsia="es-ES"/>
          <w14:ligatures w14:val="none"/>
        </w:rPr>
        <w:t xml:space="preserve"/>
      </w:r>
      <w:r>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w:r>
      <w:r w:rsidR="59FE65E7"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21B1F101" w:rsidRPr="000B00F2">
        <w:rPr>
          <w:rFonts w:ascii="Arial Narrow" w:eastAsia="Times New Roman" w:hAnsi="Arial Narrow" w:cs="Arial"/>
          <w:color w:val="000000" w:themeColor="text1"/>
          <w:lang w:val="es-ES" w:eastAsia="es-ES"/>
        </w:rPr>
        <w:t/>
      </w:r>
      <w:r w:rsidR="3722ADC6" w:rsidRPr="000B00F2">
        <w:rPr>
          <w:rFonts w:ascii="Arial Narrow" w:eastAsia="Times New Roman" w:hAnsi="Arial Narrow" w:cs="Arial"/>
          <w:color w:val="000000" w:themeColor="text1"/>
          <w:lang w:val="es-ES" w:eastAsia="es-ES"/>
        </w:rPr>
        <w:t/>
      </w:r>
      <w:proofErr w:type="spellStart"/>
      <w:r w:rsidR="3722ADC6" w:rsidRPr="000B00F2">
        <w:rPr>
          <w:rFonts w:ascii="Arial Narrow" w:eastAsia="Times New Roman" w:hAnsi="Arial Narrow" w:cs="Arial"/>
          <w:color w:val="000000" w:themeColor="text1"/>
          <w:lang w:val="es-ES" w:eastAsia="es-ES"/>
        </w:rPr>
        <w:t/>
      </w:r>
      <w:proofErr w:type="spellEnd"/>
      <w:r w:rsidR="3722ADC6" w:rsidRPr="000B00F2">
        <w:rPr>
          <w:rFonts w:ascii="Arial Narrow" w:eastAsia="Times New Roman" w:hAnsi="Arial Narrow" w:cs="Arial"/>
          <w:color w:val="000000" w:themeColor="text1"/>
          <w:lang w:val="es-ES" w:eastAsia="es-ES"/>
        </w:rPr>
        <w:t xml:space="preserve"/>
      </w:r>
      <w:r w:rsidR="3722ADC6" w:rsidRPr="000B00F2">
        <w:rPr>
          <w:rFonts w:ascii="Arial Narrow" w:eastAsia="Times New Roman" w:hAnsi="Arial Narrow" w:cs="Arial"/>
          <w:color w:val="000000" w:themeColor="text1"/>
          <w:lang w:val="es-ES" w:eastAsia="es-ES"/>
        </w:rPr>
        <w:lastRenderedPageBreak/>
        <w:t/>
      </w:r>
      <w:r w:rsidR="7DB2BEE4" w:rsidRPr="00D5131F">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5A399B57"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w:r>
      <w:r w:rsidR="16D9CB06"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7DB2BEE4" w:rsidRPr="00D5131F">
        <w:rPr>
          <w:rFonts w:ascii="Arial Narrow" w:eastAsia="Times New Roman" w:hAnsi="Arial Narrow" w:cs="Arial"/>
          <w:color w:val="000000"/>
          <w:kern w:val="0"/>
          <w:lang w:val="es-ES" w:eastAsia="es-ES"/>
          <w14:ligatures w14:val="none"/>
        </w:rPr>
        <w:t/>
      </w:r>
    </w:p>
    <w:bookmarkEnd w:id="2"/>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7DB2BEE4" w:rsidP="000B00F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DE LA ADMISIÓN A TRÁMITE DE LA DENUNCIA</w:t>
      </w:r>
    </w:p>
    <w:p w14:paraId="4BBBE1C2" w14:textId="77777777" w:rsidR="00E60CD7" w:rsidRPr="0058331A" w:rsidRDefault="00E60CD7" w:rsidP="000B00F2">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749C69A0" w14:textId="3B22486D" w:rsidR="008424BB" w:rsidRPr="00711750"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B00F2">
        <w:rPr>
          <w:rFonts w:ascii="Arial Narrow" w:eastAsia="Times New Roman" w:hAnsi="Arial Narrow" w:cs="Segoe UI"/>
          <w:color w:val="000000"/>
          <w:kern w:val="0"/>
          <w:lang w:eastAsia="es-PE"/>
          <w14:ligatures w14:val="none"/>
        </w:rPr>
        <w:t xml:space="preserve">La Secretaría </w:t>
      </w:r>
      <w:bookmarkEnd w:id="3"/>
      <w:bookmarkEnd w:id="4"/>
      <w:bookmarkEnd w:id="5"/>
      <w:r w:rsidRPr="000B00F2">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CA50CD" w:rsidRPr="000B00F2">
        <w:rPr>
          <w:rFonts w:ascii="Arial Narrow" w:eastAsia="Arial Narrow" w:hAnsi="Arial Narrow" w:cs="Arial Narrow"/>
          <w:kern w:val="0"/>
          <w:vertAlign w:val="superscript"/>
          <w14:ligatures w14:val="none"/>
        </w:rPr>
        <w:footnoteReference w:id="2"/>
      </w:r>
      <w:r w:rsidRPr="000B00F2">
        <w:rPr>
          <w:rFonts w:ascii="Arial Narrow" w:eastAsia="Times New Roman" w:hAnsi="Arial Narrow" w:cs="Segoe UI"/>
          <w:color w:val="000000"/>
          <w:kern w:val="0"/>
          <w:lang w:eastAsia="es-PE"/>
          <w14:ligatures w14:val="none"/>
        </w:rPr>
        <w:t xml:space="preserve">, considera </w:t>
      </w:r>
      <w:r w:rsidRPr="000B00F2">
        <w:rPr>
          <w:rFonts w:ascii="Arial Narrow" w:eastAsia="Arial Narrow" w:hAnsi="Arial Narrow" w:cs="Arial Narrow"/>
          <w:kern w:val="0"/>
          <w14:ligatures w14:val="none"/>
        </w:rPr>
        <w:t xml:space="preserve">que el hecho denunciado, </w:t>
      </w:r>
      <w:r w:rsidR="757BF1B4" w:rsidRPr="00121544">
        <w:rPr>
          <w:rFonts w:ascii="Arial Narrow" w:eastAsia="Arial Narrow" w:hAnsi="Arial Narrow" w:cs="Arial Narrow"/>
          <w:kern w:val="0"/>
          <w14:ligatures w14:val="none"/>
        </w:rPr>
        <w:t xml:space="preserve">consistente en que </w:t>
      </w:r>
      <w:r w:rsidR="007E7A32" w:rsidRPr="007E7A32">
        <w:rPr>
          <w:rFonts w:ascii="Arial Narrow" w:eastAsia="Arial Narrow" w:hAnsi="Arial Narrow" w:cs="Arial Narrow"/>
        </w:rPr>
        <w:t xml:space="preserve">Chubb Perú S.A. Compañía de Seguros y Reaseguros se habría negado injustificadamente a otorgar a la denunciante la cobertura del Seguro Protección de Tarjetas – Póliza </w:t>
      </w:r>
      <w:proofErr w:type="spellStart"/>
      <w:r w:rsidR="007E7A32" w:rsidRPr="007E7A32">
        <w:rPr>
          <w:rFonts w:ascii="Arial Narrow" w:eastAsia="Arial Narrow" w:hAnsi="Arial Narrow" w:cs="Arial Narrow"/>
        </w:rPr>
        <w:t/>
      </w:r>
      <w:proofErr w:type="spellEnd"/>
      <w:r w:rsidR="007E7A32" w:rsidRPr="007E7A32">
        <w:rPr>
          <w:rFonts w:ascii="Arial Narrow" w:eastAsia="Arial Narrow" w:hAnsi="Arial Narrow" w:cs="Arial Narrow"/>
        </w:rPr>
        <w:t xml:space="preserve"> 26720 en virtud de la operación no reconocida efectuada el 19 de agosto de 2025</w:t>
      </w:r>
      <w:r w:rsidR="757BF1B4" w:rsidRPr="000B00F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757BF1B4" w:rsidRPr="000B00F2">
        <w:rPr>
          <w:rFonts w:ascii="Arial Narrow" w:eastAsia="Times New Roman" w:hAnsi="Arial Narrow" w:cs="Segoe UI"/>
          <w:color w:val="000000"/>
          <w:kern w:val="0"/>
          <w:lang w:eastAsia="es-PE"/>
          <w14:ligatures w14:val="none"/>
        </w:rPr>
        <w:t/>
      </w:r>
      <w:r w:rsidR="757BF1B4" w:rsidRPr="000B00F2">
        <w:rPr>
          <w:rFonts w:ascii="Arial Narrow" w:eastAsia="Arial Narrow" w:hAnsi="Arial Narrow" w:cs="Arial Narrow"/>
          <w:kern w:val="0"/>
          <w14:ligatures w14:val="none"/>
        </w:rPr>
        <w:t xml:space="preserve"> y 19</w:t>
      </w:r>
      <w:r w:rsidR="757BF1B4" w:rsidRPr="000B00F2">
        <w:rPr>
          <w:rFonts w:ascii="Arial Narrow" w:eastAsia="Times New Roman" w:hAnsi="Arial Narrow" w:cs="Segoe UI"/>
          <w:color w:val="000000"/>
          <w:kern w:val="0"/>
          <w:lang w:eastAsia="es-PE"/>
          <w14:ligatures w14:val="none"/>
        </w:rPr>
        <w:t/>
      </w:r>
      <w:r w:rsidR="757BF1B4" w:rsidRPr="000B00F2">
        <w:rPr>
          <w:rFonts w:ascii="Arial Narrow" w:eastAsia="Arial Narrow" w:hAnsi="Arial Narrow" w:cs="Arial Narrow"/>
          <w:kern w:val="0"/>
          <w14:ligatures w14:val="none"/>
        </w:rPr>
        <w:t xml:space="preserve"> del Código</w:t>
      </w:r>
      <w:bookmarkStart w:id="6" w:name="_Hlk211599421"/>
      <w:r w:rsidR="008424BB" w:rsidRPr="000B00F2">
        <w:rPr>
          <w:rFonts w:ascii="Arial Narrow" w:eastAsia="Arial Narrow" w:hAnsi="Arial Narrow" w:cs="Arial"/>
          <w:kern w:val="0"/>
          <w:vertAlign w:val="superscript"/>
          <w14:ligatures w14:val="none"/>
        </w:rPr>
        <w:footnoteReference w:id="3"/>
      </w:r>
      <w:r w:rsidR="757BF1B4" w:rsidRPr="000B00F2">
        <w:rPr>
          <w:rFonts w:ascii="Arial Narrow" w:eastAsia="Arial Narrow" w:hAnsi="Arial Narrow" w:cs="Arial Narrow"/>
          <w:kern w:val="0"/>
          <w14:ligatures w14:val="none"/>
        </w:rPr>
        <w:t>.</w:t>
      </w:r>
      <w:bookmarkEnd w:id="6"/>
    </w:p>
    <w:p w14:paraId="6BDA4B7E" w14:textId="5E6CB64F" w:rsidR="00CA50CD" w:rsidRPr="008424BB" w:rsidRDefault="00CA50CD" w:rsidP="000B00F2">
      <w:pPr>
        <w:spacing w:after="0" w:line="240" w:lineRule="auto"/>
        <w:ind w:left="567"/>
        <w:jc w:val="both"/>
        <w:rPr>
          <w:rFonts w:ascii="Arial Narrow" w:eastAsia="Arial Narrow" w:hAnsi="Arial Narrow" w:cs="Arial Narrow"/>
          <w:kern w:val="0"/>
          <w14:ligatures w14:val="none"/>
        </w:rPr>
      </w:pPr>
    </w:p>
    <w:p w14:paraId="308F08C6" w14:textId="2276F8F5" w:rsidR="00CA50CD" w:rsidRPr="00CA50CD"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B00F2">
        <w:rPr>
          <w:rFonts w:ascii="Arial Narrow" w:eastAsia="Arial Narrow" w:hAnsi="Arial Narrow" w:cs="Arial Narrow"/>
          <w:kern w:val="0"/>
          <w14:ligatures w14:val="none"/>
        </w:rPr>
        <w:t xml:space="preserve">Asimismo, </w:t>
      </w:r>
      <w:r w:rsidRPr="000B00F2">
        <w:rPr>
          <w:rFonts w:ascii="Arial Narrow" w:eastAsia="Times New Roman" w:hAnsi="Arial Narrow" w:cs="Arial"/>
          <w:color w:val="000000"/>
          <w:kern w:val="0"/>
          <w:lang w:eastAsia="es-PE"/>
          <w14:ligatures w14:val="none"/>
        </w:rPr>
        <w:t xml:space="preserve">la Secretaría Técnica, en ejercicio de sus facultades, considera </w:t>
      </w:r>
      <w:r w:rsidRPr="000B00F2">
        <w:rPr>
          <w:rFonts w:ascii="Arial Narrow" w:eastAsia="Arial Narrow" w:hAnsi="Arial Narrow" w:cs="Arial"/>
          <w:kern w:val="0"/>
          <w14:ligatures w14:val="none"/>
        </w:rPr>
        <w:t xml:space="preserve">que el hecho denunciado, consistente en que </w:t>
      </w:r>
      <w:r w:rsidR="6556AAC7" w:rsidRPr="000B00F2">
        <w:rPr>
          <w:rFonts w:ascii="Arial Narrow" w:eastAsia="Arial Narrow" w:hAnsi="Arial Narrow" w:cs="Arial Narrow"/>
        </w:rPr>
        <w:t xml:space="preserve">el </w:t>
      </w:r>
      <w:r w:rsidR="007E7A32" w:rsidRPr="007E7A32">
        <w:rPr>
          <w:rFonts w:ascii="Arial Narrow" w:eastAsia="Times New Roman" w:hAnsi="Arial Narrow" w:cs="Times New Roman"/>
          <w:color w:val="000000" w:themeColor="text1"/>
          <w:lang w:eastAsia="es-PE"/>
        </w:rPr>
        <w:t>Banco Internacional del Perú -Interbank S.A.A. no habría cumplido con adoptar las medidas de seguridad correspondiente al permitir que se realice una operación no reconocida el 19 de agosto de 2025 por el importe de S/ 17 497,00 a la tarjeta de crédito del denunciante, pese a que no tenía consumos previos y no brindó su autorización</w:t>
      </w:r>
      <w:r w:rsidR="0D802BDE" w:rsidRPr="000B00F2">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D802BDE" w:rsidRPr="000B00F2">
        <w:rPr>
          <w:rFonts w:ascii="Arial Narrow" w:eastAsia="Times New Roman" w:hAnsi="Arial Narrow" w:cs="Segoe UI"/>
          <w:color w:val="000000" w:themeColor="text1"/>
          <w:lang w:eastAsia="es-PE"/>
        </w:rPr>
        <w:t/>
      </w:r>
      <w:r w:rsidR="0D802BDE" w:rsidRPr="000B00F2">
        <w:rPr>
          <w:rFonts w:ascii="Arial Narrow" w:eastAsia="Arial Narrow" w:hAnsi="Arial Narrow" w:cs="Arial Narrow"/>
        </w:rPr>
        <w:t xml:space="preserve"> y 19</w:t>
      </w:r>
      <w:r w:rsidR="0D802BDE" w:rsidRPr="000B00F2">
        <w:rPr>
          <w:rFonts w:ascii="Arial Narrow" w:eastAsia="Times New Roman" w:hAnsi="Arial Narrow" w:cs="Segoe UI"/>
          <w:color w:val="000000" w:themeColor="text1"/>
          <w:lang w:eastAsia="es-PE"/>
        </w:rPr>
        <w:t/>
      </w:r>
      <w:r w:rsidR="0D802BDE" w:rsidRPr="000B00F2">
        <w:rPr>
          <w:rFonts w:ascii="Arial Narrow" w:eastAsia="Arial Narrow" w:hAnsi="Arial Narrow" w:cs="Arial Narrow"/>
        </w:rPr>
        <w:t xml:space="preserve"> del Código</w:t>
      </w:r>
      <w:r w:rsidRPr="000B00F2">
        <w:rPr>
          <w:rFonts w:ascii="Arial Narrow" w:eastAsia="Arial Narrow" w:hAnsi="Arial Narrow" w:cs="Arial"/>
          <w:kern w:val="0"/>
          <w14:ligatures w14:val="none"/>
        </w:rPr>
        <w:t>.</w:t>
      </w:r>
    </w:p>
    <w:p w14:paraId="7A507243" w14:textId="77777777" w:rsidR="00CA50CD" w:rsidRPr="00CA50CD" w:rsidRDefault="00CA50CD" w:rsidP="000B00F2">
      <w:pPr>
        <w:spacing w:after="0" w:line="240" w:lineRule="auto"/>
        <w:jc w:val="both"/>
        <w:rPr>
          <w:rFonts w:ascii="Arial Narrow" w:eastAsia="Arial Narrow" w:hAnsi="Arial Narrow" w:cs="Arial Narrow"/>
          <w:kern w:val="0"/>
          <w14:ligatures w14:val="none"/>
        </w:rPr>
      </w:pPr>
    </w:p>
    <w:p w14:paraId="2E7770E0" w14:textId="3A2F0D02" w:rsidR="001D00D0" w:rsidRPr="001D00D0"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lang w:eastAsia="es-PE"/>
          <w14:ligatures w14:val="none"/>
        </w:rPr>
      </w:pPr>
      <w:r w:rsidRPr="000B00F2">
        <w:rPr>
          <w:rFonts w:ascii="Arial Narrow" w:eastAsia="Times New Roman" w:hAnsi="Arial Narrow" w:cs="Arial"/>
          <w:color w:val="000000"/>
          <w:kern w:val="0"/>
          <w:lang w:eastAsia="es-PE"/>
          <w14:ligatures w14:val="none"/>
        </w:rPr>
        <w:t xml:space="preserve">Además, la Secretaría Técnica, en ejercicio de sus facultades, considera </w:t>
      </w:r>
      <w:r w:rsidRPr="000B00F2">
        <w:rPr>
          <w:rFonts w:ascii="Arial Narrow" w:eastAsia="Arial Narrow" w:hAnsi="Arial Narrow" w:cs="Arial"/>
          <w:kern w:val="0"/>
          <w14:ligatures w14:val="none"/>
        </w:rPr>
        <w:t xml:space="preserve">que el hecho denunciado, consistente en que </w:t>
      </w:r>
      <w:r w:rsidR="007E7A32" w:rsidRPr="007E7A32">
        <w:rPr>
          <w:rFonts w:ascii="Arial Narrow" w:eastAsia="Arial Narrow" w:hAnsi="Arial Narrow" w:cs="Arial Narrow"/>
        </w:rPr>
        <w:t>el Banco Internacional del Perú -Interbank S.A.A. habría realizado indebidamente llamadas de cobranza reiteradas a la denunciante, pese a que había cuestionado la operación no reconocida del 19 de agosto de 2025</w:t>
      </w:r>
      <w:r w:rsidR="4C6C71F3" w:rsidRPr="000B00F2">
        <w:rPr>
          <w:rFonts w:ascii="Arial Narrow" w:eastAsia="Arial Narrow" w:hAnsi="Arial Narrow" w:cs="Arial Narrow"/>
        </w:rPr>
        <w:t xml:space="preserve">; involucraría una presunta afectación a sus expectativas, quien no habría encontrado una correspondencia entre lo que esperaba recibir de parte del proveedor y lo </w:t>
      </w:r>
      <w:r w:rsidR="4C6C71F3" w:rsidRPr="000B00F2">
        <w:rPr>
          <w:rFonts w:ascii="Arial Narrow" w:eastAsia="Arial Narrow" w:hAnsi="Arial Narrow" w:cs="Arial Narrow"/>
        </w:rPr>
        <w:lastRenderedPageBreak/>
        <w:t xml:space="preserve">que realmente recibió. Por consiguiente, corresponde calificar el hecho materia de denuncia como una presunta infracción al deber de idoneidad, tipificado en </w:t>
      </w:r>
      <w:r w:rsidR="00BC3498">
        <w:rPr>
          <w:rFonts w:ascii="Arial Narrow" w:eastAsia="Arial Narrow" w:hAnsi="Arial Narrow" w:cs="Arial Narrow"/>
        </w:rPr>
        <w:t>el</w:t>
      </w:r>
      <w:r w:rsidR="4C6C71F3" w:rsidRPr="000B00F2">
        <w:rPr>
          <w:rFonts w:ascii="Arial Narrow" w:eastAsia="Arial Narrow" w:hAnsi="Arial Narrow" w:cs="Arial Narrow"/>
        </w:rPr>
        <w:t xml:space="preserve"> </w:t>
      </w:r>
      <w:r w:rsidR="00BC3498" w:rsidRPr="00BC3498">
        <w:rPr>
          <w:rFonts w:ascii="Arial Narrow" w:eastAsia="Arial Narrow" w:hAnsi="Arial Narrow" w:cs="Arial Narrow"/>
        </w:rPr>
        <w:t xml:space="preserve">literal h) del artículo 62 </w:t>
      </w:r>
      <w:r w:rsidR="4C6C71F3" w:rsidRPr="000B00F2">
        <w:rPr>
          <w:rFonts w:ascii="Arial Narrow" w:eastAsia="Arial Narrow" w:hAnsi="Arial Narrow" w:cs="Arial Narrow"/>
        </w:rPr>
        <w:t>del Código</w:t>
      </w:r>
      <w:r w:rsidR="00BC3498" w:rsidRPr="000B00F2">
        <w:rPr>
          <w:rFonts w:ascii="Arial Narrow" w:eastAsia="Arial Narrow" w:hAnsi="Arial Narrow" w:cs="Arial"/>
          <w:kern w:val="0"/>
          <w:vertAlign w:val="superscript"/>
          <w14:ligatures w14:val="none"/>
        </w:rPr>
        <w:footnoteReference w:id="4"/>
      </w:r>
      <w:r w:rsidRPr="000B00F2">
        <w:rPr>
          <w:rFonts w:ascii="Arial Narrow" w:eastAsia="Arial Narrow" w:hAnsi="Arial Narrow" w:cs="Arial"/>
          <w:color w:val="000000"/>
          <w:kern w:val="0"/>
          <w:lang w:eastAsia="es-PE"/>
          <w14:ligatures w14:val="none"/>
        </w:rPr>
        <w:t xml:space="preserve">. </w:t>
      </w:r>
    </w:p>
    <w:p w14:paraId="5A859BCD" w14:textId="01B683F8" w:rsidR="000B00F2" w:rsidRDefault="000B00F2" w:rsidP="000B00F2">
      <w:pPr>
        <w:pStyle w:val="Prrafodelista"/>
        <w:spacing w:after="0" w:line="240" w:lineRule="auto"/>
        <w:ind w:left="567" w:hanging="567"/>
        <w:jc w:val="both"/>
        <w:rPr>
          <w:rFonts w:ascii="Arial Narrow" w:eastAsia="Calibri" w:hAnsi="Arial Narrow" w:cs="Arial Narrow"/>
          <w:lang w:eastAsia="es-PE"/>
        </w:rPr>
      </w:pPr>
    </w:p>
    <w:p w14:paraId="37321452" w14:textId="77777777" w:rsidR="00E60CD7" w:rsidRPr="0026598E" w:rsidRDefault="7DB2BEE4"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E60CD7"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517D40" w:rsidRDefault="7DB2BEE4"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517D40">
        <w:rPr>
          <w:rFonts w:ascii="Arial Narrow" w:eastAsia="Times New Roman" w:hAnsi="Arial Narrow" w:cs="Arial"/>
          <w:color w:val="000000"/>
          <w:kern w:val="0"/>
          <w:lang w:val="es-ES" w:eastAsia="es-ES"/>
          <w14:ligatures w14:val="none"/>
        </w:rPr>
        <w:t xml:space="preserve">confiere, </w:t>
      </w:r>
      <w:bookmarkStart w:id="7" w:name="_Hlk211510697"/>
      <w:r w:rsidRPr="00517D40">
        <w:rPr>
          <w:rFonts w:ascii="Arial Narrow" w:eastAsia="Times New Roman" w:hAnsi="Arial Narrow" w:cs="Arial"/>
          <w:color w:val="000000"/>
          <w:kern w:val="0"/>
          <w:lang w:val="es-ES" w:eastAsia="es-ES"/>
          <w14:ligatures w14:val="none"/>
        </w:rPr>
        <w:t xml:space="preserve">conviene requerir a los proveedores denunciados </w:t>
      </w:r>
      <w:bookmarkEnd w:id="7"/>
      <w:r w:rsidRPr="00517D40">
        <w:rPr>
          <w:rFonts w:ascii="Arial Narrow" w:eastAsia="Times New Roman" w:hAnsi="Arial Narrow" w:cs="Arial"/>
          <w:color w:val="000000"/>
          <w:kern w:val="0"/>
          <w:lang w:val="es-ES" w:eastAsia="es-ES"/>
          <w14:ligatures w14:val="none"/>
        </w:rPr>
        <w:t>que, en un plazo no mayor de cinco (5) dí</w:t>
      </w:r>
      <w:r w:rsidRPr="000077B4">
        <w:rPr>
          <w:rFonts w:ascii="Arial Narrow" w:eastAsia="Times New Roman" w:hAnsi="Arial Narrow" w:cs="Arial"/>
          <w:color w:val="000000"/>
          <w:kern w:val="0"/>
          <w:lang w:val="es-ES" w:eastAsia="es-ES"/>
          <w14:ligatures w14:val="none"/>
        </w:rPr>
        <w:t xml:space="preserve">as hábiles contado a partir del </w:t>
      </w:r>
      <w:r w:rsidRPr="00517D40">
        <w:rPr>
          <w:rFonts w:ascii="Arial Narrow" w:eastAsia="Times New Roman" w:hAnsi="Arial Narrow" w:cs="Arial"/>
          <w:color w:val="000000"/>
          <w:kern w:val="0"/>
          <w:lang w:val="es-ES" w:eastAsia="es-ES"/>
          <w14:ligatures w14:val="none"/>
        </w:rPr>
        <w:t xml:space="preserve">día siguiente de la notificación de la presente resolución, </w:t>
      </w:r>
      <w:bookmarkStart w:id="8" w:name="_Hlk211510673"/>
      <w:r w:rsidRPr="00517D40">
        <w:rPr>
          <w:rFonts w:ascii="Arial Narrow" w:eastAsia="Times New Roman" w:hAnsi="Arial Narrow" w:cs="Arial"/>
          <w:color w:val="000000"/>
          <w:kern w:val="0"/>
          <w:lang w:val="es-ES" w:eastAsia="es-ES"/>
          <w14:ligatures w14:val="none"/>
        </w:rPr>
        <w:t>cumplan con lo siguiente:</w:t>
      </w:r>
    </w:p>
    <w:p w14:paraId="345D7F88" w14:textId="77777777" w:rsidR="00E60CD7" w:rsidRPr="00517D40"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F28BADF" w:rsidR="00E60CD7" w:rsidRPr="00B64623" w:rsidRDefault="7DB2BEE4"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17D40">
        <w:rPr>
          <w:rFonts w:ascii="Arial Narrow" w:eastAsia="Times New Roman" w:hAnsi="Arial Narrow" w:cs="Arial"/>
          <w:color w:val="000000"/>
          <w:kern w:val="0"/>
          <w:u w:val="single"/>
          <w:lang w:val="es-ES" w:eastAsia="es-ES"/>
          <w14:ligatures w14:val="none"/>
        </w:rPr>
        <w:t xml:space="preserve">A </w:t>
      </w:r>
      <w:r w:rsidR="09ED95CA" w:rsidRPr="00517D40">
        <w:rPr>
          <w:rFonts w:ascii="Arial Narrow" w:eastAsia="Times New Roman" w:hAnsi="Arial Narrow" w:cs="Arial"/>
          <w:color w:val="000000"/>
          <w:kern w:val="0"/>
          <w:u w:val="single"/>
          <w:lang w:val="es-ES" w:eastAsia="es-ES"/>
          <w14:ligatures w14:val="none"/>
        </w:rPr>
        <w:t>Chubb</w:t>
      </w:r>
      <w:r w:rsidRPr="008C73DE">
        <w:rPr>
          <w:rFonts w:ascii="Arial Narrow" w:eastAsia="Times New Roman" w:hAnsi="Arial Narrow" w:cs="Arial"/>
          <w:color w:val="000000"/>
          <w:kern w:val="0"/>
          <w:lang w:val="es-ES" w:eastAsia="es-ES"/>
          <w14:ligatures w14:val="none"/>
        </w:rPr>
        <w:t xml:space="preserve">: </w:t>
      </w:r>
      <w:r w:rsidR="003C6198" w:rsidRPr="003C619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materia de denuncia, así como el cargo de remisión de la póliza; (</w:t>
      </w:r>
      <w:proofErr w:type="spellStart"/>
      <w:r w:rsidR="003C6198" w:rsidRPr="003C6198">
        <w:rPr>
          <w:rFonts w:ascii="Arial Narrow" w:eastAsia="Times New Roman" w:hAnsi="Arial Narrow" w:cs="Arial"/>
          <w:color w:val="000000"/>
          <w:kern w:val="0"/>
          <w:lang w:val="es-ES" w:eastAsia="es-ES"/>
          <w14:ligatures w14:val="none"/>
        </w:rPr>
        <w:t>ii</w:t>
      </w:r>
      <w:proofErr w:type="spellEnd"/>
      <w:r w:rsidR="003C6198" w:rsidRPr="003C6198">
        <w:rPr>
          <w:rFonts w:ascii="Arial Narrow" w:eastAsia="Times New Roman" w:hAnsi="Arial Narrow" w:cs="Arial"/>
          <w:color w:val="000000"/>
          <w:kern w:val="0"/>
          <w:lang w:val="es-ES" w:eastAsia="es-ES"/>
          <w14:ligatures w14:val="none"/>
        </w:rPr>
        <w:t xml:space="preserve">) presentar los medios probatorios que acrediten que la negativa de otorgar la cobertura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fue justificada y, (</w:t>
      </w:r>
      <w:proofErr w:type="spellStart"/>
      <w:r w:rsidR="003C6198" w:rsidRPr="003C6198">
        <w:rPr>
          <w:rFonts w:ascii="Arial Narrow" w:eastAsia="Times New Roman" w:hAnsi="Arial Narrow" w:cs="Arial"/>
          <w:color w:val="000000"/>
          <w:kern w:val="0"/>
          <w:lang w:val="es-ES" w:eastAsia="es-ES"/>
          <w14:ligatures w14:val="none"/>
        </w:rPr>
        <w:t>iii</w:t>
      </w:r>
      <w:proofErr w:type="spellEnd"/>
      <w:r w:rsidR="003C6198" w:rsidRPr="003C619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BFA55A9" w:rsidR="00E60CD7" w:rsidRPr="000077B4" w:rsidRDefault="7DB2BEE4"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517D40">
        <w:rPr>
          <w:rFonts w:ascii="Arial Narrow" w:eastAsia="Times New Roman" w:hAnsi="Arial Narrow" w:cs="Arial"/>
          <w:color w:val="000000"/>
          <w:kern w:val="0"/>
          <w:u w:val="single"/>
          <w:lang w:val="es-ES" w:eastAsia="es-ES"/>
          <w14:ligatures w14:val="none"/>
        </w:rPr>
        <w:t>A</w:t>
      </w:r>
      <w:r w:rsidR="09ED95CA" w:rsidRPr="00517D40">
        <w:rPr>
          <w:rFonts w:ascii="Arial Narrow" w:eastAsia="Times New Roman" w:hAnsi="Arial Narrow" w:cs="Arial"/>
          <w:color w:val="000000"/>
          <w:kern w:val="0"/>
          <w:u w:val="single"/>
          <w:lang w:val="es-ES" w:eastAsia="es-ES"/>
          <w14:ligatures w14:val="none"/>
        </w:rPr>
        <w:t>l</w:t>
      </w:r>
      <w:r w:rsidRPr="00517D40">
        <w:rPr>
          <w:rFonts w:ascii="Arial Narrow" w:eastAsia="Times New Roman" w:hAnsi="Arial Narrow" w:cs="Arial"/>
          <w:color w:val="000000"/>
          <w:kern w:val="0"/>
          <w:u w:val="single"/>
          <w:lang w:val="es-ES" w:eastAsia="es-ES"/>
          <w14:ligatures w14:val="none"/>
        </w:rPr>
        <w:t xml:space="preserve"> </w:t>
      </w:r>
      <w:r w:rsidR="09ED95CA" w:rsidRPr="00517D40">
        <w:rPr>
          <w:rFonts w:ascii="Arial Narrow" w:eastAsia="Times New Roman" w:hAnsi="Arial Narrow" w:cs="Arial"/>
          <w:color w:val="000000"/>
          <w:kern w:val="0"/>
          <w:u w:val="single"/>
          <w:lang w:val="es-ES" w:eastAsia="es-ES"/>
          <w14:ligatures w14:val="none"/>
        </w:rPr>
        <w:t>Banco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3C6198" w:rsidRPr="003C619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materia de denuncia, así como el cargo de remisión de la póliza; y, (</w:t>
      </w:r>
      <w:proofErr w:type="spellStart"/>
      <w:r w:rsidR="003C6198" w:rsidRPr="003C6198">
        <w:rPr>
          <w:rFonts w:ascii="Arial Narrow" w:eastAsia="Times New Roman" w:hAnsi="Arial Narrow" w:cs="Arial"/>
          <w:color w:val="000000"/>
          <w:kern w:val="0"/>
          <w:lang w:val="es-ES" w:eastAsia="es-ES"/>
          <w14:ligatures w14:val="none"/>
        </w:rPr>
        <w:t>ii</w:t>
      </w:r>
      <w:proofErr w:type="spellEnd"/>
      <w:r w:rsidR="003C6198" w:rsidRPr="003C619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8"/>
    <w:p w14:paraId="525DE1CC" w14: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6C0D777E" w:rsidR="008424BB" w:rsidRPr="009E0535" w:rsidRDefault="7DB2BEE4" w:rsidP="008F3040">
      <w:pPr>
        <w:spacing w:after="0" w:line="240" w:lineRule="auto"/>
        <w:jc w:val="both"/>
        <w:rPr>
          <w:rFonts w:ascii="Arial Narrow" w:eastAsia="Calibri" w:hAnsi="Arial Narrow" w:cs="Arial Narrow"/>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 xml:space="preserve">PRIMERO: admitir a trámite la denuncia del 24 de setiembre de 2025, complementada mediante escrito del 22 de octubre de 2025, interpuesta por la señora [DENUNCIANTE] contra Chubb Perú S.A. Compañía de Seguros y Reaseguros y el Banco Internacional del Perú -Interbank S.A.A.,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9ED95CA" w:rsidRPr="000B00F2">
        <w:rPr>
          <w:rFonts w:ascii="Arial Narrow" w:hAnsi="Arial Narrow" w:cs="Arial"/>
          <w:spacing w:val="-3"/>
          <w:kern w:val="0"/>
          <w14:ligatures w14:val="none"/>
        </w:rPr>
        <w:t xml:space="preserve"/>
      </w:r>
      <w:r w:rsidR="09ED95CA" w:rsidRPr="00517D40">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3B338A89" w:rsidRPr="000B00F2">
        <w:rPr>
          <w:rFonts w:ascii="Arial Narrow" w:eastAsia="Arial Narrow" w:hAnsi="Arial Narrow" w:cs="Arial Narrow"/>
        </w:rPr>
        <w:t/>
      </w:r>
      <w:r w:rsidRPr="0058331A">
        <w:rPr>
          <w:rFonts w:ascii="Arial Narrow" w:eastAsia="Times New Roman" w:hAnsi="Arial Narrow" w:cs="Times New Roman"/>
          <w:color w:val="000000"/>
          <w:kern w:val="0"/>
          <w:shd w:val="clear" w:color="auto" w:fill="FFFFFF"/>
          <w:lang w:eastAsia="es-PE"/>
          <w14:ligatures w14:val="none"/>
        </w:rPr>
        <w:t xml:space="preserve"/>
      </w:r>
      <w:r w:rsidR="69EB8B6E" w:rsidRPr="009E0535">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9E0535"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0399E60" w14:textId="130C06F6" w:rsidR="7CE88ECC" w:rsidRDefault="7CE88ECC"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t>Presunta</w:t>
      </w:r>
      <w:r w:rsidRPr="000B00F2">
        <w:rPr>
          <w:rFonts w:ascii="Arial Narrow" w:eastAsia="Times New Roman" w:hAnsi="Arial Narrow" w:cs="Times New Roman"/>
          <w:lang w:eastAsia="es-PE"/>
        </w:rPr>
        <w:t xml:space="preserve"> infracción a los artículos 18 y 19</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la Ley 29571, Código de Protección y Defensa del Consumidor, en tanto</w:t>
      </w:r>
      <w:r w:rsidR="1AD8C6EC" w:rsidRPr="000B00F2">
        <w:rPr>
          <w:rFonts w:ascii="Arial Narrow" w:eastAsia="Arial Narrow" w:hAnsi="Arial Narrow" w:cs="Arial Narrow"/>
        </w:rPr>
        <w:t xml:space="preserve"> </w:t>
      </w:r>
      <w:r w:rsidR="1AD8C6EC" w:rsidRPr="007E7A32">
        <w:rPr>
          <w:rFonts w:ascii="Arial Narrow" w:eastAsia="Arial Narrow" w:hAnsi="Arial Narrow" w:cs="Arial Narrow"/>
        </w:rPr>
        <w:t>Chubb Perú S.A. Compañía de Seguros y Reaseguros</w:t>
      </w:r>
      <w:r w:rsidR="092FF9AA" w:rsidRPr="007E7A32">
        <w:rPr>
          <w:rFonts w:ascii="Arial Narrow" w:eastAsia="Arial Narrow" w:hAnsi="Arial Narrow" w:cs="Arial Narrow"/>
        </w:rPr>
        <w:t xml:space="preserve"> se habría negado injustificadamente a otorgar</w:t>
      </w:r>
      <w:r w:rsidR="1AD8C6EC" w:rsidRPr="007E7A32">
        <w:rPr>
          <w:rFonts w:ascii="Arial Narrow" w:eastAsia="Arial Narrow" w:hAnsi="Arial Narrow" w:cs="Arial Narrow"/>
        </w:rPr>
        <w:t xml:space="preserve"> </w:t>
      </w:r>
      <w:r w:rsidR="6CE8A1CA" w:rsidRPr="007E7A32">
        <w:rPr>
          <w:rFonts w:ascii="Arial Narrow" w:eastAsia="Arial Narrow" w:hAnsi="Arial Narrow" w:cs="Arial Narrow"/>
        </w:rPr>
        <w:t xml:space="preserve">a la denunciante </w:t>
      </w:r>
      <w:r w:rsidR="1AD8C6EC" w:rsidRPr="007E7A32">
        <w:rPr>
          <w:rFonts w:ascii="Arial Narrow" w:eastAsia="Arial Narrow" w:hAnsi="Arial Narrow" w:cs="Arial Narrow"/>
        </w:rPr>
        <w:t xml:space="preserve">la cobertura del Seguro Protección de Tarjetas – Póliza </w:t>
      </w:r>
      <w:r w:rsidR="00F5381B" w:rsidRPr="007E7A32">
        <w:rPr>
          <w:rFonts w:ascii="Arial Narrow" w:eastAsia="Arial Narrow" w:hAnsi="Arial Narrow" w:cs="Arial Narrow"/>
        </w:rPr>
        <w:t/>
      </w:r>
      <w:r w:rsidR="1AD8C6EC" w:rsidRPr="007E7A32">
        <w:rPr>
          <w:rFonts w:ascii="Arial Narrow" w:eastAsia="Arial Narrow" w:hAnsi="Arial Narrow" w:cs="Arial Narrow"/>
        </w:rPr>
        <w:t xml:space="preserve"> 26720 </w:t>
      </w:r>
      <w:r w:rsidR="2D6AE862" w:rsidRPr="007E7A32">
        <w:rPr>
          <w:rFonts w:ascii="Arial Narrow" w:eastAsia="Arial Narrow" w:hAnsi="Arial Narrow" w:cs="Arial Narrow"/>
        </w:rPr>
        <w:t>en virtud de la</w:t>
      </w:r>
      <w:r w:rsidR="1AD8C6EC" w:rsidRPr="007E7A32">
        <w:rPr>
          <w:rFonts w:ascii="Arial Narrow" w:eastAsia="Arial Narrow" w:hAnsi="Arial Narrow" w:cs="Arial Narrow"/>
        </w:rPr>
        <w:t xml:space="preserve"> operación no reconocida </w:t>
      </w:r>
      <w:r w:rsidR="00943A11" w:rsidRPr="007E7A32">
        <w:rPr>
          <w:rFonts w:ascii="Arial Narrow" w:eastAsia="Arial Narrow" w:hAnsi="Arial Narrow" w:cs="Arial Narrow"/>
        </w:rPr>
        <w:t>efectuada el</w:t>
      </w:r>
      <w:r w:rsidR="1AD8C6EC" w:rsidRPr="007E7A32">
        <w:rPr>
          <w:rFonts w:ascii="Arial Narrow" w:eastAsia="Arial Narrow" w:hAnsi="Arial Narrow" w:cs="Arial Narrow"/>
        </w:rPr>
        <w:t xml:space="preserve"> 19 de agosto de 2025</w:t>
      </w:r>
      <w:r w:rsidR="1AD8C6EC" w:rsidRPr="000B00F2">
        <w:rPr>
          <w:rFonts w:ascii="Arial Narrow" w:eastAsia="Arial Narrow" w:hAnsi="Arial Narrow" w:cs="Arial Narrow"/>
        </w:rPr>
        <w:t>.</w:t>
      </w:r>
    </w:p>
    <w:p w14:paraId="08F9EA92" w14:textId="75AD4C38" w:rsidR="000B00F2" w:rsidRDefault="000B00F2" w:rsidP="000B00F2">
      <w:pPr>
        <w:pStyle w:val="Prrafodelista"/>
        <w:tabs>
          <w:tab w:val="num" w:pos="567"/>
        </w:tabs>
        <w:spacing w:after="0" w:line="240" w:lineRule="auto"/>
        <w:ind w:left="567" w:hanging="567"/>
        <w:jc w:val="both"/>
        <w:rPr>
          <w:rFonts w:ascii="Arial Narrow" w:eastAsia="Arial Narrow" w:hAnsi="Arial Narrow" w:cs="Arial Narrow"/>
        </w:rPr>
      </w:pPr>
    </w:p>
    <w:p w14:paraId="6BA03BE1" w14:textId="5F4AF1E2" w:rsidR="4B098A41" w:rsidRDefault="4B098A41"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lastRenderedPageBreak/>
        <w:t>Presunta</w:t>
      </w:r>
      <w:r w:rsidRPr="000B00F2">
        <w:rPr>
          <w:rFonts w:ascii="Arial Narrow" w:eastAsia="Times New Roman" w:hAnsi="Arial Narrow" w:cs="Times New Roman"/>
          <w:lang w:eastAsia="es-PE"/>
        </w:rPr>
        <w:t xml:space="preserve"> infracción a los artículos 18 y 19</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 xml:space="preserve">la Ley 29571, Código de Protección y Defensa del Consumidor, en tanto </w:t>
      </w:r>
      <w:r w:rsidR="1AD8C6EC" w:rsidRPr="007E7A32">
        <w:rPr>
          <w:rFonts w:ascii="Arial Narrow" w:eastAsia="Arial Narrow" w:hAnsi="Arial Narrow" w:cs="Arial Narrow"/>
        </w:rPr>
        <w:t xml:space="preserve">el </w:t>
      </w:r>
      <w:r w:rsidR="1981B5CE" w:rsidRPr="007E7A32">
        <w:rPr>
          <w:rFonts w:ascii="Arial Narrow" w:eastAsia="Times New Roman" w:hAnsi="Arial Narrow" w:cs="Times New Roman"/>
          <w:color w:val="000000" w:themeColor="text1"/>
          <w:lang w:eastAsia="es-PE"/>
        </w:rPr>
        <w:t>Banco Internacional del Perú -Interbank S.A.A.</w:t>
      </w:r>
      <w:r w:rsidR="1AD8C6EC" w:rsidRPr="007E7A32">
        <w:rPr>
          <w:rFonts w:ascii="Arial Narrow" w:eastAsia="Arial Narrow" w:hAnsi="Arial Narrow" w:cs="Arial Narrow"/>
        </w:rPr>
        <w:t xml:space="preserve"> </w:t>
      </w:r>
      <w:r w:rsidR="27E5F92A" w:rsidRPr="007E7A32">
        <w:rPr>
          <w:rFonts w:ascii="Arial Narrow" w:eastAsia="Arial Narrow" w:hAnsi="Arial Narrow" w:cs="Arial Narrow"/>
        </w:rPr>
        <w:t>no habría cumplido con</w:t>
      </w:r>
      <w:r w:rsidR="1AD8C6EC" w:rsidRPr="007E7A32">
        <w:rPr>
          <w:rFonts w:ascii="Arial Narrow" w:eastAsia="Arial Narrow" w:hAnsi="Arial Narrow" w:cs="Arial Narrow"/>
        </w:rPr>
        <w:t xml:space="preserve"> adoptar </w:t>
      </w:r>
      <w:r w:rsidR="00F5381B" w:rsidRPr="007E7A32">
        <w:rPr>
          <w:rFonts w:ascii="Arial Narrow" w:eastAsia="Arial Narrow" w:hAnsi="Arial Narrow" w:cs="Arial Narrow"/>
        </w:rPr>
        <w:t xml:space="preserve">las </w:t>
      </w:r>
      <w:r w:rsidR="1AD8C6EC" w:rsidRPr="007E7A32">
        <w:rPr>
          <w:rFonts w:ascii="Arial Narrow" w:eastAsia="Arial Narrow" w:hAnsi="Arial Narrow" w:cs="Arial Narrow"/>
        </w:rPr>
        <w:t xml:space="preserve">medidas de seguridad </w:t>
      </w:r>
      <w:r w:rsidR="00F5381B" w:rsidRPr="007E7A32">
        <w:rPr>
          <w:rFonts w:ascii="Arial Narrow" w:eastAsia="Arial Narrow" w:hAnsi="Arial Narrow" w:cs="Arial Narrow"/>
        </w:rPr>
        <w:t>correspondiente al permitir que se realice una operación no reconocida el 19 de agosto de 2025 por el importe de S/ 17 497,00 a la tarjeta de crédito del denunciante, pese a que no tenía consumos previos y no brindó su autorización</w:t>
      </w:r>
      <w:r w:rsidR="00F5381B">
        <w:rPr>
          <w:rFonts w:ascii="Arial Narrow" w:eastAsia="Arial Narrow" w:hAnsi="Arial Narrow" w:cs="Arial Narrow"/>
        </w:rPr>
        <w:t>.</w:t>
      </w:r>
    </w:p>
    <w:p w14:paraId="1B0411ED" w14:textId="578A7981" w:rsidR="000B00F2" w:rsidRDefault="000B00F2" w:rsidP="000B00F2">
      <w:pPr>
        <w:pStyle w:val="Prrafodelista"/>
        <w:tabs>
          <w:tab w:val="num" w:pos="567"/>
        </w:tabs>
        <w:spacing w:after="0" w:line="240" w:lineRule="auto"/>
        <w:ind w:left="567" w:hanging="567"/>
        <w:jc w:val="both"/>
      </w:pPr>
    </w:p>
    <w:p w14:paraId="56E24D4D" w14:textId="27551EE9" w:rsidR="190AEDBA" w:rsidRDefault="190AEDBA"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t>Presunta</w:t>
      </w:r>
      <w:r w:rsidRPr="000B00F2">
        <w:rPr>
          <w:rFonts w:ascii="Arial Narrow" w:eastAsia="Times New Roman" w:hAnsi="Arial Narrow" w:cs="Times New Roman"/>
          <w:lang w:eastAsia="es-PE"/>
        </w:rPr>
        <w:t xml:space="preserve"> infracción </w:t>
      </w:r>
      <w:r w:rsidR="002E10A8">
        <w:rPr>
          <w:rFonts w:ascii="Arial Narrow" w:eastAsia="Times New Roman" w:hAnsi="Arial Narrow" w:cs="Times New Roman"/>
          <w:lang w:eastAsia="es-PE"/>
        </w:rPr>
        <w:t>al literal h) del artículo 62</w:t>
      </w:r>
      <w:r w:rsidR="00BC3498" w:rsidRPr="000B00F2">
        <w:rPr>
          <w:rFonts w:ascii="Arial Narrow" w:eastAsia="Times New Roman" w:hAnsi="Arial Narrow" w:cs="Times New Roman"/>
          <w:lang w:eastAsia="es-PE"/>
        </w:rPr>
        <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 xml:space="preserve">la Ley 29571, Código de Protección y Defensa del Consumidor, en tanto </w:t>
      </w:r>
      <w:r w:rsidRPr="007E7A32">
        <w:rPr>
          <w:rFonts w:ascii="Arial Narrow" w:eastAsia="Arial Narrow" w:hAnsi="Arial Narrow" w:cs="Arial Narrow"/>
        </w:rPr>
        <w:t xml:space="preserve">el </w:t>
      </w:r>
      <w:r w:rsidRPr="007E7A32">
        <w:rPr>
          <w:rFonts w:ascii="Arial Narrow" w:eastAsia="Times New Roman" w:hAnsi="Arial Narrow" w:cs="Times New Roman"/>
          <w:color w:val="000000" w:themeColor="text1"/>
          <w:lang w:eastAsia="es-PE"/>
        </w:rPr>
        <w:t>Banco Internacional del Perú -Interbank S.A.A.</w:t>
      </w:r>
      <w:r w:rsidR="1AD8C6EC" w:rsidRPr="007E7A32">
        <w:rPr>
          <w:rFonts w:ascii="Arial Narrow" w:eastAsia="Arial Narrow" w:hAnsi="Arial Narrow" w:cs="Arial Narrow"/>
        </w:rPr>
        <w:t xml:space="preserve"> </w:t>
      </w:r>
      <w:r w:rsidR="6BC04501" w:rsidRPr="007E7A32">
        <w:rPr>
          <w:rFonts w:ascii="Arial Narrow" w:eastAsia="Arial Narrow" w:hAnsi="Arial Narrow" w:cs="Arial Narrow"/>
        </w:rPr>
        <w:t xml:space="preserve">habría </w:t>
      </w:r>
      <w:r w:rsidR="00F5381B" w:rsidRPr="007E7A32">
        <w:rPr>
          <w:rFonts w:ascii="Arial Narrow" w:eastAsia="Arial Narrow" w:hAnsi="Arial Narrow" w:cs="Arial Narrow"/>
        </w:rPr>
        <w:t xml:space="preserve">realizado </w:t>
      </w:r>
      <w:r w:rsidR="6BC04501" w:rsidRPr="007E7A32">
        <w:rPr>
          <w:rFonts w:ascii="Arial Narrow" w:eastAsia="Arial Narrow" w:hAnsi="Arial Narrow" w:cs="Arial Narrow"/>
        </w:rPr>
        <w:t>indebidamente llamadas de cobranza reiteradas</w:t>
      </w:r>
      <w:r w:rsidR="777386A4" w:rsidRPr="007E7A32">
        <w:rPr>
          <w:rFonts w:ascii="Arial Narrow" w:eastAsia="Arial Narrow" w:hAnsi="Arial Narrow" w:cs="Arial Narrow"/>
        </w:rPr>
        <w:t xml:space="preserve"> a la denunciante, pese a </w:t>
      </w:r>
      <w:r w:rsidR="002E10A8" w:rsidRPr="007E7A32">
        <w:rPr>
          <w:rFonts w:ascii="Arial Narrow" w:eastAsia="Arial Narrow" w:hAnsi="Arial Narrow" w:cs="Arial Narrow"/>
        </w:rPr>
        <w:t xml:space="preserve">que había cuestionado la </w:t>
      </w:r>
      <w:r w:rsidR="777386A4" w:rsidRPr="007E7A32">
        <w:rPr>
          <w:rFonts w:ascii="Arial Narrow" w:eastAsia="Arial Narrow" w:hAnsi="Arial Narrow" w:cs="Arial Narrow"/>
        </w:rPr>
        <w:t>operación</w:t>
      </w:r>
      <w:r w:rsidR="002E10A8" w:rsidRPr="007E7A32">
        <w:rPr>
          <w:rFonts w:ascii="Arial Narrow" w:eastAsia="Arial Narrow" w:hAnsi="Arial Narrow" w:cs="Arial Narrow"/>
        </w:rPr>
        <w:t xml:space="preserve"> no reconocida</w:t>
      </w:r>
      <w:r w:rsidR="777386A4" w:rsidRPr="007E7A32">
        <w:rPr>
          <w:rFonts w:ascii="Arial Narrow" w:eastAsia="Arial Narrow" w:hAnsi="Arial Narrow" w:cs="Arial Narrow"/>
        </w:rPr>
        <w:t xml:space="preserve"> </w:t>
      </w:r>
      <w:r w:rsidR="002E10A8" w:rsidRPr="007E7A32">
        <w:rPr>
          <w:rFonts w:ascii="Arial Narrow" w:eastAsia="Arial Narrow" w:hAnsi="Arial Narrow" w:cs="Arial Narrow"/>
        </w:rPr>
        <w:t>del</w:t>
      </w:r>
      <w:r w:rsidR="00F73B2F" w:rsidRPr="007E7A32">
        <w:rPr>
          <w:rFonts w:ascii="Arial Narrow" w:eastAsia="Arial Narrow" w:hAnsi="Arial Narrow" w:cs="Arial Narrow"/>
        </w:rPr>
        <w:t xml:space="preserve"> </w:t>
      </w:r>
      <w:r w:rsidR="777386A4" w:rsidRPr="007E7A32">
        <w:rPr>
          <w:rFonts w:ascii="Arial Narrow" w:eastAsia="Arial Narrow" w:hAnsi="Arial Narrow" w:cs="Arial Narrow"/>
        </w:rPr>
        <w:t>19 de agosto de 2025</w:t>
      </w:r>
      <w:r w:rsidR="002E10A8">
        <w:rPr>
          <w:rFonts w:ascii="Arial Narrow" w:eastAsia="Arial Narrow" w:hAnsi="Arial Narrow" w:cs="Arial Narrow"/>
        </w:rPr>
        <w:t>.</w:t>
      </w:r>
    </w:p>
    <w:p w14:paraId="1DEB3481" w14:textId="77777777" w:rsidR="00E60CD7" w:rsidRPr="0026598E" w:rsidRDefault="00E60CD7" w:rsidP="008F3040">
      <w:pPr>
        <w:spacing w:after="0" w:line="240" w:lineRule="auto"/>
        <w:jc w:val="both"/>
        <w:rPr>
          <w:rFonts w:ascii="Arial Narrow" w:eastAsia="Arial Narrow" w:hAnsi="Arial Narrow" w:cs="Arial Narrow"/>
          <w:kern w:val="0"/>
          <w14:ligatures w14:val="none"/>
        </w:rPr>
      </w:pPr>
    </w:p>
    <w:p w14:paraId="634A0D61" w14:textId="42BB229E" w:rsidR="00E60CD7" w:rsidRPr="0026598E" w:rsidRDefault="7DB2BEE4" w:rsidP="008F3040">
      <w:pPr>
        <w:spacing w:line="240" w:lineRule="auto"/>
        <w:contextualSpacing/>
        <w:jc w:val="both"/>
        <w:rPr>
          <w:rFonts w:ascii="Arial Narrow" w:eastAsia="Calibri" w:hAnsi="Arial Narrow" w:cs="Arial"/>
          <w:kern w:val="0"/>
          <w14:ligatures w14:val="none"/>
        </w:rPr>
      </w:pPr>
      <w:r w:rsidRPr="000B00F2">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517D40">
        <w:rPr>
          <w:rFonts w:ascii="Arial Narrow" w:eastAsia="Times New Roman" w:hAnsi="Arial Narrow" w:cs="Arial"/>
          <w:color w:val="000000"/>
          <w:kern w:val="0"/>
          <w:lang w:val="es-ES" w:eastAsia="es-ES"/>
          <w14:ligatures w14:val="none"/>
        </w:rPr>
        <w:t xml:space="preserve">del </w:t>
      </w:r>
      <w:r w:rsidR="09ED95CA" w:rsidRPr="00517D40">
        <w:rPr>
          <w:rFonts w:ascii="Arial Narrow" w:eastAsia="Times New Roman" w:hAnsi="Arial Narrow" w:cs="Arial"/>
          <w:color w:val="000000"/>
          <w:kern w:val="0"/>
          <w:lang w:val="es-ES" w:eastAsia="es-ES"/>
          <w14:ligatures w14:val="none"/>
        </w:rPr>
        <w:t>24 de setiembre de 2025, complementada mediante escrito del 22 de octubre de 2025</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662C87C5"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17D40" w:rsidRPr="00517D40">
        <w:rPr>
          <w:rFonts w:ascii="Arial Narrow" w:eastAsia="Arial Narrow" w:hAnsi="Arial Narrow" w:cs="Arial Narrow"/>
          <w:bCs/>
        </w:rPr>
        <w:t xml:space="preserve">Chubb Perú S.A. Compañía de Seguros y Reaseguros y </w:t>
      </w:r>
      <w:r w:rsidR="00517D40">
        <w:rPr>
          <w:rFonts w:ascii="Arial Narrow" w:eastAsia="Arial Narrow" w:hAnsi="Arial Narrow" w:cs="Arial Narrow"/>
          <w:bCs/>
        </w:rPr>
        <w:t>a</w:t>
      </w:r>
      <w:r w:rsidR="00517D40" w:rsidRPr="00517D40">
        <w:rPr>
          <w:rFonts w:ascii="Arial Narrow" w:eastAsia="Arial Narrow" w:hAnsi="Arial Narrow" w:cs="Arial Narrow"/>
          <w:bCs/>
        </w:rPr>
        <w:t>l Banco Internacional del Perú -Interbank S.A.A.</w:t>
      </w:r>
      <w:r w:rsidR="00517D40" w:rsidRPr="00F723BA">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7DB2BEE4"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00E60CD7"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00E60CD7"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0889C15A"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17D40" w:rsidRPr="00517D40">
        <w:rPr>
          <w:rFonts w:ascii="Arial Narrow" w:eastAsia="Times New Roman" w:hAnsi="Arial Narrow" w:cs="Arial"/>
          <w:color w:val="000000"/>
          <w:kern w:val="0"/>
          <w:lang w:val="es-ES" w:eastAsia="es-ES"/>
          <w14:ligatures w14:val="none"/>
        </w:rPr>
        <w:t>24 de setiembre de 2025, complementada mediante escrito del 22 de octubre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517D40" w:rsidRPr="00517D40">
        <w:rPr>
          <w:rFonts w:ascii="Arial Narrow" w:eastAsia="Arial Narrow" w:hAnsi="Arial Narrow" w:cs="Arial Narrow"/>
          <w:bCs/>
        </w:rPr>
        <w:t>Chubb Perú S.A. Compañía de Seguros y Reaseguros y el Banco Internacional del Perú -Interbank S.A.A.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6867351E" w:rsidR="00E60CD7" w:rsidRDefault="7DB2BEE4" w:rsidP="008F3040">
      <w:pPr>
        <w:spacing w:after="0" w:line="240" w:lineRule="auto"/>
        <w:jc w:val="both"/>
        <w:rPr>
          <w:rFonts w:ascii="Arial Narrow" w:eastAsia="Times New Roman" w:hAnsi="Arial Narrow" w:cs="Arial"/>
          <w:color w:val="000000"/>
          <w:kern w:val="0"/>
          <w:lang w:val="es-ES" w:eastAsia="es-ES"/>
          <w14:ligatures w14:val="none"/>
        </w:rPr>
      </w:pPr>
      <w:r w:rsidRPr="000B00F2">
        <w:rPr>
          <w:rFonts w:ascii="Arial Narrow" w:eastAsia="Arial Narrow" w:hAnsi="Arial Narrow" w:cs="Arial Narrow"/>
          <w:b/>
          <w:bCs/>
          <w:color w:val="000000"/>
          <w:kern w:val="0"/>
          <w:lang w:eastAsia="es-PE"/>
          <w14:ligatures w14:val="none"/>
        </w:rPr>
        <w:t xml:space="preserve">QUINTO: </w:t>
      </w:r>
      <w:bookmarkStart w:id="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w14:ligatures w14:val="none"/>
        </w:rPr>
        <w:t xml:space="preserve">, </w:t>
      </w:r>
      <w:bookmarkStart w:id="10" w:name="_Hlk188286828"/>
      <w:r w:rsidR="09ED95CA" w:rsidRPr="000B00F2">
        <w:rPr>
          <w:rFonts w:ascii="Arial Narrow" w:eastAsia="Arial Narrow" w:hAnsi="Arial Narrow" w:cs="Arial Narrow"/>
        </w:rPr>
        <w:t>Chubb Perú S.A. Compañía de Seguros y Reaseguros</w:t>
      </w:r>
      <w:r w:rsidRPr="00EE4AAB">
        <w:rPr>
          <w:rFonts w:ascii="Arial Narrow" w:eastAsia="Times New Roman" w:hAnsi="Arial Narrow" w:cs="Arial"/>
          <w:color w:val="000000"/>
          <w:kern w:val="0"/>
          <w:lang w:eastAsia="es-ES"/>
          <w14:ligatures w14:val="none"/>
        </w:rPr>
        <w:t xml:space="preserve">, </w:t>
      </w:r>
      <w:bookmarkEnd w:id="10"/>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4F26EE82" w:rsidRPr="000B00F2">
        <w:rPr>
          <w:rFonts w:ascii="Arial Narrow" w:eastAsia="Times New Roman" w:hAnsi="Arial Narrow" w:cs="Arial"/>
          <w:color w:val="000000" w:themeColor="text1"/>
          <w:lang w:val="es-ES" w:eastAsia="es-ES"/>
        </w:rPr>
        <w:t xml:space="preserve">(i) presentar una copia debidamente suscrita de la Póliza 26720 del Seguro Protección de Tarjetas </w:t>
      </w:r>
      <w:r w:rsidR="4F26EE82" w:rsidRPr="000B00F2">
        <w:rPr>
          <w:rFonts w:ascii="Arial Narrow" w:eastAsia="Times New Roman" w:hAnsi="Arial Narrow" w:cs="Arial"/>
          <w:color w:val="000000" w:themeColor="text1"/>
          <w:lang w:val="es-ES" w:eastAsia="es-ES"/>
        </w:rPr>
        <w:lastRenderedPageBreak/>
        <w:t>materia de denuncia, así como el cargo de remisión de la póliza; (</w:t>
      </w:r>
      <w:proofErr w:type="spellStart"/>
      <w:r w:rsidR="4F26EE82" w:rsidRPr="000B00F2">
        <w:rPr>
          <w:rFonts w:ascii="Arial Narrow" w:eastAsia="Times New Roman" w:hAnsi="Arial Narrow" w:cs="Arial"/>
          <w:color w:val="000000" w:themeColor="text1"/>
          <w:lang w:val="es-ES" w:eastAsia="es-ES"/>
        </w:rPr>
        <w:t>ii</w:t>
      </w:r>
      <w:proofErr w:type="spellEnd"/>
      <w:r w:rsidR="4F26EE82" w:rsidRPr="000B00F2">
        <w:rPr>
          <w:rFonts w:ascii="Arial Narrow" w:eastAsia="Times New Roman" w:hAnsi="Arial Narrow" w:cs="Arial"/>
          <w:color w:val="000000" w:themeColor="text1"/>
          <w:lang w:val="es-ES" w:eastAsia="es-ES"/>
        </w:rPr>
        <w:t>) presentar los medios probatorios que acrediten que la negativa de otorgar la cobertura de la Póliza 26720 del Seguro Protección de Tarjetas fue justificada y, (</w:t>
      </w:r>
      <w:proofErr w:type="spellStart"/>
      <w:r w:rsidR="4F26EE82" w:rsidRPr="000B00F2">
        <w:rPr>
          <w:rFonts w:ascii="Arial Narrow" w:eastAsia="Times New Roman" w:hAnsi="Arial Narrow" w:cs="Arial"/>
          <w:color w:val="000000" w:themeColor="text1"/>
          <w:lang w:val="es-ES" w:eastAsia="es-ES"/>
        </w:rPr>
        <w:t>iii</w:t>
      </w:r>
      <w:proofErr w:type="spellEnd"/>
      <w:r w:rsidR="4F26EE82" w:rsidRPr="000B00F2">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38D144F8" w:rsidR="00E60CD7" w:rsidRPr="0026598E" w:rsidRDefault="7DB2BEE4" w:rsidP="000B00F2">
      <w:pPr>
        <w:spacing w:after="0" w:line="240" w:lineRule="auto"/>
        <w:jc w:val="both"/>
        <w:rPr>
          <w:rFonts w:ascii="Arial Narrow" w:eastAsia="Times New Roman" w:hAnsi="Arial Narrow" w:cs="Arial"/>
          <w:color w:val="000000"/>
          <w:kern w:val="0"/>
          <w:lang w:val="es-ES" w:eastAsia="es-ES"/>
          <w14:ligatures w14:val="none"/>
        </w:rPr>
      </w:pPr>
      <w:r w:rsidRPr="000B00F2">
        <w:rPr>
          <w:rFonts w:ascii="Arial Narrow" w:eastAsia="Arial Narrow" w:hAnsi="Arial Narrow" w:cs="Arial Narrow"/>
          <w:b/>
          <w:bCs/>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9ED95CA" w:rsidRPr="000B00F2">
        <w:rPr>
          <w:rFonts w:ascii="Arial Narrow" w:eastAsia="Arial Narrow" w:hAnsi="Arial Narrow" w:cs="Arial Narrow"/>
        </w:rPr>
        <w:t>Banco Internacional del Perú -Interbank S.A.A</w:t>
      </w:r>
      <w:r w:rsidR="09ED95CA">
        <w:rPr>
          <w:rFonts w:ascii="Arial Narrow" w:eastAsia="Times New Roman" w:hAnsi="Arial Narrow" w:cs="Times New Roman"/>
          <w:color w:val="000000"/>
          <w:kern w:val="0"/>
          <w:shd w:val="clear" w:color="auto" w:fill="FFFFFF"/>
          <w:lang w:eastAsia="es-PE"/>
          <w14:ligatures w14:val="none"/>
        </w:rPr>
        <w:t>.</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217F249B" w:rsidRPr="000B00F2">
        <w:rPr>
          <w:rFonts w:ascii="Arial Narrow" w:eastAsia="Times New Roman" w:hAnsi="Arial Narrow" w:cs="Arial"/>
          <w:color w:val="000000" w:themeColor="text1"/>
          <w:lang w:val="es-ES" w:eastAsia="es-ES"/>
        </w:rPr>
        <w:t>(i) presentar una copia debidamente suscrita de la Póliza 26720 del Seguro Protección de Tarjetas materia de denuncia, así como el cargo de remisión de la póliza; y, (</w:t>
      </w:r>
      <w:proofErr w:type="spellStart"/>
      <w:r w:rsidR="217F249B" w:rsidRPr="000B00F2">
        <w:rPr>
          <w:rFonts w:ascii="Arial Narrow" w:eastAsia="Times New Roman" w:hAnsi="Arial Narrow" w:cs="Arial"/>
          <w:color w:val="000000" w:themeColor="text1"/>
          <w:lang w:val="es-ES" w:eastAsia="es-ES"/>
        </w:rPr>
        <w:t>ii</w:t>
      </w:r>
      <w:proofErr w:type="spellEnd"/>
      <w:r w:rsidR="217F249B" w:rsidRPr="000B00F2">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7DB2BEE4" w:rsidP="008F3040">
      <w:pPr>
        <w:spacing w:after="0" w:line="240" w:lineRule="auto"/>
        <w:jc w:val="both"/>
        <w:rPr>
          <w:rFonts w:ascii="Arial Narrow" w:eastAsia="Arial Narrow" w:hAnsi="Arial Narrow" w:cs="Arial Narrow"/>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7DB2BEE4" w:rsidP="008F3040">
      <w:pPr>
        <w:suppressAutoHyphens/>
        <w:spacing w:after="0" w:line="240" w:lineRule="auto"/>
        <w:jc w:val="both"/>
        <w:rPr>
          <w:rFonts w:ascii="Arial Narrow" w:eastAsia="Calibri" w:hAnsi="Arial Narrow" w:cs="Arial"/>
          <w:kern w:val="0"/>
          <w:u w:val="single"/>
          <w14:ligatures w14:val="none"/>
        </w:rPr>
      </w:pPr>
      <w:r w:rsidRPr="000B00F2">
        <w:rPr>
          <w:rFonts w:ascii="Arial Narrow" w:eastAsia="Times New Roman" w:hAnsi="Arial Narrow" w:cs="Times New Roman"/>
          <w:b/>
          <w:bCs/>
          <w:color w:val="000000"/>
          <w:kern w:val="0"/>
          <w:lang w:eastAsia="es-PE"/>
          <w14:ligatures w14:val="none"/>
        </w:rPr>
        <w:t>NOVENO</w:t>
      </w:r>
      <w:r w:rsidRPr="000B00F2">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00E60CD7"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0B00F2">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134FAA02" w:rsidR="00E60CD7" w:rsidRPr="00A67ADF" w:rsidRDefault="7DB2BEE4"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y al Banco Internacional del Perú -Interbank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0B00F2">
        <w:rPr>
          <w:rFonts w:ascii="Arial Narrow" w:hAnsi="Arial Narrow" w:cs="Arial"/>
          <w:b/>
          <w:bCs/>
          <w:spacing w:val="-3"/>
          <w:kern w:val="0"/>
          <w14:ligatures w14:val="none"/>
        </w:rPr>
        <w:t/>
      </w:r>
      <w:r w:rsidRPr="000B00F2">
        <w:rPr>
          <w:rFonts w:ascii="Arial Narrow" w:hAnsi="Arial Narrow" w:cs="Arial"/>
          <w:spacing w:val="-3"/>
          <w:kern w:val="0"/>
          <w14:ligatures w14:val="none"/>
        </w:rPr>
        <w:t xml:space="preserve"/>
      </w:r>
      <w:r w:rsidR="09ED95CA" w:rsidRPr="000B00F2">
        <w:rPr>
          <w:rFonts w:ascii="Arial Narrow" w:hAnsi="Arial Narrow" w:cs="Arial"/>
          <w:spacing w:val="-3"/>
          <w:kern w:val="0"/>
          <w14:ligatures w14:val="none"/>
        </w:rPr>
        <w:t xml:space="preserve"/>
      </w:r>
      <w:r w:rsidR="09ED95CA" w:rsidRPr="00517D40">
        <w:rPr>
          <w:rFonts w:ascii="Arial Narrow" w:eastAsia="Times New Roman" w:hAnsi="Arial Narrow" w:cs="Times New Roman"/>
          <w:color w:val="000000"/>
          <w:kern w:val="0"/>
          <w:shd w:val="clear" w:color="auto" w:fill="FFFFFF"/>
          <w:lang w:eastAsia="es-PE"/>
          <w14:ligatures w14:val="none"/>
        </w:rPr>
        <w:t xml:space="preserve"/>
      </w:r>
      <w:r w:rsidR="09ED95CA" w:rsidRPr="00B10CF6">
        <w:rPr>
          <w:rFonts w:ascii="Arial Narrow" w:eastAsia="Times New Roman" w:hAnsi="Arial Narrow" w:cs="Times New Roman"/>
          <w:color w:val="000000"/>
          <w:kern w:val="0"/>
          <w:shd w:val="clear" w:color="auto" w:fill="FFFFFF"/>
          <w:lang w:eastAsia="es-PE"/>
          <w14:ligatures w14:val="none"/>
        </w:rPr>
        <w:t xml:space="preserve"/>
      </w:r>
      <w:r w:rsidR="09ED95CA" w:rsidRPr="00B10CF6">
        <w:rPr>
          <w:rFonts w:ascii="Arial Narrow" w:hAnsi="Arial Narrow"/>
          <w:color w:val="000000"/>
        </w:rPr>
        <w:t/>
      </w:r>
      <w:r w:rsidR="09ED95CA" w:rsidRPr="00B10CF6">
        <w:rPr>
          <w:rFonts w:ascii="Arial Narrow" w:eastAsia="Times New Roman" w:hAnsi="Arial Narrow" w:cs="Segoe UI"/>
          <w:color w:val="000000"/>
          <w:kern w:val="0"/>
          <w:lang w:eastAsia="es-PE"/>
          <w14:ligatures w14:val="none"/>
        </w:rPr>
        <w:t/>
      </w:r>
      <w:r w:rsidR="09ED95CA" w:rsidRPr="00B10CF6">
        <w:rPr>
          <w:rFonts w:ascii="Arial Narrow" w:hAnsi="Arial Narrow"/>
          <w:color w:val="000000"/>
        </w:rPr>
        <w:t xml:space="preserve"/>
      </w:r>
      <w:r w:rsidR="09ED95CA" w:rsidRPr="00B10CF6">
        <w:rPr>
          <w:rFonts w:ascii="Arial Narrow" w:hAnsi="Arial Narrow"/>
          <w:color w:val="000000"/>
        </w:rPr>
        <w:lastRenderedPageBreak/>
        <w:t/>
      </w:r>
      <w:r w:rsidR="09ED95CA" w:rsidRPr="00B10CF6">
        <w:rPr>
          <w:rFonts w:ascii="Arial Narrow" w:eastAsia="Times New Roman" w:hAnsi="Arial Narrow" w:cs="Segoe UI"/>
          <w:color w:val="000000"/>
          <w:kern w:val="0"/>
          <w:lang w:eastAsia="es-PE"/>
          <w14:ligatures w14:val="none"/>
        </w:rPr>
        <w:t/>
      </w:r>
      <w:r w:rsidR="09ED95CA" w:rsidRPr="00B10CF6">
        <w:rPr>
          <w:rFonts w:ascii="Arial Narrow" w:hAnsi="Arial Narrow"/>
          <w:color w:val="000000"/>
        </w:rPr>
        <w:t xml:space="preserve"/>
      </w:r>
      <w:r w:rsidR="00517D40" w:rsidRPr="00B10CF6">
        <w:rPr>
          <w:rFonts w:ascii="Arial Narrow" w:hAnsi="Arial Narrow"/>
          <w:vertAlign w:val="superscript"/>
        </w:rPr>
        <w:footnoteReference w:id="12"/>
      </w:r>
      <w:r w:rsidR="09ED95CA" w:rsidRPr="00B10CF6">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789553A9" w:rsidR="00E60CD7" w:rsidRDefault="00E60CD7" w:rsidP="008F3040">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00517D40" w:rsidRPr="00B10CF6">
        <w:rPr>
          <w:rFonts w:ascii="Arial Narrow" w:hAnsi="Arial Narrow"/>
          <w:color w:val="000000"/>
        </w:rPr>
        <w:t xml:space="preserve">requerir a </w:t>
      </w:r>
      <w:r w:rsidR="00517D40" w:rsidRPr="00B10CF6">
        <w:rPr>
          <w:rFonts w:ascii="Arial Narrow" w:eastAsia="Arial Narrow" w:hAnsi="Arial Narrow" w:cs="Arial Narrow"/>
          <w:bCs/>
        </w:rPr>
        <w:t xml:space="preserve">Chubb Perú S.A. Compañía de Seguros y Reaseguros </w:t>
      </w:r>
      <w:r w:rsidR="00517D40" w:rsidRPr="00B10CF6">
        <w:rPr>
          <w:rFonts w:ascii="Arial Narrow" w:hAnsi="Arial Narrow"/>
          <w:shd w:val="clear" w:color="auto" w:fill="FFFFFF"/>
        </w:rPr>
        <w:t xml:space="preserve">para que </w:t>
      </w:r>
      <w:r w:rsidR="00517D40" w:rsidRPr="00B10CF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2F2A96AE" w14:textId="77777777" w:rsidR="00517D40" w:rsidRDefault="00517D40" w:rsidP="008F3040">
      <w:pPr>
        <w:suppressAutoHyphens/>
        <w:spacing w:line="240" w:lineRule="auto"/>
        <w:jc w:val="both"/>
        <w:rPr>
          <w:rFonts w:ascii="Arial Narrow" w:eastAsia="Calibri" w:hAnsi="Arial Narrow"/>
        </w:rPr>
      </w:pP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32B8DBF5" w14:textId="77777777" w:rsidR="00F84884" w:rsidRPr="00BF49F6" w:rsidRDefault="00F84884" w:rsidP="00F8488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8F304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F915" w14:textId="77777777" w:rsidR="00577D4C" w:rsidRDefault="00577D4C" w:rsidP="00DA79A0">
      <w:pPr>
        <w:spacing w:after="0" w:line="240" w:lineRule="auto"/>
      </w:pPr>
      <w:r>
        <w:separator/>
      </w:r>
    </w:p>
  </w:endnote>
  <w:endnote w:type="continuationSeparator" w:id="0">
    <w:p w14:paraId="4716C3A1" w14:textId="77777777" w:rsidR="00577D4C" w:rsidRDefault="00577D4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6614" w14:textId="77777777" w:rsidR="00577D4C" w:rsidRDefault="00577D4C" w:rsidP="00DA79A0">
      <w:pPr>
        <w:spacing w:after="0" w:line="240" w:lineRule="auto"/>
      </w:pPr>
      <w:r>
        <w:separator/>
      </w:r>
    </w:p>
  </w:footnote>
  <w:footnote w:type="continuationSeparator" w:id="0">
    <w:p w14:paraId="361E300E" w14:textId="77777777" w:rsidR="00577D4C" w:rsidRDefault="00577D4C" w:rsidP="00DA79A0">
      <w:pPr>
        <w:spacing w:after="0" w:line="240" w:lineRule="auto"/>
      </w:pPr>
      <w:r>
        <w:continuationSeparator/>
      </w:r>
    </w:p>
  </w:footnote>
  <w:footnote w:id="1">
    <w:p w14:paraId="5F8F0163"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t>Publicado</w:t>
      </w:r>
      <w:r w:rsidRPr="003C6198">
        <w:rPr>
          <w:rFonts w:ascii="Arial Narrow" w:hAnsi="Arial Narrow" w:cs="Arial"/>
          <w:b/>
          <w:sz w:val="14"/>
          <w:szCs w:val="14"/>
        </w:rPr>
        <w:t xml:space="preserve"> </w:t>
      </w:r>
      <w:r w:rsidRPr="003C6198">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3C6198" w:rsidRDefault="00E60CD7" w:rsidP="00E60CD7">
      <w:pPr>
        <w:pStyle w:val="Textonotapie"/>
        <w:ind w:left="567" w:hanging="567"/>
        <w:jc w:val="both"/>
        <w:rPr>
          <w:rFonts w:ascii="Arial Narrow" w:hAnsi="Arial Narrow" w:cs="Arial"/>
          <w:sz w:val="14"/>
          <w:szCs w:val="14"/>
        </w:rPr>
      </w:pPr>
    </w:p>
  </w:footnote>
  <w:footnote w:id="2">
    <w:p w14:paraId="5780FF23" w14:textId="77777777" w:rsidR="00CA50CD" w:rsidRPr="003C6198"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44B93E0F" w:rsidR="00CA50CD" w:rsidRPr="003C6198" w:rsidRDefault="00943A11" w:rsidP="00CA50CD">
      <w:pPr>
        <w:pStyle w:val="Textonotapie"/>
        <w:tabs>
          <w:tab w:val="left" w:pos="567"/>
        </w:tabs>
        <w:ind w:left="567" w:right="-1" w:hanging="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Artículo 105.- Autoridad competente.</w:t>
      </w:r>
    </w:p>
    <w:p w14:paraId="558A5D52" w14:textId="118E9C72"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27147079"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 xml:space="preserve">(…). </w:t>
      </w:r>
    </w:p>
    <w:p w14:paraId="63A1D8B1" w14:textId="562B8821"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p>
    <w:p w14:paraId="5302DE22" w14:textId="5F124057" w:rsidR="00CA50CD" w:rsidRPr="003C6198" w:rsidRDefault="00943A11" w:rsidP="00CA50CD">
      <w:pPr>
        <w:pStyle w:val="Textonotapie"/>
        <w:tabs>
          <w:tab w:val="left" w:pos="567"/>
        </w:tabs>
        <w:ind w:left="567" w:right="-1" w:hanging="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 xml:space="preserve">LEY DE ORGANIZACIÓN Y FUNCIONES DEL INDECOPI, APROBADA POR DECRETO LEGISLATIVO 1033 </w:t>
      </w:r>
    </w:p>
    <w:p w14:paraId="3010A468" w14:textId="5A3B2817"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Artículo 27.-</w:t>
      </w:r>
      <w:r w:rsidR="000B00F2" w:rsidRPr="003C6198">
        <w:rPr>
          <w:rFonts w:ascii="Arial Narrow" w:eastAsia="Arial Narrow" w:hAnsi="Arial Narrow" w:cs="Arial"/>
          <w:sz w:val="14"/>
          <w:szCs w:val="14"/>
        </w:rPr>
        <w:t xml:space="preserve"> De la Comisión de Protección al </w:t>
      </w:r>
      <w:proofErr w:type="gramStart"/>
      <w:r w:rsidR="000B00F2" w:rsidRPr="003C6198">
        <w:rPr>
          <w:rFonts w:ascii="Arial Narrow" w:eastAsia="Arial Narrow" w:hAnsi="Arial Narrow" w:cs="Arial"/>
          <w:sz w:val="14"/>
          <w:szCs w:val="14"/>
        </w:rPr>
        <w:t>Consumidor.-</w:t>
      </w:r>
      <w:proofErr w:type="gramEnd"/>
      <w:r w:rsidR="000B00F2" w:rsidRPr="003C6198">
        <w:rPr>
          <w:rFonts w:ascii="Arial Narrow" w:eastAsia="Arial Narrow" w:hAnsi="Arial Narrow" w:cs="Arial"/>
          <w:sz w:val="14"/>
          <w:szCs w:val="14"/>
        </w:rPr>
        <w:t xml:space="preserve"> </w:t>
      </w:r>
    </w:p>
    <w:p w14:paraId="097FEC65" w14:textId="2A7DD612"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3C6198" w:rsidRDefault="00CA50CD" w:rsidP="00CA50CD">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3C6198" w:rsidRDefault="008424BB" w:rsidP="008424BB">
      <w:pPr>
        <w:pStyle w:val="Textonotapie"/>
        <w:tabs>
          <w:tab w:val="left" w:pos="567"/>
        </w:tabs>
        <w:ind w:left="567" w:right="-1" w:hanging="567"/>
        <w:jc w:val="both"/>
        <w:rPr>
          <w:rFonts w:ascii="Arial Narrow" w:eastAsia="Arial Narrow" w:hAnsi="Arial Narrow" w:cs="Arial Narrow"/>
          <w:b/>
          <w:bCs/>
          <w:sz w:val="14"/>
          <w:szCs w:val="14"/>
        </w:rPr>
      </w:pPr>
      <w:r w:rsidRPr="003C6198">
        <w:rPr>
          <w:rStyle w:val="Refdenotaalpie"/>
          <w:rFonts w:ascii="Arial Narrow" w:hAnsi="Arial Narrow"/>
          <w:sz w:val="14"/>
          <w:szCs w:val="14"/>
        </w:rPr>
        <w:footnoteRef/>
      </w:r>
      <w:r w:rsidRPr="003C6198">
        <w:rPr>
          <w:rFonts w:ascii="Arial Narrow" w:hAnsi="Arial Narrow"/>
          <w:sz w:val="14"/>
          <w:szCs w:val="14"/>
        </w:rPr>
        <w:t xml:space="preserve"> </w:t>
      </w:r>
      <w:r w:rsidRPr="003C6198">
        <w:rPr>
          <w:rFonts w:ascii="Arial Narrow" w:hAnsi="Arial Narrow"/>
          <w:sz w:val="14"/>
          <w:szCs w:val="14"/>
        </w:rPr>
        <w:tab/>
      </w:r>
      <w:r w:rsidRPr="003C6198">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3C6198" w:rsidRDefault="008424BB" w:rsidP="008424BB">
      <w:pPr>
        <w:pStyle w:val="Textonotapie"/>
        <w:ind w:left="567" w:right="-1"/>
        <w:jc w:val="both"/>
        <w:rPr>
          <w:rFonts w:ascii="Arial Narrow" w:eastAsia="Arial Narrow" w:hAnsi="Arial Narrow" w:cs="Arial Narrow"/>
          <w:b/>
          <w:bCs/>
          <w:sz w:val="14"/>
          <w:szCs w:val="14"/>
        </w:rPr>
      </w:pPr>
      <w:r w:rsidRPr="003C6198">
        <w:rPr>
          <w:rFonts w:ascii="Arial Narrow" w:eastAsia="Arial Narrow" w:hAnsi="Arial Narrow" w:cs="Arial Narrow"/>
          <w:b/>
          <w:bCs/>
          <w:sz w:val="14"/>
          <w:szCs w:val="14"/>
        </w:rPr>
        <w:t xml:space="preserve">Artículo 18.- Idoneidad </w:t>
      </w:r>
    </w:p>
    <w:p w14:paraId="61EEBFFD"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3C6198" w:rsidRDefault="008424BB" w:rsidP="008424BB">
      <w:pPr>
        <w:pStyle w:val="Textonotapie"/>
        <w:ind w:left="567" w:right="-1"/>
        <w:jc w:val="both"/>
        <w:rPr>
          <w:rFonts w:ascii="Arial Narrow" w:eastAsia="Arial Narrow" w:hAnsi="Arial Narrow" w:cs="Arial Narrow"/>
          <w:sz w:val="14"/>
          <w:szCs w:val="14"/>
        </w:rPr>
      </w:pPr>
    </w:p>
    <w:p w14:paraId="2BF6A82C"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b/>
          <w:bCs/>
          <w:sz w:val="14"/>
          <w:szCs w:val="14"/>
        </w:rPr>
        <w:t xml:space="preserve">Artículo 19.- Obligación de los proveedores </w:t>
      </w:r>
    </w:p>
    <w:p w14:paraId="309E6C56"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3C6198" w:rsidRDefault="008424BB" w:rsidP="008424BB">
      <w:pPr>
        <w:pStyle w:val="Textonotapie"/>
        <w:jc w:val="both"/>
        <w:rPr>
          <w:rFonts w:ascii="Arial Narrow" w:hAnsi="Arial Narrow"/>
          <w:sz w:val="14"/>
          <w:szCs w:val="14"/>
        </w:rPr>
      </w:pPr>
    </w:p>
  </w:footnote>
  <w:footnote w:id="4">
    <w:p w14:paraId="18911102" w14:textId="77777777" w:rsidR="00BC3498" w:rsidRPr="003C6198" w:rsidRDefault="00BC3498" w:rsidP="00BC3498">
      <w:pPr>
        <w:pStyle w:val="Textonotapie"/>
        <w:tabs>
          <w:tab w:val="left" w:pos="567"/>
        </w:tabs>
        <w:ind w:left="567" w:right="-1" w:hanging="567"/>
        <w:jc w:val="both"/>
        <w:rPr>
          <w:rFonts w:ascii="Arial Narrow" w:eastAsia="Arial Narrow" w:hAnsi="Arial Narrow" w:cs="Arial Narrow"/>
          <w:b/>
          <w:bCs/>
          <w:sz w:val="14"/>
          <w:szCs w:val="14"/>
        </w:rPr>
      </w:pPr>
      <w:r w:rsidRPr="003C6198">
        <w:rPr>
          <w:rStyle w:val="Refdenotaalpie"/>
          <w:rFonts w:ascii="Arial Narrow" w:hAnsi="Arial Narrow"/>
          <w:sz w:val="14"/>
          <w:szCs w:val="14"/>
        </w:rPr>
        <w:footnoteRef/>
      </w:r>
      <w:r w:rsidRPr="003C6198">
        <w:rPr>
          <w:rFonts w:ascii="Arial Narrow" w:hAnsi="Arial Narrow"/>
          <w:sz w:val="14"/>
          <w:szCs w:val="14"/>
        </w:rPr>
        <w:t xml:space="preserve"> </w:t>
      </w:r>
      <w:r w:rsidRPr="003C6198">
        <w:rPr>
          <w:rFonts w:ascii="Arial Narrow" w:hAnsi="Arial Narrow"/>
          <w:sz w:val="14"/>
          <w:szCs w:val="14"/>
        </w:rPr>
        <w:tab/>
      </w:r>
      <w:r w:rsidRPr="003C6198">
        <w:rPr>
          <w:rFonts w:ascii="Arial Narrow" w:eastAsia="Arial Narrow" w:hAnsi="Arial Narrow" w:cs="Arial Narrow"/>
          <w:b/>
          <w:bCs/>
          <w:sz w:val="14"/>
          <w:szCs w:val="14"/>
        </w:rPr>
        <w:t xml:space="preserve">LEY </w:t>
      </w:r>
      <w:proofErr w:type="spellStart"/>
      <w:r w:rsidRPr="003C6198">
        <w:rPr>
          <w:rFonts w:ascii="Arial Narrow" w:eastAsia="Arial Narrow" w:hAnsi="Arial Narrow" w:cs="Arial Narrow"/>
          <w:b/>
          <w:bCs/>
          <w:sz w:val="14"/>
          <w:szCs w:val="14"/>
        </w:rPr>
        <w:t/>
      </w:r>
      <w:proofErr w:type="spellEnd"/>
      <w:r w:rsidRPr="003C6198">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3C6198">
        <w:rPr>
          <w:rFonts w:ascii="Arial Narrow" w:eastAsia="Arial Narrow" w:hAnsi="Arial Narrow" w:cs="Arial Narrow"/>
          <w:b/>
          <w:bCs/>
          <w:sz w:val="14"/>
          <w:szCs w:val="14"/>
        </w:rPr>
        <w:t/>
      </w:r>
      <w:proofErr w:type="spellEnd"/>
      <w:r w:rsidRPr="003C6198">
        <w:rPr>
          <w:rFonts w:ascii="Arial Narrow" w:eastAsia="Arial Narrow" w:hAnsi="Arial Narrow" w:cs="Arial Narrow"/>
          <w:b/>
          <w:bCs/>
          <w:sz w:val="14"/>
          <w:szCs w:val="14"/>
        </w:rPr>
        <w:t xml:space="preserve"> 1308 </w:t>
      </w:r>
    </w:p>
    <w:p w14:paraId="39C25ACB" w14:textId="77777777" w:rsidR="006B56A5" w:rsidRPr="003C6198" w:rsidRDefault="006B56A5" w:rsidP="00BC3498">
      <w:pPr>
        <w:pStyle w:val="Textonotapie"/>
        <w:ind w:left="567" w:right="-1"/>
        <w:jc w:val="both"/>
        <w:rPr>
          <w:rFonts w:ascii="Arial Narrow" w:eastAsia="Arial Narrow" w:hAnsi="Arial Narrow" w:cs="Arial Narrow"/>
          <w:b/>
          <w:bCs/>
          <w:sz w:val="14"/>
          <w:szCs w:val="14"/>
        </w:rPr>
      </w:pPr>
      <w:r w:rsidRPr="003C6198">
        <w:rPr>
          <w:rFonts w:ascii="Arial Narrow" w:eastAsia="Arial Narrow" w:hAnsi="Arial Narrow" w:cs="Arial Narrow"/>
          <w:b/>
          <w:bCs/>
          <w:sz w:val="14"/>
          <w:szCs w:val="14"/>
        </w:rPr>
        <w:t>Artículo 62.- Métodos abusivos de cobranza</w:t>
      </w:r>
    </w:p>
    <w:p w14:paraId="15CB4353" w14:textId="77777777" w:rsidR="006B56A5" w:rsidRPr="003C6198" w:rsidRDefault="006B56A5"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A efectos de la aplicación del artículo 61, se prohíbe:</w:t>
      </w:r>
    </w:p>
    <w:p w14:paraId="212DFA1F"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a. Enviar al deudor, o a su garante, documentos que aparenten ser notificaciones o escritos judiciales. </w:t>
      </w:r>
    </w:p>
    <w:p w14:paraId="0BDA7C2D"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b. Realizar visitas o llamadas telefónicas entre las 20.00 horas y las 07.00 horas o los </w:t>
      </w:r>
      <w:proofErr w:type="gramStart"/>
      <w:r w:rsidRPr="003C6198">
        <w:rPr>
          <w:rFonts w:ascii="Arial Narrow" w:eastAsia="Arial Narrow" w:hAnsi="Arial Narrow" w:cs="Arial Narrow"/>
          <w:sz w:val="14"/>
          <w:szCs w:val="14"/>
        </w:rPr>
        <w:t>días sábados</w:t>
      </w:r>
      <w:proofErr w:type="gramEnd"/>
      <w:r w:rsidRPr="003C6198">
        <w:rPr>
          <w:rFonts w:ascii="Arial Narrow" w:eastAsia="Arial Narrow" w:hAnsi="Arial Narrow" w:cs="Arial Narrow"/>
          <w:sz w:val="14"/>
          <w:szCs w:val="14"/>
        </w:rPr>
        <w:t xml:space="preserve">, domingos y feriados. </w:t>
      </w:r>
    </w:p>
    <w:p w14:paraId="73EBDB64"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c. Colocar o exhibir a vista del público carteles o escritos en el domicilio del deudor o del garante, o en locales diferentes de estos, requiriéndole el pago de sus obligaciones. </w:t>
      </w:r>
    </w:p>
    <w:p w14:paraId="23E2858E"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d. Ubicar a personas con carteles alusivos a la deuda, con vestimenta inusual o medios similares, en las inmediaciones del domicilio o del centro de trabajo del deudor, requiriéndole el pago de una obligación. </w:t>
      </w:r>
    </w:p>
    <w:p w14:paraId="2755A0BC"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e. Difundir a través de los medios de comunicación nóminas de deudores y requerimientos de pago sin mediar orden judicial. Lo anterior no comprende a la información que se proporcione a las centrales privadas de información de riesgos reguladas por ley especial, la información brindada a la Central de Riesgos de la Superintendencia de Banca, Seguros y Administradoras Privadas de Fondos de Pensiones ni la información que por norma legal proporcione el Estado. </w:t>
      </w:r>
    </w:p>
    <w:p w14:paraId="4D2C0540"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f. Enviar comunicaciones o realizar llamadas a terceros ajenos a la obligación informando sobre la morosidad del consumidor. </w:t>
      </w:r>
    </w:p>
    <w:p w14:paraId="05D6A551" w14:textId="1690D444"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g. Enviar estados de cuenta, facturas por pagar y notificaciones de cobranza, sea cual fuera la naturaleza de estas últimas, al domicilio de un tercero ajeno a la relación de consumo, salvo que se trate de un domicilio contractualmente acordado o que el deudor haya señalado un nuevo domicilio válido. </w:t>
      </w:r>
    </w:p>
    <w:p w14:paraId="02B95D41" w14:textId="1B040F96" w:rsidR="00BC349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h. Cualquier otra modalidad análoga a lo señalado anteriormente</w:t>
      </w:r>
      <w:r w:rsidR="00BC3498" w:rsidRPr="003C6198">
        <w:rPr>
          <w:rFonts w:ascii="Arial Narrow" w:eastAsia="Arial Narrow" w:hAnsi="Arial Narrow" w:cs="Arial Narrow"/>
          <w:sz w:val="14"/>
          <w:szCs w:val="14"/>
        </w:rPr>
        <w:t xml:space="preserve">. </w:t>
      </w:r>
    </w:p>
    <w:p w14:paraId="4F7669D9" w14:textId="77777777" w:rsidR="00BC3498" w:rsidRPr="003C6198" w:rsidRDefault="00BC3498" w:rsidP="00BC3498">
      <w:pPr>
        <w:pStyle w:val="Textonotapie"/>
        <w:jc w:val="both"/>
        <w:rPr>
          <w:rFonts w:ascii="Arial Narrow" w:hAnsi="Arial Narrow"/>
          <w:sz w:val="14"/>
          <w:szCs w:val="14"/>
        </w:rPr>
      </w:pPr>
    </w:p>
  </w:footnote>
  <w:footnote w:id="5">
    <w:p w14:paraId="7115F0BB"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bCs/>
          <w:sz w:val="14"/>
          <w:szCs w:val="14"/>
        </w:rPr>
        <w:t xml:space="preserve">LEY SOBRE FACULTADES, NORMAS Y ORGANIZACIÓN DEL INDECOPI, APROBADA POR DECRETO LEGISLATIVO </w:t>
      </w:r>
      <w:proofErr w:type="spellStart"/>
      <w:r w:rsidRPr="003C6198">
        <w:rPr>
          <w:rFonts w:ascii="Arial Narrow" w:eastAsia="Arial Narrow" w:hAnsi="Arial Narrow" w:cs="Arial"/>
          <w:b/>
          <w:bCs/>
          <w:sz w:val="14"/>
          <w:szCs w:val="14"/>
        </w:rPr>
        <w:t/>
      </w:r>
      <w:proofErr w:type="spellEnd"/>
      <w:r w:rsidRPr="003C6198">
        <w:rPr>
          <w:rFonts w:ascii="Arial Narrow" w:eastAsia="Arial Narrow" w:hAnsi="Arial Narrow" w:cs="Arial"/>
          <w:b/>
          <w:bCs/>
          <w:sz w:val="14"/>
          <w:szCs w:val="14"/>
        </w:rPr>
        <w:t xml:space="preserve"> 807 Artículo 24.-</w:t>
      </w:r>
      <w:r w:rsidRPr="003C6198">
        <w:rPr>
          <w:rFonts w:ascii="Arial Narrow" w:eastAsia="Arial Narrow" w:hAnsi="Arial Narrow" w:cs="Arial"/>
          <w:sz w:val="14"/>
          <w:szCs w:val="14"/>
        </w:rPr>
        <w:t xml:space="preserve"> El </w:t>
      </w:r>
      <w:proofErr w:type="gramStart"/>
      <w:r w:rsidRPr="003C6198">
        <w:rPr>
          <w:rFonts w:ascii="Arial Narrow" w:eastAsia="Arial Narrow" w:hAnsi="Arial Narrow" w:cs="Arial"/>
          <w:sz w:val="14"/>
          <w:szCs w:val="14"/>
        </w:rPr>
        <w:t>Secretario Técnico</w:t>
      </w:r>
      <w:proofErr w:type="gramEnd"/>
      <w:r w:rsidRPr="003C6198">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 </w:t>
      </w:r>
    </w:p>
    <w:p w14:paraId="1BA2D5E9"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64A97A60"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 </w:t>
      </w:r>
    </w:p>
    <w:p w14:paraId="54C8AC89"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t xml:space="preserve">El número de trabajadores se atenderá siempre que la empresa haya sido constituida antes de la vigencia de la Ley </w:t>
      </w:r>
      <w:proofErr w:type="spellStart"/>
      <w:r w:rsidRPr="003C6198">
        <w:rPr>
          <w:rFonts w:ascii="Arial Narrow" w:hAnsi="Arial Narrow" w:cs="Arial"/>
          <w:sz w:val="14"/>
          <w:szCs w:val="14"/>
        </w:rPr>
        <w:t/>
      </w:r>
      <w:proofErr w:type="spellEnd"/>
      <w:r w:rsidRPr="003C6198">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C6198">
        <w:rPr>
          <w:rFonts w:ascii="Arial Narrow" w:hAnsi="Arial Narrow" w:cs="Arial"/>
          <w:sz w:val="14"/>
          <w:szCs w:val="14"/>
        </w:rPr>
        <w:t>entrada en vigencia</w:t>
      </w:r>
      <w:proofErr w:type="gramEnd"/>
      <w:r w:rsidRPr="003C6198">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3C6198" w:rsidRDefault="00E60CD7" w:rsidP="00E60CD7">
      <w:pPr>
        <w:pStyle w:val="Textonotapie"/>
        <w:ind w:left="567" w:hanging="567"/>
        <w:jc w:val="both"/>
        <w:rPr>
          <w:rFonts w:ascii="Arial Narrow" w:hAnsi="Arial Narrow" w:cs="Arial"/>
          <w:sz w:val="14"/>
          <w:szCs w:val="14"/>
        </w:rPr>
      </w:pPr>
    </w:p>
  </w:footnote>
  <w:footnote w:id="7">
    <w:p w14:paraId="0310ADE1"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31EB481D" w14:textId="77777777" w:rsidR="00E60CD7" w:rsidRPr="003C6198" w:rsidRDefault="00E60CD7" w:rsidP="00E60CD7">
      <w:pPr>
        <w:pStyle w:val="Textonotapie"/>
        <w:ind w:left="567" w:hanging="567"/>
        <w:jc w:val="both"/>
        <w:rPr>
          <w:rFonts w:ascii="Arial Narrow" w:hAnsi="Arial Narrow" w:cs="Arial"/>
          <w:b/>
          <w:bCs/>
          <w:sz w:val="14"/>
          <w:szCs w:val="14"/>
        </w:rPr>
      </w:pPr>
      <w:r w:rsidRPr="003C6198">
        <w:rPr>
          <w:rFonts w:ascii="Arial Narrow" w:hAnsi="Arial Narrow" w:cs="Arial"/>
          <w:sz w:val="14"/>
          <w:szCs w:val="14"/>
        </w:rPr>
        <w:tab/>
      </w:r>
      <w:r w:rsidRPr="003C6198">
        <w:rPr>
          <w:rFonts w:ascii="Arial Narrow" w:hAnsi="Arial Narrow" w:cs="Arial"/>
          <w:b/>
          <w:bCs/>
          <w:sz w:val="14"/>
          <w:szCs w:val="14"/>
        </w:rPr>
        <w:t>Artículo 110.- Sanciones Administrativas</w:t>
      </w:r>
    </w:p>
    <w:p w14:paraId="2A3A3CEE"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w:t>
      </w:r>
    </w:p>
    <w:p w14:paraId="17405061"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w:t>
      </w:r>
    </w:p>
    <w:p w14:paraId="6B55DC38" w14:textId="77777777" w:rsidR="00E60CD7" w:rsidRPr="003C6198" w:rsidRDefault="00E60CD7" w:rsidP="00E60CD7">
      <w:pPr>
        <w:pStyle w:val="Textonotapie"/>
        <w:tabs>
          <w:tab w:val="left" w:pos="284"/>
        </w:tabs>
        <w:ind w:left="567" w:hanging="567"/>
        <w:jc w:val="both"/>
        <w:rPr>
          <w:rFonts w:ascii="Arial Narrow" w:hAnsi="Arial Narrow" w:cs="Arial"/>
          <w:b/>
          <w:bCs/>
          <w:sz w:val="14"/>
          <w:szCs w:val="14"/>
        </w:rPr>
      </w:pPr>
    </w:p>
  </w:footnote>
  <w:footnote w:id="8">
    <w:p w14:paraId="57EE454E" w14:textId="77777777" w:rsidR="00E60CD7" w:rsidRPr="003C6198" w:rsidRDefault="00E60CD7" w:rsidP="00E60CD7">
      <w:pPr>
        <w:spacing w:after="0" w:line="240" w:lineRule="auto"/>
        <w:ind w:left="567" w:hanging="567"/>
        <w:jc w:val="both"/>
        <w:rPr>
          <w:rFonts w:ascii="Arial Narrow" w:hAnsi="Arial Narrow" w:cs="Arial"/>
          <w:sz w:val="14"/>
          <w:szCs w:val="14"/>
        </w:rPr>
      </w:pPr>
      <w:r w:rsidRPr="003C6198">
        <w:rPr>
          <w:rStyle w:val="TextonotapieCar"/>
          <w:rFonts w:ascii="Arial Narrow" w:hAnsi="Arial Narrow" w:cs="Arial"/>
          <w:sz w:val="14"/>
          <w:szCs w:val="14"/>
          <w:vertAlign w:val="superscript"/>
        </w:rPr>
        <w:footnoteRef/>
      </w:r>
      <w:r w:rsidRPr="003C6198">
        <w:rPr>
          <w:rFonts w:ascii="Arial Narrow" w:hAnsi="Arial Narrow" w:cs="Arial"/>
          <w:sz w:val="14"/>
          <w:szCs w:val="14"/>
          <w:vertAlign w:val="superscript"/>
        </w:rPr>
        <w:t xml:space="preserve"> </w:t>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6AE5B001" w14:textId="77777777" w:rsidR="00E60CD7" w:rsidRPr="003C6198" w:rsidRDefault="00E60CD7" w:rsidP="00E60CD7">
      <w:pPr>
        <w:spacing w:after="0" w:line="240" w:lineRule="auto"/>
        <w:ind w:left="567" w:hanging="567"/>
        <w:jc w:val="both"/>
        <w:rPr>
          <w:rFonts w:ascii="Arial Narrow" w:eastAsia="Arial Narrow" w:hAnsi="Arial Narrow" w:cs="Arial"/>
          <w:b/>
          <w:sz w:val="14"/>
          <w:szCs w:val="14"/>
        </w:rPr>
      </w:pPr>
      <w:r w:rsidRPr="003C6198">
        <w:rPr>
          <w:rFonts w:ascii="Arial Narrow" w:eastAsia="Arial Narrow" w:hAnsi="Arial Narrow" w:cs="Arial"/>
          <w:b/>
          <w:sz w:val="14"/>
          <w:szCs w:val="14"/>
        </w:rPr>
        <w:tab/>
        <w:t>Artículo 110.- Sanciones administrativas</w:t>
      </w:r>
    </w:p>
    <w:p w14:paraId="089DFB12"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leves, con una amonestación o con una multa de hasta cincuenta (50) UIT.</w:t>
      </w:r>
    </w:p>
    <w:p w14:paraId="64DA83D9"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graves, con una multa de hasta ciento cincuenta (150) UIT.</w:t>
      </w:r>
    </w:p>
    <w:p w14:paraId="2E00FA05"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muy graves, con una multa de hasta cuatrocientos cincuenta (450) UIT.</w:t>
      </w:r>
    </w:p>
    <w:p w14:paraId="768451A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w:t>
      </w:r>
    </w:p>
  </w:footnote>
  <w:footnote w:id="9">
    <w:p w14:paraId="4D3D6A94"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Artículo 114.- Medidas correctivas</w:t>
      </w:r>
    </w:p>
    <w:p w14:paraId="482E93CB"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Las medidas correctivas complementarias pueden dictarse de oficio o a pedido de parte.</w:t>
      </w:r>
    </w:p>
    <w:p w14:paraId="09E29F35" w14:textId="77777777" w:rsidR="00E60CD7" w:rsidRPr="003C6198" w:rsidRDefault="00E60CD7" w:rsidP="00E60CD7">
      <w:pPr>
        <w:spacing w:after="0" w:line="240" w:lineRule="auto"/>
        <w:ind w:left="567" w:hanging="567"/>
        <w:jc w:val="both"/>
        <w:rPr>
          <w:rFonts w:ascii="Arial Narrow" w:hAnsi="Arial Narrow" w:cs="Arial"/>
          <w:sz w:val="14"/>
          <w:szCs w:val="14"/>
        </w:rPr>
      </w:pPr>
    </w:p>
    <w:p w14:paraId="56026D6C" w14:textId="77777777" w:rsidR="00E60CD7" w:rsidRPr="003C6198" w:rsidRDefault="00E60CD7" w:rsidP="00E60CD7">
      <w:pPr>
        <w:spacing w:after="0" w:line="240" w:lineRule="auto"/>
        <w:ind w:left="567" w:hanging="567"/>
        <w:jc w:val="both"/>
        <w:rPr>
          <w:rFonts w:ascii="Arial Narrow" w:hAnsi="Arial Narrow" w:cs="Arial"/>
          <w:sz w:val="14"/>
          <w:szCs w:val="14"/>
        </w:rPr>
      </w:pPr>
      <w:r w:rsidRPr="003C6198">
        <w:rPr>
          <w:rFonts w:ascii="Arial Narrow" w:eastAsia="Arial Narrow" w:hAnsi="Arial Narrow" w:cs="Arial"/>
          <w:b/>
          <w:sz w:val="14"/>
          <w:szCs w:val="14"/>
        </w:rPr>
        <w:tab/>
        <w:t>Artículo 115.- Medidas correctivas reparadoras</w:t>
      </w:r>
    </w:p>
    <w:p w14:paraId="362CB8C7" w14:textId="77777777" w:rsidR="00E60CD7" w:rsidRPr="003C6198" w:rsidRDefault="00E60CD7" w:rsidP="00E60CD7">
      <w:pPr>
        <w:spacing w:after="0" w:line="240" w:lineRule="auto"/>
        <w:ind w:left="567" w:hanging="283"/>
        <w:jc w:val="both"/>
        <w:rPr>
          <w:rFonts w:ascii="Arial Narrow" w:eastAsia="Arial Narrow" w:hAnsi="Arial Narrow" w:cs="Arial"/>
          <w:sz w:val="14"/>
          <w:szCs w:val="14"/>
        </w:rPr>
      </w:pPr>
      <w:r w:rsidRPr="003C6198">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Reparar productos.</w:t>
      </w:r>
    </w:p>
    <w:p w14:paraId="230C29AA"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Cumplir con ejecutar otras prestaciones u obligaciones legales o convencionales a su cargo.</w:t>
      </w:r>
    </w:p>
    <w:p w14:paraId="3F4CBAE7"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3C6198" w:rsidRDefault="00E60CD7" w:rsidP="00E60CD7">
      <w:pPr>
        <w:pStyle w:val="Sinespaciado"/>
        <w:ind w:firstLine="567"/>
        <w:jc w:val="both"/>
        <w:rPr>
          <w:rFonts w:ascii="Arial Narrow" w:hAnsi="Arial Narrow" w:cs="Arial"/>
          <w:sz w:val="14"/>
          <w:szCs w:val="14"/>
        </w:rPr>
      </w:pPr>
      <w:r w:rsidRPr="003C6198">
        <w:rPr>
          <w:rFonts w:ascii="Arial Narrow" w:hAnsi="Arial Narrow" w:cs="Arial"/>
          <w:sz w:val="14"/>
          <w:szCs w:val="14"/>
        </w:rPr>
        <w:t>Pagar los gastos incurridos por el consumidor para mitigar las consecuencias de la infracción administrativa.</w:t>
      </w:r>
    </w:p>
    <w:p w14:paraId="535CC427" w14:textId="77777777" w:rsidR="00E60CD7" w:rsidRPr="003C6198" w:rsidRDefault="00E60CD7" w:rsidP="00E60CD7">
      <w:pPr>
        <w:pStyle w:val="Sinespaciado"/>
        <w:ind w:firstLine="567"/>
        <w:jc w:val="both"/>
        <w:rPr>
          <w:rFonts w:ascii="Arial Narrow" w:hAnsi="Arial Narrow" w:cs="Arial"/>
          <w:sz w:val="14"/>
          <w:szCs w:val="14"/>
        </w:rPr>
      </w:pPr>
      <w:r w:rsidRPr="003C6198">
        <w:rPr>
          <w:rFonts w:ascii="Arial Narrow" w:hAnsi="Arial Narrow" w:cs="Arial"/>
          <w:sz w:val="14"/>
          <w:szCs w:val="14"/>
        </w:rPr>
        <w:t>Otras medidas reparadoras análogas de efectos equivalentes a las anteriores.</w:t>
      </w:r>
    </w:p>
    <w:p w14:paraId="28DDE63C" w14:textId="77777777" w:rsidR="00E60CD7" w:rsidRPr="003C6198" w:rsidRDefault="00E60CD7" w:rsidP="00E60CD7">
      <w:pPr>
        <w:pStyle w:val="Sinespaciado"/>
        <w:ind w:left="567"/>
        <w:jc w:val="both"/>
        <w:rPr>
          <w:rFonts w:ascii="Arial Narrow" w:hAnsi="Arial Narrow" w:cs="Arial"/>
          <w:sz w:val="14"/>
          <w:szCs w:val="14"/>
        </w:rPr>
      </w:pPr>
      <w:r w:rsidRPr="003C6198">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C6198">
        <w:rPr>
          <w:rFonts w:ascii="Arial Narrow" w:hAnsi="Arial Narrow" w:cs="Arial"/>
          <w:sz w:val="14"/>
          <w:szCs w:val="14"/>
        </w:rPr>
        <w:t>conjuntamente con</w:t>
      </w:r>
      <w:proofErr w:type="gramEnd"/>
      <w:r w:rsidRPr="003C6198">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3C6198" w:rsidRDefault="00E60CD7" w:rsidP="00E60CD7">
      <w:pPr>
        <w:spacing w:after="0" w:line="240" w:lineRule="auto"/>
        <w:ind w:left="567"/>
        <w:jc w:val="both"/>
        <w:rPr>
          <w:rFonts w:ascii="Arial Narrow" w:eastAsia="Arial Narrow" w:hAnsi="Arial Narrow" w:cs="Arial"/>
          <w:sz w:val="14"/>
          <w:szCs w:val="14"/>
        </w:rPr>
      </w:pPr>
    </w:p>
    <w:p w14:paraId="624DB056" w14:textId="77777777" w:rsidR="00E60CD7" w:rsidRPr="003C6198" w:rsidRDefault="00E60CD7" w:rsidP="00E60CD7">
      <w:pPr>
        <w:spacing w:after="0" w:line="240" w:lineRule="auto"/>
        <w:ind w:left="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Artículo 116.- Medidas correctivas complementarias</w:t>
      </w:r>
    </w:p>
    <w:p w14:paraId="5972CD26"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d. En caso de infracciones muy graves y de reincidencia o </w:t>
      </w:r>
      <w:proofErr w:type="spellStart"/>
      <w:r w:rsidRPr="003C6198">
        <w:rPr>
          <w:rFonts w:ascii="Arial Narrow" w:eastAsia="Arial Narrow" w:hAnsi="Arial Narrow" w:cs="Arial"/>
          <w:sz w:val="14"/>
          <w:szCs w:val="14"/>
        </w:rPr>
        <w:t>reiterancia</w:t>
      </w:r>
      <w:proofErr w:type="spellEnd"/>
      <w:r w:rsidRPr="003C6198">
        <w:rPr>
          <w:rFonts w:ascii="Arial Narrow" w:eastAsia="Arial Narrow" w:hAnsi="Arial Narrow" w:cs="Arial"/>
          <w:sz w:val="14"/>
          <w:szCs w:val="14"/>
        </w:rPr>
        <w:t xml:space="preserve">: </w:t>
      </w:r>
    </w:p>
    <w:p w14:paraId="67DF796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w:t>
      </w:r>
      <w:proofErr w:type="spellStart"/>
      <w:r w:rsidRPr="003C6198">
        <w:rPr>
          <w:rFonts w:ascii="Arial Narrow" w:eastAsia="Arial Narrow" w:hAnsi="Arial Narrow" w:cs="Arial"/>
          <w:sz w:val="14"/>
          <w:szCs w:val="14"/>
        </w:rPr>
        <w:t>ii</w:t>
      </w:r>
      <w:proofErr w:type="spellEnd"/>
      <w:r w:rsidRPr="003C6198">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e. Publicación de avisos </w:t>
      </w:r>
      <w:proofErr w:type="spellStart"/>
      <w:r w:rsidRPr="003C6198">
        <w:rPr>
          <w:rFonts w:ascii="Arial Narrow" w:eastAsia="Arial Narrow" w:hAnsi="Arial Narrow" w:cs="Arial"/>
          <w:sz w:val="14"/>
          <w:szCs w:val="14"/>
        </w:rPr>
        <w:t>rectificatorios</w:t>
      </w:r>
      <w:proofErr w:type="spellEnd"/>
      <w:r w:rsidRPr="003C6198">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3C6198" w:rsidRDefault="00E60CD7" w:rsidP="00E60CD7">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3C6198" w:rsidRDefault="00E60CD7" w:rsidP="00E60CD7">
      <w:pPr>
        <w:pStyle w:val="Textonotapie"/>
        <w:tabs>
          <w:tab w:val="left" w:pos="567"/>
        </w:tabs>
        <w:ind w:left="567" w:hanging="567"/>
        <w:jc w:val="both"/>
        <w:rPr>
          <w:rFonts w:ascii="Arial Narrow" w:hAnsi="Arial Narrow" w:cs="Arial"/>
          <w:b/>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15FD716E" w14:textId="77777777" w:rsidR="00E60CD7" w:rsidRPr="003C6198" w:rsidRDefault="00E60CD7" w:rsidP="00E60CD7">
      <w:pPr>
        <w:pStyle w:val="Textonotapie"/>
        <w:tabs>
          <w:tab w:val="left" w:pos="567"/>
        </w:tabs>
        <w:jc w:val="both"/>
        <w:rPr>
          <w:rFonts w:ascii="Arial Narrow" w:eastAsia="Arial Narrow" w:hAnsi="Arial Narrow" w:cs="Arial"/>
          <w:b/>
          <w:sz w:val="14"/>
          <w:szCs w:val="14"/>
        </w:rPr>
      </w:pPr>
      <w:r w:rsidRPr="003C6198">
        <w:rPr>
          <w:rFonts w:ascii="Arial Narrow" w:eastAsia="Arial Narrow" w:hAnsi="Arial Narrow" w:cs="Arial"/>
          <w:b/>
          <w:sz w:val="14"/>
          <w:szCs w:val="14"/>
        </w:rPr>
        <w:tab/>
        <w:t>Artículo 112.- Criterios de graduación de las sanciones administrativas</w:t>
      </w:r>
    </w:p>
    <w:p w14:paraId="36F54C06"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7B724B75"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Se consideran circunstancias atenuantes especiales, las siguientes:</w:t>
      </w:r>
    </w:p>
    <w:p w14:paraId="6AC5BA11"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3E80140A" w14:textId="77777777" w:rsidR="00E60CD7" w:rsidRPr="003C6198" w:rsidRDefault="00E60CD7" w:rsidP="00E60CD7">
      <w:pPr>
        <w:pStyle w:val="Textonotapie"/>
        <w:tabs>
          <w:tab w:val="left" w:pos="567"/>
        </w:tabs>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C6198">
        <w:rPr>
          <w:rFonts w:ascii="Arial Narrow" w:eastAsia="Arial Narrow" w:hAnsi="Arial Narrow" w:cs="Arial"/>
          <w:sz w:val="14"/>
          <w:szCs w:val="14"/>
        </w:rPr>
        <w:t>liminarmente</w:t>
      </w:r>
      <w:proofErr w:type="spellEnd"/>
      <w:r w:rsidRPr="003C6198">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3C6198" w:rsidRDefault="00E60CD7" w:rsidP="00E60CD7">
      <w:pPr>
        <w:pStyle w:val="Textonotapie"/>
        <w:jc w:val="both"/>
        <w:rPr>
          <w:rFonts w:ascii="Arial Narrow" w:hAnsi="Arial Narrow" w:cs="Arial"/>
          <w:sz w:val="14"/>
          <w:szCs w:val="14"/>
        </w:rPr>
      </w:pPr>
    </w:p>
  </w:footnote>
  <w:footnote w:id="11">
    <w:p w14:paraId="1C46CEFF" w14:textId="77777777" w:rsidR="00E60CD7" w:rsidRPr="003C6198" w:rsidRDefault="00E60CD7" w:rsidP="00E60CD7">
      <w:pPr>
        <w:autoSpaceDE w:val="0"/>
        <w:autoSpaceDN w:val="0"/>
        <w:adjustRightInd w:val="0"/>
        <w:spacing w:after="0" w:line="240" w:lineRule="auto"/>
        <w:ind w:left="567" w:hanging="567"/>
        <w:jc w:val="both"/>
        <w:rPr>
          <w:rFonts w:ascii="Arial Narrow" w:hAnsi="Arial Narrow" w:cs="Arial"/>
          <w:b/>
          <w:bCs/>
          <w:sz w:val="14"/>
          <w:szCs w:val="14"/>
        </w:rPr>
      </w:pPr>
      <w:r w:rsidRPr="003C6198">
        <w:rPr>
          <w:rStyle w:val="Refdenotaalpie"/>
          <w:rFonts w:ascii="Arial Narrow" w:hAnsi="Arial Narrow" w:cs="Arial"/>
          <w:b/>
          <w:bCs/>
          <w:sz w:val="14"/>
          <w:szCs w:val="14"/>
        </w:rPr>
        <w:footnoteRef/>
      </w:r>
      <w:r w:rsidRPr="003C6198">
        <w:rPr>
          <w:rFonts w:ascii="Arial Narrow" w:hAnsi="Arial Narrow" w:cs="Arial"/>
          <w:b/>
          <w:bCs/>
          <w:sz w:val="14"/>
          <w:szCs w:val="14"/>
        </w:rPr>
        <w:t xml:space="preserve"> </w:t>
      </w:r>
      <w:r w:rsidRPr="003C6198">
        <w:rPr>
          <w:rFonts w:ascii="Arial Narrow" w:hAnsi="Arial Narrow" w:cs="Arial"/>
          <w:b/>
          <w:bCs/>
          <w:sz w:val="14"/>
          <w:szCs w:val="14"/>
        </w:rPr>
        <w:tab/>
        <w:t xml:space="preserve">DECRETO LEGISLATIVO </w:t>
      </w:r>
      <w:proofErr w:type="spellStart"/>
      <w:r w:rsidRPr="003C6198">
        <w:rPr>
          <w:rFonts w:ascii="Arial Narrow" w:hAnsi="Arial Narrow" w:cs="Arial"/>
          <w:b/>
          <w:bCs/>
          <w:sz w:val="14"/>
          <w:szCs w:val="14"/>
        </w:rPr>
        <w:t/>
      </w:r>
      <w:proofErr w:type="spellEnd"/>
      <w:r w:rsidRPr="003C6198">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3C6198" w:rsidRDefault="00E60CD7" w:rsidP="00E60CD7">
      <w:pPr>
        <w:pStyle w:val="NormalWeb"/>
        <w:spacing w:after="0" w:line="240" w:lineRule="auto"/>
        <w:ind w:left="567"/>
        <w:jc w:val="both"/>
        <w:rPr>
          <w:rFonts w:ascii="Arial Narrow" w:hAnsi="Arial Narrow" w:cs="Arial"/>
          <w:bCs/>
          <w:sz w:val="14"/>
          <w:szCs w:val="14"/>
        </w:rPr>
      </w:pPr>
      <w:r w:rsidRPr="003C6198">
        <w:rPr>
          <w:rFonts w:ascii="Arial Narrow" w:hAnsi="Arial Narrow" w:cs="Arial"/>
          <w:b/>
          <w:sz w:val="14"/>
          <w:szCs w:val="14"/>
        </w:rPr>
        <w:t xml:space="preserve">Artículo 29.- </w:t>
      </w:r>
      <w:r w:rsidRPr="003C6198">
        <w:rPr>
          <w:rFonts w:ascii="Arial Narrow" w:hAnsi="Arial Narrow" w:cs="Arial"/>
          <w:bCs/>
          <w:sz w:val="14"/>
          <w:szCs w:val="14"/>
        </w:rPr>
        <w:t xml:space="preserve">En cualquier estado del procedimiento, e incluso antes de admitirse a trámite la denuncia, el </w:t>
      </w:r>
      <w:proofErr w:type="gramStart"/>
      <w:r w:rsidRPr="003C6198">
        <w:rPr>
          <w:rFonts w:ascii="Arial Narrow" w:hAnsi="Arial Narrow" w:cs="Arial"/>
          <w:bCs/>
          <w:sz w:val="14"/>
          <w:szCs w:val="14"/>
        </w:rPr>
        <w:t>Secretario Técnico</w:t>
      </w:r>
      <w:proofErr w:type="gramEnd"/>
      <w:r w:rsidRPr="003C6198">
        <w:rPr>
          <w:rFonts w:ascii="Arial Narrow" w:hAnsi="Arial Narrow" w:cs="Arial"/>
          <w:bCs/>
          <w:sz w:val="14"/>
          <w:szCs w:val="14"/>
        </w:rPr>
        <w:t xml:space="preserve"> podrá citar a las partes a audiencia de conciliación. La audiencia se desarrollará ante el </w:t>
      </w:r>
      <w:proofErr w:type="gramStart"/>
      <w:r w:rsidRPr="003C6198">
        <w:rPr>
          <w:rFonts w:ascii="Arial Narrow" w:hAnsi="Arial Narrow" w:cs="Arial"/>
          <w:bCs/>
          <w:sz w:val="14"/>
          <w:szCs w:val="14"/>
        </w:rPr>
        <w:t>Secretario Técnico</w:t>
      </w:r>
      <w:proofErr w:type="gramEnd"/>
      <w:r w:rsidRPr="003C6198">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C6198" w:rsidRDefault="00E60CD7" w:rsidP="00E60CD7">
      <w:pPr>
        <w:pStyle w:val="NormalWeb"/>
        <w:spacing w:after="0" w:line="240" w:lineRule="auto"/>
        <w:ind w:left="567"/>
        <w:jc w:val="both"/>
        <w:rPr>
          <w:rFonts w:ascii="Arial Narrow" w:hAnsi="Arial Narrow" w:cs="Arial"/>
          <w:sz w:val="14"/>
          <w:szCs w:val="14"/>
        </w:rPr>
      </w:pPr>
    </w:p>
  </w:footnote>
  <w:footnote w:id="12">
    <w:p w14:paraId="5B967836" w14:textId="77777777" w:rsidR="00517D40" w:rsidRPr="003C6198" w:rsidRDefault="00517D40" w:rsidP="00517D40">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4"/>
          <w:szCs w:val="14"/>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368E93F2" w14:textId="77777777" w:rsidR="00517D40" w:rsidRPr="003C6198" w:rsidRDefault="00517D40" w:rsidP="00517D40">
      <w:pPr>
        <w:pStyle w:val="Textonotapie"/>
        <w:ind w:left="1134" w:hanging="567"/>
        <w:jc w:val="both"/>
        <w:rPr>
          <w:rFonts w:ascii="Arial Narrow" w:hAnsi="Arial Narrow" w:cs="Arial"/>
          <w:b/>
          <w:bCs/>
          <w:sz w:val="14"/>
          <w:szCs w:val="14"/>
        </w:rPr>
      </w:pPr>
      <w:r w:rsidRPr="003C6198">
        <w:rPr>
          <w:rFonts w:ascii="Arial Narrow" w:hAnsi="Arial Narrow" w:cs="Arial"/>
          <w:b/>
          <w:bCs/>
          <w:sz w:val="14"/>
          <w:szCs w:val="14"/>
        </w:rPr>
        <w:t>Artículo 20.- Modalidades de notificación</w:t>
      </w:r>
    </w:p>
    <w:p w14:paraId="16CE8D13" w14:textId="77777777" w:rsidR="00517D40" w:rsidRPr="003C6198" w:rsidRDefault="00517D40" w:rsidP="00517D40">
      <w:pPr>
        <w:pStyle w:val="Textonotapie"/>
        <w:ind w:left="1134" w:hanging="567"/>
        <w:jc w:val="both"/>
        <w:rPr>
          <w:rFonts w:ascii="Arial Narrow" w:hAnsi="Arial Narrow" w:cs="Arial"/>
          <w:sz w:val="14"/>
          <w:szCs w:val="14"/>
        </w:rPr>
      </w:pPr>
      <w:r w:rsidRPr="003C6198">
        <w:rPr>
          <w:rFonts w:ascii="Arial Narrow" w:hAnsi="Arial Narrow" w:cs="Arial"/>
          <w:sz w:val="14"/>
          <w:szCs w:val="14"/>
        </w:rPr>
        <w:t xml:space="preserve">20.4. </w:t>
      </w:r>
      <w:r w:rsidRPr="003C6198">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D06C36F" w14:textId="77777777" w:rsidR="00517D40" w:rsidRPr="003C6198" w:rsidRDefault="00517D40" w:rsidP="00517D40">
      <w:pPr>
        <w:pStyle w:val="Textonotapie"/>
        <w:ind w:left="1134"/>
        <w:jc w:val="both"/>
        <w:rPr>
          <w:rFonts w:ascii="Arial Narrow" w:hAnsi="Arial Narrow" w:cs="Arial"/>
          <w:sz w:val="14"/>
          <w:szCs w:val="14"/>
        </w:rPr>
      </w:pPr>
      <w:r w:rsidRPr="003C6198">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7842F45" w14:textId="77777777" w:rsidR="00517D40" w:rsidRPr="003C6198" w:rsidRDefault="00517D40" w:rsidP="00517D40">
      <w:pPr>
        <w:pStyle w:val="Textonotapie"/>
        <w:ind w:left="1134"/>
        <w:jc w:val="both"/>
        <w:rPr>
          <w:rFonts w:ascii="Arial Narrow" w:hAnsi="Arial Narrow" w:cs="Arial"/>
          <w:sz w:val="14"/>
          <w:szCs w:val="14"/>
        </w:rPr>
      </w:pPr>
      <w:r w:rsidRPr="003C6198">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51661E1" w14:textId="77777777" w:rsidR="00517D40" w:rsidRPr="003C6198" w:rsidRDefault="00517D40" w:rsidP="00517D40">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92DBA"/>
    <w:rsid w:val="000A2C5A"/>
    <w:rsid w:val="000B00F2"/>
    <w:rsid w:val="000C03E0"/>
    <w:rsid w:val="000C186B"/>
    <w:rsid w:val="000C4DDA"/>
    <w:rsid w:val="00134E52"/>
    <w:rsid w:val="001B5674"/>
    <w:rsid w:val="001B6FB2"/>
    <w:rsid w:val="001D00D0"/>
    <w:rsid w:val="001E7CC1"/>
    <w:rsid w:val="00220DD4"/>
    <w:rsid w:val="00290C55"/>
    <w:rsid w:val="00295E2A"/>
    <w:rsid w:val="002B2DF7"/>
    <w:rsid w:val="002E10A8"/>
    <w:rsid w:val="002E5997"/>
    <w:rsid w:val="002E7F7E"/>
    <w:rsid w:val="002F31A1"/>
    <w:rsid w:val="00307A17"/>
    <w:rsid w:val="003748FB"/>
    <w:rsid w:val="003A7DF8"/>
    <w:rsid w:val="003C6198"/>
    <w:rsid w:val="003F31B6"/>
    <w:rsid w:val="0046141E"/>
    <w:rsid w:val="004E4705"/>
    <w:rsid w:val="00517D40"/>
    <w:rsid w:val="00526C8A"/>
    <w:rsid w:val="00577D4C"/>
    <w:rsid w:val="005D655C"/>
    <w:rsid w:val="005D7A26"/>
    <w:rsid w:val="00621D96"/>
    <w:rsid w:val="00626395"/>
    <w:rsid w:val="006B56A5"/>
    <w:rsid w:val="0073033D"/>
    <w:rsid w:val="007E3262"/>
    <w:rsid w:val="007E7A32"/>
    <w:rsid w:val="007F5CF6"/>
    <w:rsid w:val="008233F6"/>
    <w:rsid w:val="0083186C"/>
    <w:rsid w:val="008424BB"/>
    <w:rsid w:val="008752F0"/>
    <w:rsid w:val="008834B0"/>
    <w:rsid w:val="00890B1F"/>
    <w:rsid w:val="008A211A"/>
    <w:rsid w:val="008B7CCF"/>
    <w:rsid w:val="008F3040"/>
    <w:rsid w:val="008F3358"/>
    <w:rsid w:val="008F468A"/>
    <w:rsid w:val="00943A11"/>
    <w:rsid w:val="009D2900"/>
    <w:rsid w:val="009D7D45"/>
    <w:rsid w:val="00A37879"/>
    <w:rsid w:val="00A51F9B"/>
    <w:rsid w:val="00A83ABA"/>
    <w:rsid w:val="00A84194"/>
    <w:rsid w:val="00A9674C"/>
    <w:rsid w:val="00AA1996"/>
    <w:rsid w:val="00AC5DF4"/>
    <w:rsid w:val="00AE6BD6"/>
    <w:rsid w:val="00B11848"/>
    <w:rsid w:val="00B27F07"/>
    <w:rsid w:val="00B360F2"/>
    <w:rsid w:val="00B41B42"/>
    <w:rsid w:val="00B906B1"/>
    <w:rsid w:val="00B91E42"/>
    <w:rsid w:val="00BC3498"/>
    <w:rsid w:val="00BD2086"/>
    <w:rsid w:val="00BF5484"/>
    <w:rsid w:val="00C009F5"/>
    <w:rsid w:val="00CA50CD"/>
    <w:rsid w:val="00CD0C8E"/>
    <w:rsid w:val="00CD62B5"/>
    <w:rsid w:val="00D12239"/>
    <w:rsid w:val="00D161AB"/>
    <w:rsid w:val="00D17151"/>
    <w:rsid w:val="00D41914"/>
    <w:rsid w:val="00D56316"/>
    <w:rsid w:val="00D903BD"/>
    <w:rsid w:val="00DA79A0"/>
    <w:rsid w:val="00DF241F"/>
    <w:rsid w:val="00E44622"/>
    <w:rsid w:val="00E60CD7"/>
    <w:rsid w:val="00E6140E"/>
    <w:rsid w:val="00E8681E"/>
    <w:rsid w:val="00EC23F8"/>
    <w:rsid w:val="00ED416C"/>
    <w:rsid w:val="00ED4B2D"/>
    <w:rsid w:val="00EE3204"/>
    <w:rsid w:val="00F00825"/>
    <w:rsid w:val="00F027A2"/>
    <w:rsid w:val="00F34BD1"/>
    <w:rsid w:val="00F5381B"/>
    <w:rsid w:val="00F61E34"/>
    <w:rsid w:val="00F73B2F"/>
    <w:rsid w:val="00F84884"/>
    <w:rsid w:val="00FA1573"/>
    <w:rsid w:val="00FA4D41"/>
    <w:rsid w:val="00FC51BB"/>
    <w:rsid w:val="00FE3C68"/>
    <w:rsid w:val="068B46EC"/>
    <w:rsid w:val="06BFB601"/>
    <w:rsid w:val="07975C08"/>
    <w:rsid w:val="07D98242"/>
    <w:rsid w:val="092FF9AA"/>
    <w:rsid w:val="096C83B8"/>
    <w:rsid w:val="09ED95CA"/>
    <w:rsid w:val="0BA1A489"/>
    <w:rsid w:val="0D802BDE"/>
    <w:rsid w:val="0FA23273"/>
    <w:rsid w:val="0FEB0790"/>
    <w:rsid w:val="10DE7A88"/>
    <w:rsid w:val="10FBC56D"/>
    <w:rsid w:val="1266D8C4"/>
    <w:rsid w:val="12B8DE00"/>
    <w:rsid w:val="1351FE7D"/>
    <w:rsid w:val="13FAA7E2"/>
    <w:rsid w:val="164C53B1"/>
    <w:rsid w:val="1661A88A"/>
    <w:rsid w:val="16D9CB06"/>
    <w:rsid w:val="190AEDBA"/>
    <w:rsid w:val="1981B5CE"/>
    <w:rsid w:val="1AD8C6EC"/>
    <w:rsid w:val="1C1528A8"/>
    <w:rsid w:val="1E00F091"/>
    <w:rsid w:val="1EFE46DD"/>
    <w:rsid w:val="1F486408"/>
    <w:rsid w:val="1FF0B92E"/>
    <w:rsid w:val="205A6EC2"/>
    <w:rsid w:val="217F249B"/>
    <w:rsid w:val="21B1F101"/>
    <w:rsid w:val="25650523"/>
    <w:rsid w:val="25A89083"/>
    <w:rsid w:val="27E5F92A"/>
    <w:rsid w:val="2A18602D"/>
    <w:rsid w:val="2D6AE862"/>
    <w:rsid w:val="2E59F252"/>
    <w:rsid w:val="3277953D"/>
    <w:rsid w:val="3323BE70"/>
    <w:rsid w:val="3722ADC6"/>
    <w:rsid w:val="37691A37"/>
    <w:rsid w:val="382252FC"/>
    <w:rsid w:val="3B338A89"/>
    <w:rsid w:val="3BACD3EC"/>
    <w:rsid w:val="3BBBD6CE"/>
    <w:rsid w:val="3BF628A4"/>
    <w:rsid w:val="3C34BA33"/>
    <w:rsid w:val="3C3F2C17"/>
    <w:rsid w:val="3C6B6792"/>
    <w:rsid w:val="3E5A13FA"/>
    <w:rsid w:val="3EB9A1FB"/>
    <w:rsid w:val="3EE5E37C"/>
    <w:rsid w:val="3F52F97D"/>
    <w:rsid w:val="3F858AF5"/>
    <w:rsid w:val="40297D53"/>
    <w:rsid w:val="403C0D40"/>
    <w:rsid w:val="436C49D7"/>
    <w:rsid w:val="438CFC64"/>
    <w:rsid w:val="43DE33A8"/>
    <w:rsid w:val="43FA64B7"/>
    <w:rsid w:val="474E71FB"/>
    <w:rsid w:val="481E0147"/>
    <w:rsid w:val="4B098A41"/>
    <w:rsid w:val="4BD65994"/>
    <w:rsid w:val="4C6C71F3"/>
    <w:rsid w:val="4D2E2813"/>
    <w:rsid w:val="4DDB8A08"/>
    <w:rsid w:val="4F26EE82"/>
    <w:rsid w:val="50E5D126"/>
    <w:rsid w:val="515B96B5"/>
    <w:rsid w:val="59275BE7"/>
    <w:rsid w:val="59FE65E7"/>
    <w:rsid w:val="5A399B57"/>
    <w:rsid w:val="5DABD4EE"/>
    <w:rsid w:val="5DF69740"/>
    <w:rsid w:val="5EB54471"/>
    <w:rsid w:val="5F3A8B89"/>
    <w:rsid w:val="6359CBE9"/>
    <w:rsid w:val="64B5F898"/>
    <w:rsid w:val="64F5B00C"/>
    <w:rsid w:val="6556AAC7"/>
    <w:rsid w:val="69C5F9DA"/>
    <w:rsid w:val="69EB8B6E"/>
    <w:rsid w:val="6B886108"/>
    <w:rsid w:val="6BC04501"/>
    <w:rsid w:val="6CE8A1CA"/>
    <w:rsid w:val="6D347737"/>
    <w:rsid w:val="6D8C524B"/>
    <w:rsid w:val="718A5EFE"/>
    <w:rsid w:val="738BF0E8"/>
    <w:rsid w:val="74650D9B"/>
    <w:rsid w:val="750496BE"/>
    <w:rsid w:val="757BF1B4"/>
    <w:rsid w:val="765172B7"/>
    <w:rsid w:val="777386A4"/>
    <w:rsid w:val="77C7E0E6"/>
    <w:rsid w:val="790211D1"/>
    <w:rsid w:val="7A77C787"/>
    <w:rsid w:val="7CE88ECC"/>
    <w:rsid w:val="7D7CB8F6"/>
    <w:rsid w:val="7DB2BEE4"/>
    <w:rsid w:val="7DE9FBFF"/>
    <w:rsid w:val="7EFC3E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E10A8"/>
    <w:rPr>
      <w:sz w:val="16"/>
      <w:szCs w:val="16"/>
    </w:rPr>
  </w:style>
  <w:style w:type="paragraph" w:styleId="Textocomentario">
    <w:name w:val="annotation text"/>
    <w:basedOn w:val="Normal"/>
    <w:link w:val="TextocomentarioCar"/>
    <w:uiPriority w:val="99"/>
    <w:unhideWhenUsed/>
    <w:rsid w:val="002E10A8"/>
    <w:pPr>
      <w:spacing w:line="240" w:lineRule="auto"/>
    </w:pPr>
    <w:rPr>
      <w:sz w:val="20"/>
      <w:szCs w:val="20"/>
    </w:rPr>
  </w:style>
  <w:style w:type="character" w:customStyle="1" w:styleId="TextocomentarioCar">
    <w:name w:val="Texto comentario Car"/>
    <w:basedOn w:val="Fuentedeprrafopredeter"/>
    <w:link w:val="Textocomentario"/>
    <w:uiPriority w:val="99"/>
    <w:rsid w:val="002E10A8"/>
    <w:rPr>
      <w:sz w:val="20"/>
      <w:szCs w:val="20"/>
    </w:rPr>
  </w:style>
  <w:style w:type="paragraph" w:styleId="Asuntodelcomentario">
    <w:name w:val="annotation subject"/>
    <w:basedOn w:val="Textocomentario"/>
    <w:next w:val="Textocomentario"/>
    <w:link w:val="AsuntodelcomentarioCar"/>
    <w:uiPriority w:val="99"/>
    <w:semiHidden/>
    <w:unhideWhenUsed/>
    <w:rsid w:val="002E10A8"/>
    <w:rPr>
      <w:b/>
      <w:bCs/>
    </w:rPr>
  </w:style>
  <w:style w:type="character" w:customStyle="1" w:styleId="AsuntodelcomentarioCar">
    <w:name w:val="Asunto del comentario Car"/>
    <w:basedOn w:val="TextocomentarioCar"/>
    <w:link w:val="Asuntodelcomentario"/>
    <w:uiPriority w:val="99"/>
    <w:semiHidden/>
    <w:rsid w:val="002E10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2339</Words>
  <Characters>12235</Characters>
  <Application>Microsoft Office Word</Application>
  <DocSecurity>0</DocSecurity>
  <Lines>218</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35</cp:revision>
  <dcterms:created xsi:type="dcterms:W3CDTF">2024-06-18T08:44:00Z</dcterms:created>
  <dcterms:modified xsi:type="dcterms:W3CDTF">2025-11-04T00:28:00Z</dcterms:modified>
</cp:coreProperties>
</file>