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
      </w:r>
      <w:r w:rsidRPr="00083CCA">
        <w:rPr>
          <w:rFonts w:ascii="Arial Narrow" w:eastAsia="Arial Narrow" w:hAnsi="Arial Narrow" w:cs="Arial Narrow"/>
          <w:b/>
          <w:color w:val="000000"/>
          <w:kern w:val="0"/>
          <w:lang w:eastAsia="es-PE"/>
          <w14:ligatures w14:val="none"/>
        </w:rPr>
        <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31</w:t>
      </w:r>
      <w:r w:rsidRPr="0026598E">
        <w:rPr>
          <w:rFonts w:ascii="Arial Narrow" w:eastAsia="Times New Roman" w:hAnsi="Arial Narrow" w:cs="Times New Roman"/>
          <w:color w:val="000000"/>
          <w:kern w:val="0"/>
          <w:shd w:val="clear" w:color="auto" w:fill="FFFFFF"/>
          <w:lang w:eastAsia="es-PE"/>
          <w14:ligatures w14:val="none"/>
        </w:rPr>
        <w:t xml:space="preserve"> de </w:t>
      </w:r>
      <w:r w:rsidR="00544EBE" w:rsidRPr="001711CE">
        <w:rPr>
          <w:rFonts w:ascii="Arial Narrow" w:eastAsia="Times New Roman" w:hAnsi="Arial Narrow" w:cs="Times New Roman"/>
          <w:color w:val="000000"/>
          <w:kern w:val="0"/>
          <w:shd w:val="clear" w:color="auto" w:fill="FFFFFF"/>
          <w:lang w:eastAsia="es-PE"/>
          <w14:ligatures w14:val="none"/>
        </w:rPr>
        <w:t>diciembre</w:t>
      </w:r>
      <w:r w:rsidR="00A23703" w:rsidRPr="001711CE">
        <w:rPr>
          <w:rFonts w:ascii="Arial Narrow" w:eastAsia="Times New Roman" w:hAnsi="Arial Narrow" w:cs="Times New Roman"/>
          <w:color w:val="000000"/>
          <w:kern w:val="0"/>
          <w:shd w:val="clear" w:color="auto" w:fill="FFFFFF"/>
          <w:lang w:eastAsia="es-PE"/>
          <w14:ligatures w14:val="none"/>
        </w:rPr>
        <w:t xml:space="preserve"> </w:t>
      </w:r>
      <w:r w:rsidRPr="001711C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w14:ligatures w14:val="none"/>
        </w:rPr>
        <w:t/>
      </w:r>
      <w:r w:rsidRPr="001163D4">
        <w:rPr>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
      </w:r>
      <w:r w:rsidRPr="001163D4">
        <w:rPr>
          <w:rFonts w:ascii="Arial Narrow" w:eastAsia="Calibri" w:hAnsi="Arial Narrow" w:cs="Arial"/>
          <w:kern w:val="0"/>
          <w14:ligatures w14:val="none"/>
        </w:rPr>
        <w:t xml:space="preserve"/>
      </w:r>
      <w:r w:rsidR="00EB7A1C" w:rsidRPr="001163D4">
        <w:rPr>
          <w:rFonts w:ascii="Arial Narrow" w:eastAsia="Calibri" w:hAnsi="Arial Narrow" w:cs="Arial"/>
          <w:kern w:val="0"/>
          <w14:ligatures w14:val="none"/>
        </w:rPr>
        <w:t xml:space="preserve"/>
      </w:r>
      <w:r w:rsidRPr="001163D4">
        <w:rPr>
          <w:rFonts w:ascii="Arial Narrow" w:eastAsia="Times New Roman" w:hAnsi="Arial Narrow" w:cs="Arial"/>
          <w:color w:val="000000"/>
          <w:kern w:val="0"/>
          <w:lang w:val="es-ES" w:eastAsia="es-ES"/>
          <w14:ligatures w14:val="none"/>
        </w:rPr>
        <w:t/>
      </w:r>
      <w:r w:rsidRPr="001163D4">
        <w:rPr>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w:r>
      <w:r w:rsidRPr="001163D4">
        <w:rPr>
          <w:rFonts w:ascii="Arial Narrow" w:eastAsia="Times New Roman" w:hAnsi="Arial Narrow" w:cs="Arial"/>
          <w:bCs/>
          <w:color w:val="000000"/>
          <w:kern w:val="0"/>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w14:ligatures w14:val="none"/>
        </w:rPr>
        <w:t/>
      </w:r>
      <w:proofErr w:type="spellEnd"/>
      <w:r w:rsidRPr="001163D4">
        <w:rPr>
          <w:rFonts w:ascii="Arial Narrow" w:eastAsia="Times New Roman" w:hAnsi="Arial Narrow" w:cs="Arial"/>
          <w:color w:val="000000"/>
          <w:kern w:val="0"/>
          <w:lang w:val="es-ES" w:eastAsia="es-ES"/>
          <w14:ligatures w14:val="none"/>
        </w:rPr>
        <w:t xml:space="preserve"/>
      </w:r>
      <w:r w:rsidRPr="00101D7C">
        <w:rPr>
          <w:rFonts w:ascii="Arial Narrow" w:eastAsia="Times New Roman" w:hAnsi="Arial Narrow" w:cs="Arial"/>
          <w:color w:val="000000"/>
          <w:kern w:val="0"/>
          <w:lang w:val="es-ES" w:eastAsia="es-ES"/>
          <w14:ligatures w14:val="none"/>
        </w:rPr>
        <w:t/>
      </w:r>
      <w:r w:rsidR="00CA59A2" w:rsidRPr="00101D7C">
        <w:rPr>
          <w:rFonts w:ascii="Arial Narrow" w:eastAsia="Times New Roman" w:hAnsi="Arial Narrow" w:cs="Arial"/>
          <w:color w:val="000000"/>
          <w:kern w:val="0"/>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w14:ligatures w14:val="none"/>
        </w:rPr>
        <w:t/>
      </w:r>
      <w:proofErr w:type="spellStart"/>
      <w:r w:rsidR="005F502D" w:rsidRPr="005F502D">
        <w:rPr>
          <w:rFonts w:ascii="Arial Narrow" w:eastAsia="Times New Roman" w:hAnsi="Arial Narrow" w:cs="Arial"/>
          <w:color w:val="000000"/>
          <w:kern w:val="0"/>
          <w:lang w:val="es-ES" w:eastAsia="es-ES"/>
          <w14:ligatures w14:val="none"/>
        </w:rPr>
        <w:t/>
      </w:r>
      <w:proofErr w:type="spellEnd"/>
      <w:r w:rsidR="005F502D" w:rsidRPr="005F502D">
        <w:rPr>
          <w:rFonts w:ascii="Arial Narrow" w:eastAsia="Times New Roman" w:hAnsi="Arial Narrow" w:cs="Arial"/>
          <w:color w:val="000000"/>
          <w:kern w:val="0"/>
          <w:lang w:val="es-ES" w:eastAsia="es-ES"/>
          <w14:ligatures w14:val="none"/>
        </w:rPr>
        <w:t xml:space="preserve"/>
      </w:r>
      <w:r w:rsidR="005F502D"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w14:ligatures w14:val="none"/>
        </w:rPr>
        <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w:r>
      <w:r w:rsidR="00121544" w:rsidRPr="00101D7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C2FF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FDD" w:rsidRPr="00C87FDD">
        <w:rPr>
          <w:rFonts w:ascii="Arial Narrow" w:eastAsia="Times New Roman" w:hAnsi="Arial Narrow" w:cs="Arial"/>
          <w:color w:val="000000"/>
          <w:kern w:val="0"/>
          <w:lang w:val="es-ES" w:eastAsia="es-ES"/>
          <w14:ligatures w14:val="none"/>
        </w:rPr>
        <w:t>14 de julio de 2025</w:t>
      </w:r>
      <w:r w:rsidRPr="00C87FDD">
        <w:rPr>
          <w:rFonts w:ascii="Arial Narrow" w:eastAsia="Calibri" w:hAnsi="Arial Narrow" w:cs="Arial"/>
          <w:kern w:val="0"/>
          <w14:ligatures w14:val="none"/>
        </w:rPr>
        <w:t xml:space="preserve">, </w:t>
      </w:r>
      <w:r w:rsidRPr="00C87FDD">
        <w:rPr>
          <w:rFonts w:ascii="Arial Narrow" w:eastAsia="Arial Narrow" w:hAnsi="Arial Narrow" w:cs="Arial Narrow"/>
          <w:color w:val="000000"/>
          <w:kern w:val="0"/>
          <w:lang w:eastAsia="es-PE"/>
          <w14:ligatures w14:val="none"/>
        </w:rPr>
        <w:t>a</w:t>
      </w:r>
      <w:r w:rsidR="00C87FDD" w:rsidRPr="00C87FDD">
        <w:rPr>
          <w:rFonts w:ascii="Arial Narrow" w:eastAsia="Arial Narrow" w:hAnsi="Arial Narrow" w:cs="Arial Narrow"/>
          <w:color w:val="000000"/>
          <w:kern w:val="0"/>
          <w:lang w:eastAsia="es-PE"/>
          <w14:ligatures w14:val="none"/>
        </w:rPr>
        <w:t>l</w:t>
      </w:r>
      <w:r w:rsidRPr="00C87FDD">
        <w:rPr>
          <w:rFonts w:ascii="Arial Narrow" w:eastAsia="Times New Roman" w:hAnsi="Arial Narrow" w:cs="Times New Roman"/>
          <w:color w:val="000000"/>
          <w:kern w:val="0"/>
          <w:shd w:val="clear" w:color="auto" w:fill="FFFFFF"/>
          <w:lang w:eastAsia="es-PE"/>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Banco de Crédito del Perú S.A.</w:t>
      </w:r>
      <w:r w:rsidRPr="00C87FDD">
        <w:rPr>
          <w:rFonts w:ascii="Arial Narrow" w:eastAsia="Arial Narrow" w:hAnsi="Arial Narrow" w:cs="Arial Narrow"/>
          <w:color w:val="000000"/>
          <w:kern w:val="0"/>
          <w:lang w:eastAsia="es-PE"/>
          <w14:ligatures w14:val="none"/>
        </w:rPr>
        <w:t>, para que, de conformidad con lo dispuesto por el artículo 26</w:t>
      </w:r>
      <w:r w:rsidRPr="00C87FDD">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6"/>
      <w:r w:rsidRPr="0026598E">
        <w:rPr>
          <w:rFonts w:ascii="Arial Narrow" w:eastAsia="Times New Roman" w:hAnsi="Arial Narrow" w:cs="Arial"/>
          <w:color w:val="000000"/>
          <w:kern w:val="0"/>
          <w:lang w:eastAsia="es-ES"/>
          <w14:ligatures w14:val="none"/>
        </w:rPr>
        <w:t/>
      </w:r>
      <w:r w:rsidR="00C87FDD">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eastAsia="es-ES"/>
          <w14:ligatures w14:val="none"/>
        </w:rPr>
        <w:t xml:space="preserve"/>
      </w:r>
      <w:r w:rsidR="00C87FDD" w:rsidRPr="00C87FD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C87FDD" w:rsidRPr="00C87FDD">
        <w:rPr>
          <w:rFonts w:ascii="Arial Narrow" w:eastAsia="Times New Roman" w:hAnsi="Arial Narrow" w:cs="Arial"/>
          <w:color w:val="000000"/>
          <w:kern w:val="0"/>
          <w:lang w:val="es-ES" w:eastAsia="es-ES"/>
          <w14:ligatures w14:val="none"/>
        </w:rPr>
        <w:t/>
      </w:r>
      <w:proofErr w:type="spellStart"/>
      <w:r w:rsidR="00C87FDD" w:rsidRPr="00C87FDD">
        <w:rPr>
          <w:rFonts w:ascii="Arial Narrow" w:eastAsia="Times New Roman" w:hAnsi="Arial Narrow" w:cs="Arial"/>
          <w:color w:val="000000"/>
          <w:kern w:val="0"/>
          <w:lang w:val="es-ES" w:eastAsia="es-ES"/>
          <w14:ligatures w14:val="none"/>
        </w:rPr>
        <w:t/>
      </w:r>
      <w:proofErr w:type="spellEnd"/>
      <w:r w:rsidR="00C87FDD" w:rsidRPr="00C87FD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bookmarkStart w:id="9" w:name="_Hlk198890962"/>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r w:rsidRPr="00C87FDD">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JUDITH ALCALDE BRICEÑO </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Secretaria Técnica (e)</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