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0E6FE2" w:rsidRDefault="00CA59A2" w:rsidP="000E6FE2">
      <w:pPr>
        <w:tabs>
          <w:tab w:val="left" w:pos="1701"/>
        </w:tabs>
        <w:spacing w:after="0" w:line="240" w:lineRule="auto"/>
        <w:jc w:val="both"/>
        <w:rPr>
          <w:rFonts w:ascii="Arial Narrow" w:eastAsia="Times New Roman" w:hAnsi="Arial Narrow" w:cs="Times New Roman"/>
          <w:color w:val="000000"/>
          <w:kern w:val="0"/>
          <w:lang w:eastAsia="es-PE"/>
          <w14:ligatures w14:val="none"/>
        </w:rPr>
      </w:pPr>
      <w:r/>
      <w:r>
        <w:rPr>
          <w:rFonts w:ascii="Arial Narrow" w:hAnsi="Arial Narrow" w:eastAsia="Arial Narrow"/>
          <w:b/>
          <w:color w:val="000000"/>
          <w:sz w:val="22"/>
        </w:rPr>
        <w:t>EXPEDIENTE</w:t>
        <w:tab/>
        <w:t>:</w:t>
        <w:tab/>
        <w:t>1907-2026/CC1</w:t>
      </w:r>
    </w:p>
    <w:p w14:paraId="7E5DC22B"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
        <w:rPr>
          <w:rFonts w:ascii="Arial Narrow" w:hAnsi="Arial Narrow" w:eastAsia="Arial Narrow"/>
          <w:b/>
          <w:color w:val="000000"/>
          <w:sz w:val="22"/>
        </w:rPr>
        <w:t>DENUNCIANTE</w:t>
        <w:tab/>
        <w:t>:</w:t>
        <w:tab/>
        <w:t>SUCESIÓN INTESTADA DE HOZVER JEINER TAPIA VASQUEZ</w:t>
      </w:r>
    </w:p>
    <w:p w14:paraId="6DEEEDFE"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
        <w:rPr>
          <w:rFonts w:ascii="Arial Narrow" w:hAnsi="Arial Narrow" w:eastAsia="Arial Narrow"/>
          <w:b/>
          <w:color w:val="000000"/>
          <w:sz w:val="22"/>
        </w:rPr>
        <w:t>DENUNCIADO</w:t>
        <w:tab/>
        <w:t>:</w:t>
        <w:tab/>
        <w:t>RÍMAC Y REASEGUROS S.A.</w:t>
      </w:r>
    </w:p>
    <w:p w14:paraId="022D2B94"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MATERIAS</w:t>
      </w:r>
      <w:r w:rsidRPr="000E6FE2">
        <w:rPr>
          <w:rFonts w:ascii="Arial Narrow" w:eastAsia="Arial Narrow" w:hAnsi="Arial Narrow" w:cs="Arial Narrow"/>
          <w:b/>
          <w:color w:val="000000"/>
          <w:kern w:val="0"/>
          <w:sz w:val="22"/>
          <w:lang w:eastAsia="es-PE"/>
          <w14:ligatures w14:val="none"/>
        </w:rPr>
        <w:tab/>
        <w:t xml:space="preserve">:       </w:t>
      </w:r>
      <w:r w:rsidRPr="000E6FE2">
        <w:rPr>
          <w:rFonts w:ascii="Arial Narrow" w:eastAsia="Arial Narrow" w:hAnsi="Arial Narrow" w:cs="Arial Narrow"/>
          <w:b/>
          <w:color w:val="000000"/>
          <w:kern w:val="0"/>
          <w:sz w:val="22"/>
          <w:lang w:eastAsia="es-PE"/>
          <w14:ligatures w14:val="none"/>
        </w:rPr>
        <w:tab/>
        <w:t>ADMISIÓN A TRÁMITE</w:t>
      </w:r>
    </w:p>
    <w:p w14:paraId="19ED7B73" w14:textId="77777777" w:rsidR="00CA59A2" w:rsidRPr="000E6FE2" w:rsidRDefault="00CA59A2" w:rsidP="000E6FE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 xml:space="preserve">REQUERIMIENTO DE INFORMACIÓN </w:t>
      </w:r>
    </w:p>
    <w:p w14:paraId="46A5A479" w14:textId="77777777" w:rsidR="00CA59A2" w:rsidRPr="000E6FE2" w:rsidRDefault="00CA59A2" w:rsidP="000E6FE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 xml:space="preserve">RESOLUCIÓN </w:t>
      </w:r>
      <w:r w:rsidRPr="000E6FE2">
        <w:rPr>
          <w:rFonts w:ascii="Arial Narrow" w:eastAsia="Arial Narrow" w:hAnsi="Arial Narrow" w:cs="Arial Narrow"/>
          <w:b/>
          <w:color w:val="000000"/>
          <w:kern w:val="0"/>
          <w:sz w:val="22"/>
          <w:lang w:eastAsia="es-PE"/>
          <w14:ligatures w14:val="none"/>
        </w:rPr>
        <w:tab/>
        <w:t>:</w:t>
      </w:r>
      <w:r w:rsidRPr="000E6FE2">
        <w:rPr>
          <w:rFonts w:ascii="Arial Narrow" w:eastAsia="Arial Narrow" w:hAnsi="Arial Narrow" w:cs="Arial Narrow"/>
          <w:b/>
          <w:color w:val="000000"/>
          <w:kern w:val="0"/>
          <w:sz w:val="22"/>
          <w:lang w:eastAsia="es-PE"/>
          <w14:ligatures w14:val="none"/>
        </w:rPr>
        <w:tab/>
      </w:r>
      <w:r w:rsidRPr="000E6FE2">
        <w:rPr>
          <w:rFonts w:ascii="Arial Narrow" w:eastAsia="Arial Narrow" w:hAnsi="Arial Narrow" w:cs="Arial Narrow"/>
          <w:b/>
          <w:color w:val="000000"/>
          <w:kern w:val="0"/>
          <w:sz w:val="22"/>
          <w:lang w:eastAsia="es-PE"/>
          <w14:ligatures w14:val="none"/>
        </w:rPr>
        <w:t>2</w:t>
      </w:r>
    </w:p>
    <w:p w14:paraId="5BA3A18D" w14:textId="7777777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
        <w:rPr>
          <w:rFonts w:ascii="Arial Narrow" w:hAnsi="Arial Narrow" w:eastAsia="Arial Narrow"/>
          <w:b w:val="0"/>
          <w:color w:val="000000"/>
          <w:sz w:val="22"/>
        </w:rPr>
        <w:t>Lima, 03 de agosto de 2026</w:t>
      </w:r>
    </w:p>
    <w:p w14:paraId="66CE1821" w14:textId="7777777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E6FE2" w:rsidRDefault="00CA59A2" w:rsidP="000E6FE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 xml:space="preserve">HECHOS </w:t>
      </w:r>
    </w:p>
    <w:p w14:paraId="621F2AB2" w14:textId="77777777" w:rsidR="00CA59A2" w:rsidRPr="000E6FE2"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0E6FE2" w:rsidRDefault="00CA59A2" w:rsidP="000E6FE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
        <w:rPr>
          <w:rFonts w:ascii="Arial Narrow" w:hAnsi="Arial Narrow" w:eastAsia="Arial Narrow"/>
          <w:b w:val="0"/>
          <w:color w:val="000000"/>
          <w:sz w:val="22"/>
        </w:rPr>
        <w:t>Mediante el escrito del 22 de mayo de 2026, complementado mediante escrito del 18 de junio de 2026, la Sucesión Intestada denunció a Rímac por presuntas infracciones a la Ley 29571, Código de Protección y Defensa del Consumidor (en adelante, Código)1 señalando lo siguiente:</w:t>
      </w:r>
    </w:p>
    <w:p w14:paraId="3AD3B7C6" w14:textId="77777777" w:rsidR="00CA59A2" w:rsidRPr="000E6FE2" w:rsidRDefault="00CA59A2" w:rsidP="000E6FE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
        <w:rPr>
          <w:rFonts w:ascii="Arial Narrow" w:hAnsi="Arial Narrow" w:eastAsia="Arial Narrow"/>
          <w:b w:val="0"/>
          <w:color w:val="000000"/>
          <w:sz w:val="22"/>
        </w:rPr>
        <w:t>El 7 de marzo de 2024 ocurrió el siniestro 693378, que involucró al vehículo con Placa de Rodaje EAE-239 asegurado con la Póliza 2001-756473 del Seguro Vehicular emitido por Rímac, en el cual falleció Hozver Jeiner Tapia Vásquez al caer desde la tolva del vehículo mientras se encontraba en desplazamiento.</w:t>
      </w:r>
    </w:p>
    <w:p/>
    <w:p w14:paraId="673E03EA" w14:textId="482CAA5C"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
        <w:rPr>
          <w:rFonts w:ascii="Arial Narrow" w:hAnsi="Arial Narrow" w:eastAsia="Arial Narrow"/>
          <w:b w:val="0"/>
          <w:color w:val="000000"/>
          <w:sz w:val="22"/>
        </w:rPr>
        <w:t>El 6 de marzo de 2026, se reportó el siniestro a Rímac; sin embargo, mediante carta de rechazo N° SVCRLI-4210806 de fecha 20 de abril de 2026, la compañía aseguradora negó la cobertura, argumentando que el evento no calificaba como accidente de tránsito, que la víctima no era ocupante al encontrarse en la tolva, que se requería sentencia judicial firme para activar la cobertura de responsabilidad civil y que el reporte fue extemporáneo.</w:t>
      </w:r>
    </w:p>
    <w:p/>
    <w:p w14:paraId="673E03EA" w14:textId="482CAA5C"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
        <w:rPr>
          <w:rFonts w:ascii="Arial Narrow" w:hAnsi="Arial Narrow" w:eastAsia="Arial Narrow"/>
          <w:b w:val="0"/>
          <w:color w:val="000000"/>
          <w:sz w:val="22"/>
        </w:rPr>
        <w:t>No obstante, el informe técnico policial vinculado al siniestro calificó el hecho como accidente de tránsito, la víctima fue reconocida como ocupante del vehículo y el siniestro se produjo en el marco de actividades laborales vinculadas al asegurado, configurándose responsabilidad civil atribuible al conductor del vehículo. Asimismo, no correspondía exigir sentencia judicial previa y el reporte tardío no afectó la verificación del siniestro, al existir actuaciones policiales y fiscales inmediatas que preservaron los medios probatorios.</w:t>
      </w:r>
    </w:p>
    <w:p/>
    <w:p w14:paraId="673E03EA" w14:textId="482CAA5C"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
        <w:rPr>
          <w:rFonts w:ascii="Arial Narrow" w:hAnsi="Arial Narrow" w:eastAsia="Arial Narrow"/>
          <w:b w:val="0"/>
          <w:color w:val="000000"/>
          <w:sz w:val="22"/>
        </w:rPr>
        <w:t>La negativa de otorgamiento de cobertura de Rímac implicó la aplicación de cláusulas restrictivas que desnaturalizaron la cobertura contratada y generaron un rechazo arbitrario del siniestro, pese a existir evidencia técnica y legal suficiente sobre la ocurrencia del evento y la responsabilidad civil derivada del mismo.</w:t>
      </w:r>
    </w:p>
    <w:p w14:paraId="512911CE" w14:textId="77777777" w:rsidR="00CA59A2" w:rsidRPr="000E6FE2" w:rsidRDefault="00CA59A2" w:rsidP="000E6FE2">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65C58807" w14:textId="4AAF6D09" w:rsidR="00CA59A2" w:rsidRPr="000E6FE2" w:rsidRDefault="00CA59A2" w:rsidP="000E6F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
        <w:rPr>
          <w:rFonts w:ascii="Arial Narrow" w:hAnsi="Arial Narrow" w:eastAsia="Arial Narrow"/>
          <w:b w:val="0"/>
          <w:color w:val="000000"/>
          <w:sz w:val="22"/>
        </w:rPr>
        <w:t>La Sucesión Intestada solicitó, en calidad de medida correctiva, que Rímac cumpla con otorgar la cobertura del Seguro Vehicular por el fallecimiento del señor Hozver Jeiner Tapia Vasquez. Asimismo, requirió el reembolso de costos y costas del presente procedimiento.</w:t>
      </w:r>
    </w:p>
    <w:p w14:paraId="66005174" w14:textId="77777777" w:rsidR="00CA59A2" w:rsidRPr="000E6FE2"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DE LA ADMISIÓN A TRÁMITE DE LA DENUNCIA</w:t>
      </w:r>
    </w:p>
    <w:p w14:paraId="34556756" w14:textId="77777777" w:rsidR="00CA59A2" w:rsidRPr="000E6FE2"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0E6FE2" w:rsidRDefault="00CA59A2"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
        <w:rPr>
          <w:rFonts w:ascii="Arial Narrow" w:hAnsi="Arial Narrow" w:eastAsia="Arial Narrow"/>
          <w:b w:val="0"/>
          <w:color w:val="000000"/>
          <w:sz w:val="22"/>
        </w:rPr>
        <w:t>Presunta infracción al deber de idoneidad, en la medida que en la medida que la denunciante alega que la compañía aseguradora se habría negado injustificadamente a otorgar la cobertura por responsabilidad civil frente a ocupantes de la Póliza 2001-756473 del Seguro Vehicular para el vehículo con Placa de Rodaje EAE-239, presuntamente vulnerando sus expectativas como consumidora; corresponde admitir a trámite la denuncia por presunta infracción a los artículos 18° y 19° del Código.</w:t>
      </w:r>
    </w:p>
    <w:p w14:paraId="5F4266A4" w14:textId="1BFD44A9" w:rsidR="00121544" w:rsidRPr="000E6FE2" w:rsidRDefault="00CA59A2"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
        <w:rPr>
          <w:rFonts w:ascii="Arial Narrow" w:hAnsi="Arial Narrow" w:eastAsia="Arial Narrow"/>
          <w:b w:val="0"/>
          <w:color w:val="000000"/>
          <w:sz w:val="22"/>
        </w:rPr>
        <w:t>Presunta infracción al deber de idoneidad, en la medida que en la medida que la denunciante alega que la compañía aseguradora habría incluido una cláusula abusiva en la Póliza 2001-756473 del Seguro Vehicular que exige que para otorgar una indemnización se requiere de una sentencia firme; corresponde admitir a trámite la denuncia por presunta infracción al literal a) del artículo 50° y al artículo 49° del Código.</w:t>
      </w:r>
    </w:p>
    <w:p w14:paraId="116891C0" w14:textId="77777777" w:rsidR="00121544" w:rsidRPr="000E6FE2" w:rsidRDefault="00121544" w:rsidP="000E6FE2">
      <w:pPr>
        <w:pStyle w:val="Prrafodelista"/>
        <w:spacing w:after="0" w:line="240" w:lineRule="auto"/>
        <w:ind w:left="567"/>
        <w:jc w:val="both"/>
        <w:rPr>
          <w:rFonts w:ascii="Arial Narrow" w:eastAsia="Arial Narrow" w:hAnsi="Arial Narrow" w:cs="Arial Narrow"/>
          <w:kern w:val="0"/>
          <w:highlight w:val="green"/>
          <w14:ligatures w14:val="none"/>
        </w:rPr>
      </w:pPr>
    </w:p>
    <w:bookmarkEnd w:id="1"/>
    <w:bookmarkEnd w:id="13"/>
    <w:bookmarkEnd w:id="14"/>
    <w:bookmarkEnd w:id="6"/>
    <w:bookmarkEnd w:id="7"/>
    <w:bookmarkEnd w:id="15"/>
    <w:bookmarkEnd w:id="22"/>
    <w:bookmarkEnd w:id="2"/>
    <w:p w14:paraId="463134E5" w14:textId="77777777" w:rsidR="00CA59A2" w:rsidRPr="000E6FE2" w:rsidRDefault="00CA59A2" w:rsidP="000E6FE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E6FE2">
        <w:rPr>
          <w:rFonts w:ascii="Arial Narrow" w:eastAsia="Arial Narrow" w:hAnsi="Arial Narrow" w:cs="Arial"/>
          <w:color w:val="000000"/>
          <w:kern w:val="0"/>
          <w:sz w:val="22"/>
          <w:lang w:eastAsia="es-PE"/>
          <w14:ligatures w14:val="none"/>
        </w:rPr>
        <w:t>En tanto la denuncia reúne los requisitos establecidos por la norma citada, corresponde admitirla a trámite</w:t>
      </w:r>
      <w:r w:rsidRPr="000E6FE2">
        <w:rPr>
          <w:rFonts w:ascii="Arial Narrow" w:eastAsia="Arial Narrow" w:hAnsi="Arial Narrow" w:cs="Arial Narrow"/>
          <w:color w:val="000000"/>
          <w:kern w:val="0"/>
          <w:sz w:val="22"/>
          <w:vertAlign w:val="superscript"/>
          <w14:ligatures w14:val="none"/>
        </w:rPr>
        <w:footnoteReference w:id="9"/>
      </w:r>
      <w:r w:rsidRPr="000E6FE2">
        <w:rPr>
          <w:rFonts w:ascii="Arial Narrow" w:eastAsia="Arial Narrow" w:hAnsi="Arial Narrow" w:cs="Arial"/>
          <w:color w:val="000000"/>
          <w:kern w:val="0"/>
          <w:sz w:val="22"/>
          <w:lang w:eastAsia="es-PE"/>
          <w14:ligatures w14:val="none"/>
        </w:rPr>
        <w:t>.</w:t>
      </w:r>
      <w:bookmarkStart w:id="23" w:name="_Hlk214963039"/>
    </w:p>
    <w:p w14:paraId="68C71625" w14:textId="77777777" w:rsidR="00CA59A2" w:rsidRPr="000E6FE2" w:rsidRDefault="00CA59A2" w:rsidP="000E6FE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REQUERIMIENTO DE INFORMACIÓN</w:t>
      </w:r>
    </w:p>
    <w:p w14:paraId="5B518DC4" w14:textId="77777777" w:rsidR="00CA59A2" w:rsidRPr="000E6FE2" w:rsidRDefault="00CA59A2" w:rsidP="000E6FE2">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0E6FE2" w:rsidRDefault="00CA59A2" w:rsidP="000E6FE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
        <w:rPr>
          <w:rFonts w:ascii="Arial Narrow" w:hAnsi="Arial Narrow" w:eastAsia="Arial Narrow"/>
          <w:b w:val="0"/>
          <w:color w:val="000000"/>
          <w:sz w:val="22"/>
          <w:u w:val="single"/>
        </w:rPr>
        <w:t>A RÍMAC Y REASEGUROS S.A.:</w:t>
      </w:r>
      <w:r>
        <w:rPr>
          <w:rFonts w:ascii="Arial Narrow" w:hAnsi="Arial Narrow" w:eastAsia="Arial Narrow"/>
          <w:b w:val="0"/>
          <w:color w:val="000000"/>
          <w:sz w:val="22"/>
        </w:rPr>
        <w:t xml:space="preserve"> para que, en un plazo no mayor de cinco (5) días hábiles contado a partir del día siguiente de la notificación de la presente resolución, cumpla con lo siguiente: (i) presentar una copia completa, legible y debidamente suscrita de la Póliza 2001-756473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bookmarkEnd w:id="24"/>
    <w:p w14:paraId="5C93B848" w14:textId="77777777" w:rsidR="00CA59A2" w:rsidRPr="000E6FE2" w:rsidRDefault="00CA59A2" w:rsidP="000E6FE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sz w:val="22"/>
          <w:lang w:eastAsia="es-PE"/>
          <w14:ligatures w14:val="none"/>
        </w:rPr>
        <w:t xml:space="preserve">RESOLUCIÓN DE LA SECRETARÍA TÉCNICA  </w:t>
      </w:r>
    </w:p>
    <w:p w14:paraId="7F554EB2" w14:textId="77777777" w:rsidR="00CA59A2" w:rsidRPr="000E6FE2"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0E6FE2" w:rsidRDefault="00CA59A2" w:rsidP="000E6FE2">
      <w:pPr>
        <w:spacing w:after="0" w:line="240" w:lineRule="auto"/>
        <w:jc w:val="both"/>
        <w:rPr>
          <w:rFonts w:ascii="Arial Narrow" w:eastAsia="Calibri" w:hAnsi="Arial Narrow" w:cs="Arial Narrow"/>
          <w:color w:val="000000"/>
          <w:kern w:val="0"/>
          <w:lang w:eastAsia="es-PE"/>
          <w14:ligatures w14:val="none"/>
        </w:rPr>
      </w:pPr>
      <w:r/>
      <w:r>
        <w:rPr>
          <w:rFonts w:ascii="Arial Narrow" w:hAnsi="Arial Narrow" w:eastAsia="Arial Narrow"/>
          <w:b/>
          <w:color w:val="000000"/>
          <w:sz w:val="22"/>
        </w:rPr>
        <w:t xml:space="preserve">PRIMERO: </w:t>
      </w:r>
      <w:r>
        <w:rPr>
          <w:rFonts w:ascii="Arial Narrow" w:hAnsi="Arial Narrow" w:eastAsia="Arial Narrow"/>
          <w:b w:val="0"/>
          <w:color w:val="000000"/>
          <w:sz w:val="22"/>
        </w:rPr>
        <w:t>informar que la solicitud de audiencia de conciliación, presentada por la Sucesión Intestada de Hozver Jeiner Tapia Vasquez en su escrito del 18 de junio de 2026, será evaluada oportunamente por la Secretaría Técnica de la Comisión de Protección al Consumidor N°1.</w:t>
      </w:r>
    </w:p>
    <w:p w14:paraId="5E66126E" w14:textId="77777777" w:rsidR="00121544" w:rsidRPr="000E6FE2" w:rsidRDefault="00121544" w:rsidP="000E6FE2">
      <w:pPr>
        <w:spacing w:after="0" w:line="240" w:lineRule="auto"/>
        <w:jc w:val="both"/>
        <w:rPr>
          <w:rFonts w:ascii="Arial Narrow" w:eastAsia="Calibri" w:hAnsi="Arial Narrow" w:cs="Arial Narrow"/>
          <w:color w:val="000000"/>
          <w:kern w:val="0"/>
          <w:lang w:eastAsia="es-PE"/>
          <w14:ligatures w14:val="none"/>
        </w:rPr>
      </w:pPr>
    </w:p>
    <w:bookmarkEnd w:id="26"/>
    <w:bookmarkEnd w:id="27"/>
    <w:p w14:paraId="0A292C9F" w14:textId="77777777" w:rsidR="00CA59A2" w:rsidRPr="000E6FE2" w:rsidRDefault="00CA59A2" w:rsidP="000E6FE2">
      <w:pPr>
        <w:spacing w:after="0" w:line="240" w:lineRule="auto"/>
        <w:contextualSpacing/>
        <w:jc w:val="both"/>
        <w:rPr>
          <w:rFonts w:ascii="Arial Narrow" w:eastAsia="Calibri" w:hAnsi="Arial Narrow" w:cs="Arial"/>
          <w:kern w:val="0"/>
          <w14:ligatures w14:val="none"/>
        </w:rPr>
      </w:pPr>
      <w:r/>
      <w:r>
        <w:rPr>
          <w:rFonts w:ascii="Arial Narrow" w:hAnsi="Arial Narrow" w:eastAsia="Arial Narrow"/>
          <w:b/>
          <w:color w:val="000000"/>
          <w:sz w:val="22"/>
        </w:rPr>
        <w:t xml:space="preserve">SEGUNDO: </w:t>
      </w:r>
      <w:r>
        <w:rPr>
          <w:rFonts w:ascii="Arial Narrow" w:hAnsi="Arial Narrow" w:eastAsia="Arial Narrow"/>
          <w:b w:val="0"/>
          <w:color w:val="000000"/>
          <w:sz w:val="22"/>
        </w:rPr>
        <w:t>admitir a trámite la denuncia del 22 de mayo de 2026, complementado mediante escrito del 18 de junio de 2026, interpuesta por la Sucesión Intestada de Hozver Jeiner Tapia Vasquez contra Rímac y Reaseguros S.A., por lo siguiente:</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Presunta infracción a los artículos 18 y 19 de la Ley 29571, Código de Protección y Defensa del Consumidor, en tanto la compañía aseguradora habría negado injustificadamente a la denunciante la cobertura por de responsabilidad civil frente a ocupantes de la Póliza 2001-756473 del Seguro Vehicular para el vehículo con Placa de Rodaje EAE-239.</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Presunta infracción al literal a) del artículo 50° y al artículo 49° de la Ley 29571, Código de Protección y Defensa del Consumidor, en tanto la compañía aseguradora habría incluido una cláusula abusiva en la Póliza 2001-756473 del Seguro Vehicular que exige que para otorgar una indemnización se requiere de una sentencia firme.</w:t>
      </w:r>
    </w:p>
    <w:p w14:paraId="68A17E97" w14:textId="77777777" w:rsidR="00CA59A2" w:rsidRPr="000E6FE2" w:rsidRDefault="00CA59A2" w:rsidP="000E6FE2">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
        <w:rPr>
          <w:rFonts w:ascii="Arial Narrow" w:hAnsi="Arial Narrow" w:eastAsia="Arial Narrow"/>
          <w:b/>
          <w:color w:val="000000"/>
          <w:sz w:val="22"/>
        </w:rPr>
        <w:t xml:space="preserve">TERCERO: </w:t>
      </w:r>
      <w:r>
        <w:rPr>
          <w:rFonts w:ascii="Arial Narrow" w:hAnsi="Arial Narrow" w:eastAsia="Arial Narrow"/>
          <w:b w:val="0"/>
          <w:color w:val="000000"/>
          <w:sz w:val="22"/>
        </w:rPr>
        <w:t>tener por ofrecidos los medios probatorios presentados en el escrito de denuncia del 22 de mayo de 2026, complementado mediante escrito del 18 de junio de 2026.</w:t>
      </w:r>
    </w:p>
    <w:p w14:paraId="20FDFB8D" w14:textId="77777777" w:rsidR="00CA59A2" w:rsidRPr="000E6FE2"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sz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sz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sz w:val="22"/>
          <w:lang w:eastAsia="es-PE"/>
          <w14:ligatures w14:val="none"/>
        </w:rPr>
        <w:t>consignar el Número de Registro Único de Contribuyentes (RUC); y,</w:t>
      </w:r>
    </w:p>
    <w:p w14:paraId="19E4DFA1" w14:textId="2D033D4A" w:rsidR="00CA59A2" w:rsidRPr="000E6FE2"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0E6FE2">
        <w:rPr>
          <w:rFonts w:ascii="Arial Narrow" w:eastAsia="Arial Narrow" w:hAnsi="Arial Narrow" w:cs="Arial Narrow"/>
          <w:color w:val="000000"/>
          <w:kern w:val="0"/>
          <w:sz w:val="22"/>
          <w:lang w:eastAsia="es-PE"/>
          <w14:ligatures w14:val="none"/>
        </w:rPr>
        <w:t xml:space="preserve">fijar domicilio procesal para el procedimiento, de conformidad con el numeral 1 del artículo 442 del Código Procesal Civil. </w:t>
      </w:r>
      <w:r w:rsidRPr="000E6FE2">
        <w:rPr>
          <w:rFonts w:ascii="Arial Narrow" w:eastAsia="Arial Narrow" w:hAnsi="Arial Narrow" w:cs="Arial"/>
          <w:color w:val="000000"/>
          <w:kern w:val="0"/>
          <w14:ligatures w14:val="none"/>
          <w:sz w:val="22"/>
        </w:rPr>
        <w:t>Para ello podrá señalar domicilio físico o una dirección electrónica a la que pueda remitirse las notificaciones</w:t>
      </w:r>
      <w:r w:rsidRPr="000E6FE2">
        <w:rPr>
          <w:rFonts w:ascii="Arial Narrow" w:eastAsia="Arial Narrow" w:hAnsi="Arial Narrow" w:cs="Arial"/>
          <w:color w:val="000000"/>
          <w:kern w:val="0"/>
          <w:sz w:val="22"/>
          <w:lang w:val="es"/>
          <w14:ligatures w14:val="none"/>
        </w:rPr>
        <w:t>;</w:t>
      </w:r>
    </w:p>
    <w:p w14:paraId="7C63E340" w14:textId="70531021" w:rsidR="00CA59A2" w:rsidRPr="000E6FE2"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0E6FE2">
        <w:rPr>
          <w:rFonts w:ascii="Arial Narrow" w:eastAsia="Arial Narrow" w:hAnsi="Arial Narrow" w:cs="Arial"/>
          <w:color w:val="000000"/>
          <w:kern w:val="0"/>
          <w14:ligatures w14:val="none"/>
          <w:sz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E6FE2">
        <w:rPr>
          <w:rFonts w:ascii="Arial Narrow" w:eastAsia="Arial Narrow" w:hAnsi="Arial Narrow" w:cs="Arial"/>
          <w:color w:val="000000"/>
          <w:kern w:val="0"/>
          <w:sz w:val="22"/>
          <w:vertAlign w:val="superscript"/>
          <w14:ligatures w14:val="none"/>
        </w:rPr>
        <w:footnoteReference w:id="10"/>
      </w:r>
      <w:r w:rsidRPr="000E6FE2">
        <w:rPr>
          <w:rFonts w:ascii="Arial Narrow" w:eastAsia="Arial Narrow" w:hAnsi="Arial Narrow" w:cs="Arial"/>
          <w:color w:val="000000"/>
          <w:kern w:val="0"/>
          <w14:ligatures w14:val="none"/>
          <w:sz w:val="22"/>
        </w:rPr>
        <w:t xml:space="preserve">. Ello, a fin de que la Comisión pueda meritar dicha documentación, conforme lo establece el artículo 110 del </w:t>
      </w:r>
      <w:r w:rsidRPr="000E6FE2">
        <w:rPr>
          <w:rFonts w:ascii="Arial Narrow" w:eastAsia="Arial Narrow" w:hAnsi="Arial Narrow" w:cs="Arial"/>
          <w:color w:val="000000"/>
          <w:spacing w:val="-2"/>
          <w:kern w:val="0"/>
          <w14:ligatures w14:val="none"/>
          <w:sz w:val="22"/>
        </w:rPr>
        <w:t>Código</w:t>
      </w:r>
      <w:r w:rsidRPr="000E6FE2">
        <w:rPr>
          <w:rFonts w:ascii="Arial Narrow" w:eastAsia="Arial Narrow" w:hAnsi="Arial Narrow" w:cs="Arial"/>
          <w:color w:val="000000"/>
          <w:spacing w:val="-2"/>
          <w:kern w:val="0"/>
          <w:sz w:val="22"/>
          <w:vertAlign w:val="superscript"/>
          <w14:ligatures w14:val="none"/>
        </w:rPr>
        <w:footnoteReference w:id="11"/>
      </w:r>
      <w:r w:rsidRPr="000E6FE2">
        <w:rPr>
          <w:rFonts w:ascii="Arial Narrow" w:eastAsia="Arial Narrow" w:hAnsi="Arial Narrow" w:cs="Arial"/>
          <w:color w:val="000000"/>
          <w:spacing w:val="-2"/>
          <w:kern w:val="0"/>
          <w14:ligatures w14:val="none"/>
          <w:sz w:val="22"/>
        </w:rPr>
        <w:t>.</w:t>
      </w:r>
    </w:p>
    <w:p w14:paraId="1F11FE32" w14:textId="77777777" w:rsidR="00CA59A2" w:rsidRPr="000E6FE2" w:rsidRDefault="00CA59A2" w:rsidP="000E6FE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
        <w:rPr>
          <w:rFonts w:ascii="Arial Narrow" w:hAnsi="Arial Narrow" w:eastAsia="Arial Narrow"/>
          <w:b/>
          <w:color w:val="000000"/>
          <w:sz w:val="22"/>
        </w:rPr>
        <w:t xml:space="preserve">CUARTO: </w:t>
      </w:r>
      <w:r>
        <w:rPr>
          <w:rFonts w:ascii="Arial Narrow" w:hAnsi="Arial Narrow" w:eastAsia="Arial Narrow"/>
          <w:b w:val="0"/>
          <w:color w:val="000000"/>
          <w:sz w:val="22"/>
        </w:rPr>
        <w:t>requerir a Rímac y Reaseguros S.A. que cumpla con lo siguiente:</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presentar documentos que acrediten su inscripción en los Registros Públicos o una declaración jurada que indique que cuenta con dicha inscripción;</w:t>
      </w:r>
    </w:p>
    <w:p w14:paraId="228F876C" w14:textId="77777777"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0E6FE2" w:rsidRDefault="00CA59A2" w:rsidP="000E6FE2">
      <w:pPr>
        <w:spacing w:after="0" w:line="240" w:lineRule="auto"/>
        <w:jc w:val="both"/>
        <w:rPr>
          <w:rFonts w:ascii="Arial Narrow" w:eastAsia="Times New Roman" w:hAnsi="Arial Narrow" w:cs="Arial"/>
          <w:color w:val="000000"/>
          <w:kern w:val="0"/>
          <w:lang w:val="es-ES" w:eastAsia="es-ES"/>
          <w14:ligatures w14:val="none"/>
        </w:rPr>
      </w:pPr>
      <w:r/>
      <w:r>
        <w:rPr>
          <w:rFonts w:ascii="Arial Narrow" w:hAnsi="Arial Narrow" w:eastAsia="Arial Narrow"/>
          <w:b/>
          <w:color w:val="000000"/>
          <w:sz w:val="22"/>
        </w:rPr>
        <w:t xml:space="preserve">QUINTO: </w:t>
      </w:r>
      <w:r>
        <w:rPr>
          <w:rFonts w:ascii="Arial Narrow" w:hAnsi="Arial Narrow" w:eastAsia="Arial Narrow"/>
          <w:b w:val="0"/>
          <w:color w:val="000000"/>
          <w:sz w:val="22"/>
        </w:rPr>
        <w:t>requerir a Rímac y Reaseguros S.A. que cumpla con lo siguiente:</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 xml:space="preserve">presentar copia de su certificado de inscripción en el Registro de la Micro y Pequeña Empresa (REMYPE) o, de lo contrario, una declaración jurada donde afirme encontrarse dentro del régimen tributario MYPE. En caso califique dentro de los supuestos antes mencionados, remitir de corresponder: </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 xml:space="preserve">· Formulario N° 1016 “Declaración para acogerse al RUS”, debidamente cancelado de los tres últimos meses anteriores al presunto hecho infractor. </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 xml:space="preserve">· Declaración y Pago del Impuesto a la Renta del último ejercicio gravable. </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 La Planilla de Remuneraciones del último mes anterior a la fecha en que haya ocurrido el presunto hecho infractor (en caso contar con trabajadores dependientes).</w:t>
      </w:r>
    </w:p>
    <w:p w14:paraId="12A4D8BD" w14:textId="77777777" w:rsidR="00CA59A2" w:rsidRPr="000E6FE2" w:rsidRDefault="00CA59A2" w:rsidP="000E6FE2">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
        <w:rPr>
          <w:rFonts w:ascii="Arial Narrow" w:hAnsi="Arial Narrow" w:eastAsia="Arial Narrow"/>
          <w:b/>
          <w:color w:val="000000"/>
          <w:sz w:val="22"/>
        </w:rPr>
        <w:t xml:space="preserve">SEXTO: </w:t>
      </w:r>
      <w:r>
        <w:rPr>
          <w:rFonts w:ascii="Arial Narrow" w:hAnsi="Arial Narrow" w:eastAsia="Arial Narrow"/>
          <w:b w:val="0"/>
          <w:color w:val="000000"/>
          <w:sz w:val="22"/>
        </w:rPr>
        <w:t>requerir a Rímac y Reaseguros S.A. que, en un plazo no mayor de cinco (5) días hábiles contado a partir del día siguiente de la notificación de la presente resolución, cumpla con lo siguiente: (i) presentar una copia completa, legible y debidamente suscrita de la Póliza 2001-756473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p>
    <w:p w14:paraId="0ECE55DF" w14:textId="77777777" w:rsidR="00CA59A2" w:rsidRPr="000E6FE2"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
        <w:rPr>
          <w:rFonts w:ascii="Arial Narrow" w:hAnsi="Arial Narrow" w:eastAsia="Arial Narrow"/>
          <w:b/>
          <w:color w:val="000000"/>
          <w:sz w:val="22"/>
        </w:rPr>
        <w:t xml:space="preserve">SÉTIMO: </w:t>
      </w:r>
      <w:r>
        <w:rPr>
          <w:rFonts w:ascii="Arial Narrow" w:hAnsi="Arial Narrow" w:eastAsia="Arial Narrow"/>
          <w:b w:val="0"/>
          <w:color w:val="000000"/>
          <w:sz w:val="22"/>
        </w:rPr>
        <w:t>poner en conocimiento de las partes que, de conformidad con lo establecido en el numeral 1 del artículo 114 del Código, el incumplimiento de los requerimientos de información...</w:t>
      </w: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
        <w:rPr>
          <w:rFonts w:ascii="Arial Narrow" w:hAnsi="Arial Narrow" w:eastAsia="Arial Narrow"/>
          <w:b w:val="0"/>
          <w:color w:val="000000"/>
          <w:sz w:val="22"/>
        </w:rPr>
        <w:t>(NO SE MODIFICA EL SÉTIMO EN ADELANTE HASTA EL NOVENO)</w:t>
      </w:r>
    </w:p>
    <w:p w14:paraId="364C4B19" w14:textId="77777777"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0E6FE2" w:rsidRDefault="00CA59A2" w:rsidP="000E6FE2">
      <w:pPr>
        <w:suppressAutoHyphens/>
        <w:spacing w:after="0" w:line="240" w:lineRule="auto"/>
        <w:jc w:val="both"/>
        <w:rPr>
          <w:rFonts w:ascii="Arial Narrow" w:eastAsia="Calibri" w:hAnsi="Arial Narrow" w:cs="Arial"/>
          <w:kern w:val="0"/>
          <w:u w:val="single"/>
          <w14:ligatures w14:val="none"/>
        </w:rPr>
      </w:pPr>
      <w:r w:rsidRPr="000E6FE2">
        <w:rPr>
          <w:rFonts w:ascii="Arial Narrow" w:eastAsia="Arial Narrow" w:hAnsi="Arial Narrow" w:cs="Arial"/>
          <w:b/>
          <w:bCs/>
          <w:color w:val="000000"/>
          <w:kern w:val="0"/>
          <w14:ligatures w14:val="none"/>
          <w:sz w:val="22"/>
        </w:rPr>
        <w:t>OCTAVO</w:t>
      </w:r>
      <w:r w:rsidRPr="000E6FE2">
        <w:rPr>
          <w:rFonts w:ascii="Arial Narrow" w:eastAsia="Arial Narrow" w:hAnsi="Arial Narrow" w:cs="Arial"/>
          <w:b/>
          <w:color w:val="000000"/>
          <w:kern w:val="0"/>
          <w14:ligatures w14:val="none"/>
          <w:sz w:val="22"/>
        </w:rPr>
        <w:t>:</w:t>
      </w:r>
      <w:r w:rsidRPr="000E6FE2">
        <w:rPr>
          <w:rFonts w:ascii="Arial Narrow" w:eastAsia="Arial Narrow" w:hAnsi="Arial Narrow" w:cs="Arial"/>
          <w:color w:val="000000"/>
          <w:kern w:val="0"/>
          <w14:ligatures w14:val="none"/>
          <w:sz w:val="22"/>
        </w:rPr>
        <w:t xml:space="preserve"> comunicar a las partes que, de acuerdo a lo señalado por el artículo 29 del Decreto Legislativo  807</w:t>
      </w:r>
      <w:r w:rsidRPr="000E6FE2">
        <w:rPr>
          <w:rFonts w:ascii="Arial Narrow" w:eastAsia="Arial Narrow" w:hAnsi="Arial Narrow" w:cs="Arial"/>
          <w:color w:val="000000"/>
          <w:kern w:val="0"/>
          <w:sz w:val="22"/>
          <w:vertAlign w:val="superscript"/>
          <w14:ligatures w14:val="none"/>
        </w:rPr>
        <w:footnoteReference w:id="15"/>
      </w:r>
      <w:r w:rsidRPr="000E6FE2">
        <w:rPr>
          <w:rFonts w:ascii="Arial Narrow" w:eastAsia="Arial Narrow" w:hAnsi="Arial Narrow" w:cs="Arial"/>
          <w:color w:val="000000"/>
          <w:kern w:val="0"/>
          <w14:ligatures w14:val="none"/>
          <w:sz w:val="22"/>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0E6FE2">
        <w:rPr>
          <w:rFonts w:ascii="Arial Narrow" w:eastAsia="Arial Narrow" w:hAnsi="Arial Narrow" w:cs="Arial"/>
          <w:color w:val="000000"/>
          <w:kern w:val="0"/>
          <w:sz w:val="22"/>
          <w:u w:val="single"/>
          <w14:ligatures w14:val="none"/>
        </w:rPr>
        <w:t>expresamente su facultad para asistir y conciliar en su representación</w:t>
      </w:r>
      <w:r w:rsidRPr="000E6FE2">
        <w:rPr>
          <w:rFonts w:ascii="Arial Narrow" w:eastAsia="Arial Narrow" w:hAnsi="Arial Narrow" w:cs="Arial"/>
          <w:bCs/>
          <w:color w:val="000000"/>
          <w:kern w:val="0"/>
          <w14:ligatures w14:val="none"/>
          <w:sz w:val="22"/>
        </w:rPr>
        <w:t>.</w:t>
      </w:r>
      <w:r w:rsidRPr="000E6FE2">
        <w:rPr>
          <w:rFonts w:ascii="Arial Narrow" w:eastAsia="Arial Narrow" w:hAnsi="Arial Narrow" w:cs="Arial"/>
          <w:b/>
          <w:bCs/>
          <w:color w:val="000000"/>
          <w:kern w:val="0"/>
          <w14:ligatures w14:val="none"/>
          <w:sz w:val="22"/>
        </w:rPr>
        <w:t xml:space="preserve"> </w:t>
      </w:r>
      <w:r w:rsidRPr="000E6FE2">
        <w:rPr>
          <w:rFonts w:ascii="Arial Narrow" w:eastAsia="Arial Narrow" w:hAnsi="Arial Narrow" w:cs="Arial"/>
          <w:color w:val="000000"/>
          <w:kern w:val="0"/>
          <w:sz w:val="22"/>
          <w:u w:val="single"/>
          <w14:ligatures w14:val="none"/>
        </w:rPr>
        <w:t xml:space="preserve">Ello bajo apercibimiento de no realizar la audiencia de conciliación y levantar el acta de inasistencia correspondiente. </w:t>
      </w:r>
    </w:p>
    <w:p w14:paraId="4CD47B08" w14:textId="77777777" w:rsidR="00CA59A2" w:rsidRPr="000E6FE2" w:rsidRDefault="00CA59A2" w:rsidP="000E6FE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0E6FE2"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r w:rsidRPr="000E6FE2">
        <w:rPr>
          <w:rFonts w:ascii="Arial Narrow" w:eastAsia="Arial Narrow" w:hAnsi="Arial Narrow" w:cs="Times New Roman"/>
          <w:b/>
          <w:color w:val="000000"/>
          <w:kern w:val="0"/>
          <w:sz w:val="22"/>
          <w:lang w:eastAsia="es-PE"/>
          <w14:ligatures w14:val="none"/>
        </w:rPr>
        <w:t>NOVENO:</w:t>
      </w:r>
      <w:r w:rsidRPr="000E6FE2">
        <w:rPr>
          <w:rFonts w:ascii="Arial Narrow" w:eastAsia="Arial Narrow" w:hAnsi="Arial Narrow" w:cs="Times New Roman"/>
          <w:color w:val="000000"/>
          <w:kern w:val="0"/>
          <w:sz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0E6FE2"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0E6FE2" w:rsidRDefault="00CA59A2" w:rsidP="000E6FE2">
      <w:pPr>
        <w:suppressAutoHyphens/>
        <w:spacing w:after="0" w:line="240" w:lineRule="auto"/>
        <w:jc w:val="both"/>
        <w:rPr>
          <w:rFonts w:ascii="Arial Narrow" w:hAnsi="Arial Narrow" w:cs="Arial"/>
        </w:rPr>
      </w:pPr>
      <w:r/>
      <w:r>
        <w:rPr>
          <w:rFonts w:ascii="Arial Narrow" w:hAnsi="Arial Narrow" w:eastAsia="Arial Narrow"/>
          <w:b/>
          <w:color w:val="000000"/>
          <w:sz w:val="22"/>
        </w:rPr>
        <w:t xml:space="preserve">DÉCIMO: </w:t>
      </w:r>
      <w:r>
        <w:rPr>
          <w:rFonts w:ascii="Arial Narrow" w:hAnsi="Arial Narrow" w:eastAsia="Arial Narrow"/>
          <w:b w:val="0"/>
          <w:color w:val="000000"/>
          <w:sz w:val="22"/>
        </w:rPr>
        <w:t>notificar la presente resolución a Sucesión Intestada de Hozver Jeiner Tapia Vasquez y a Rímac y Reaseguros S.A. mediante sus respectivas casillas electrónicas[[FN:__F_NOTIF__]].</w:t>
      </w:r>
    </w:p>
    <w:bookmarkEnd w:id="34"/>
    <w:bookmarkEnd w:id="0"/>
    <w:p/>
    <w:p/>
    <w:p/>
    <w:p w14:paraId="03CAC917" w14:textId="77777777" w:rsidR="003A00D7" w:rsidRPr="000E6FE2" w:rsidRDefault="003A00D7" w:rsidP="000E6FE2">
      <w:pPr>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sz w:val="22"/>
          <w:lang w:eastAsia="es-PE"/>
        </w:rPr>
        <w:t xml:space="preserve">Firmado digitalmente por </w:t>
      </w:r>
    </w:p>
    <w:p w14:paraId="77B75AD1" w14:textId="77777777" w:rsidR="00C03E0B" w:rsidRPr="000E6FE2" w:rsidRDefault="00C03E0B" w:rsidP="000E6FE2">
      <w:pPr>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sz w:val="22"/>
          <w:lang w:eastAsia="es-PE"/>
        </w:rPr>
        <w:t>EVELING ROA QUISPE</w:t>
      </w:r>
    </w:p>
    <w:p w14:paraId="679F0DF1" w14:textId="77777777" w:rsidR="00C03E0B" w:rsidRPr="000E6FE2" w:rsidRDefault="00C03E0B" w:rsidP="000E6FE2">
      <w:pPr>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sz w:val="22"/>
          <w:lang w:eastAsia="es-PE"/>
        </w:rPr>
        <w:t>Secretaria Técnica</w:t>
      </w:r>
    </w:p>
    <w:p w14:paraId="13657175" w14:textId="7B445C9A" w:rsidR="003A00D7" w:rsidRPr="000E6FE2" w:rsidRDefault="003A00D7" w:rsidP="000E6FE2">
      <w:pPr>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sz w:val="22"/>
          <w:lang w:eastAsia="es-PE"/>
        </w:rPr>
        <w:t>Comisión de Protección al Consumidor 1</w:t>
      </w:r>
    </w:p>
    <w:p w14:paraId="35BE4E13" w14:textId="77777777" w:rsidR="003A00D7" w:rsidRPr="000E6FE2" w:rsidRDefault="003A00D7" w:rsidP="000E6FE2">
      <w:pPr>
        <w:spacing w:after="0" w:line="240" w:lineRule="auto"/>
        <w:jc w:val="left"/>
        <w:rPr>
          <w:rFonts w:ascii="Arial Narrow" w:hAnsi="Arial Narrow"/>
          <w:sz w:val="16"/>
          <w:szCs w:val="18"/>
        </w:rPr>
      </w:pPr>
      <w:r w:rsidRPr="000E6FE2">
        <w:rPr>
          <w:rFonts w:ascii="Arial Narrow" w:hAnsi="Arial Narrow" w:eastAsia="Arial Narrow"/>
          <w:color w:val="000000"/>
          <w:sz w:val="16"/>
          <w:szCs w:val="18"/>
        </w:rPr>
        <w:t>LGP/JCQ</w:t>
      </w:r>
    </w:p>
    <w:p w14:paraId="4423ADE9" w14:textId="77777777" w:rsidR="00CA59A2" w:rsidRPr="000E6FE2" w:rsidRDefault="00CA59A2" w:rsidP="000E6FE2">
      <w:pPr>
        <w:spacing w:after="0" w:line="240" w:lineRule="auto"/>
        <w:jc w:val="both"/>
        <w:rPr>
          <w:rFonts w:ascii="Arial Narrow" w:hAnsi="Arial Narrow"/>
        </w:rPr>
      </w:pPr>
    </w:p>
    <w:p w14:paraId="74AAB5F4" w14:textId="77777777" w:rsidR="001B5674" w:rsidRPr="000E6FE2" w:rsidRDefault="001B5674" w:rsidP="000E6FE2">
      <w:pPr>
        <w:spacing w:after="0" w:line="240" w:lineRule="auto"/>
        <w:jc w:val="both"/>
        <w:rPr>
          <w:rFonts w:ascii="Arial Narrow" w:hAnsi="Arial Narrow"/>
        </w:rPr>
      </w:pPr>
    </w:p>
    <w:sectPr w:rsidR="001B5674" w:rsidRPr="000E6FE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0D67" w14:textId="784E18B2" w:rsidR="00B91E42" w:rsidRPr="000E6FE2" w:rsidRDefault="000E6FE2" w:rsidP="000E6FE2">
    <w:pPr>
      <w:pStyle w:val="Piedepgina"/>
      <w:rPr>
        <w:rFonts w:ascii="Arial Narrow" w:hAnsi="Arial Narrow"/>
        <w:sz w:val="18"/>
      </w:rPr>
    </w:pPr>
    <w:r w:rsidRPr="000E6FE2">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0E6FE2">
        <w:rPr>
          <w:rFonts w:ascii="Arial Narrow" w:hAnsi="Arial Narrow" w:cs="Arial"/>
          <w:sz w:val="16"/>
          <w:szCs w:val="16"/>
          <w:highlight w:val="red"/>
        </w:rPr>
        <w:tab/>
      </w:r>
      <w:r w:rsidRPr="000E6FE2">
        <w:rPr>
          <w:rFonts w:ascii="Arial Narrow" w:hAnsi="Arial Narrow" w:cs="Arial"/>
          <w:sz w:val="16"/>
          <w:szCs w:val="16"/>
        </w:rPr>
        <w:t xml:space="preserve">Denuncia remitida a esta Comisión mediante </w:t>
      </w:r>
      <w:r w:rsidRPr="000E6FE2">
        <w:rPr>
          <w:rFonts w:ascii="Arial Narrow" w:hAnsi="Arial Narrow" w:cs="Arial"/>
          <w:sz w:val="16"/>
          <w:szCs w:val="16"/>
          <w:highlight w:val="red"/>
        </w:rPr>
        <w:t xml:space="preserve">MEMORANDUM  000405-2025-LAM/INDECOPI </w:t>
      </w:r>
      <w:r w:rsidRPr="000E6FE2">
        <w:rPr>
          <w:rFonts w:ascii="Arial Narrow" w:hAnsi="Arial Narrow" w:cs="Arial"/>
          <w:sz w:val="16"/>
          <w:szCs w:val="16"/>
        </w:rPr>
        <w:t xml:space="preserve">de fecha </w:t>
      </w:r>
      <w:r w:rsidRPr="000E6FE2">
        <w:rPr>
          <w:rFonts w:ascii="Arial Narrow" w:hAnsi="Arial Narrow" w:cs="Arial"/>
          <w:sz w:val="16"/>
          <w:szCs w:val="16"/>
          <w:highlight w:val="red"/>
        </w:rPr>
        <w:t xml:space="preserve">16 de abril del 2025, </w:t>
      </w:r>
      <w:r w:rsidR="00D95607" w:rsidRPr="000E6FE2">
        <w:rPr>
          <w:rFonts w:ascii="Arial Narrow" w:hAnsi="Arial Narrow" w:cs="Arial"/>
          <w:sz w:val="16"/>
          <w:szCs w:val="16"/>
        </w:rPr>
        <w:t xml:space="preserve">recibida </w:t>
      </w:r>
      <w:r w:rsidRPr="000E6FE2">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E6FE2">
        <w:rPr>
          <w:rFonts w:ascii="Arial Narrow" w:hAnsi="Arial Narrow" w:cs="Arial"/>
          <w:sz w:val="16"/>
          <w:szCs w:val="16"/>
        </w:rPr>
        <w:tab/>
        <w:t>Publicado</w:t>
      </w:r>
      <w:r w:rsidRPr="000E6FE2">
        <w:rPr>
          <w:rFonts w:ascii="Arial Narrow" w:hAnsi="Arial Narrow" w:cs="Arial"/>
          <w:b/>
          <w:sz w:val="16"/>
          <w:szCs w:val="16"/>
        </w:rPr>
        <w:t xml:space="preserve"> </w:t>
      </w:r>
      <w:r w:rsidRPr="000E6FE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777BD84F" w14:textId="77777777" w:rsidR="0028322F" w:rsidRDefault="00CA59A2" w:rsidP="00EB4D2D">
      <w:pPr>
        <w:pStyle w:val="Textonotapie"/>
        <w:tabs>
          <w:tab w:val="left" w:pos="567"/>
        </w:tabs>
        <w:ind w:right="-1"/>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075220D4"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Artículo 105.- autoridad competente.</w:t>
      </w:r>
    </w:p>
    <w:p w14:paraId="7E567929"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A804E74"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 </w:t>
      </w:r>
    </w:p>
    <w:p w14:paraId="273875ED" w14:textId="77777777" w:rsidR="0028322F" w:rsidRDefault="0028322F" w:rsidP="00EB4D2D">
      <w:pPr>
        <w:pStyle w:val="Textonotapie"/>
        <w:tabs>
          <w:tab w:val="left" w:pos="567"/>
        </w:tabs>
        <w:ind w:right="-1"/>
        <w:jc w:val="both"/>
        <w:rPr>
          <w:rFonts w:ascii="Arial Narrow" w:hAnsi="Arial Narrow" w:cs="Arial"/>
          <w:sz w:val="16"/>
          <w:szCs w:val="16"/>
        </w:rPr>
      </w:pPr>
    </w:p>
    <w:p w14:paraId="69CA8275"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LEY DE ORGANIZACIÓN Y FUNCIONES DEL INDECOPI, APROBADA POR DECRETO LEGISLATIVO 1033 </w:t>
      </w:r>
    </w:p>
    <w:p w14:paraId="0C8C1563"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Artículo 27.- de la Comisión de Protección al Consumidor.- </w:t>
      </w:r>
    </w:p>
    <w:p w14:paraId="66B2E2B8"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BF45020"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50D8636F" w14:textId="77777777" w:rsidR="0028322F" w:rsidRDefault="00711750" w:rsidP="00EB4D2D">
      <w:pPr>
        <w:pStyle w:val="Textonotapie"/>
        <w:jc w:val="both"/>
        <w:rPr>
          <w:rFonts w:ascii="Arial Narrow" w:hAnsi="Arial Narrow"/>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sz w:val="16"/>
          <w:szCs w:val="16"/>
        </w:rPr>
        <w:t xml:space="preserve">          </w:t>
      </w:r>
      <w:r w:rsidR="0028322F">
        <w:rPr>
          <w:rFonts w:ascii="Arial Narrow" w:hAnsi="Arial Narrow"/>
          <w:sz w:val="16"/>
          <w:szCs w:val="16"/>
        </w:rPr>
        <w:tab/>
        <w:t xml:space="preserve">LEY 29571, CÓDIGO DE PROTECCIÓN Y DEFENSA DEL CONSUMIDOR, publicado el 2 de setiembre de 2010 y modificado por DECRETO LEGISLATIVO 1308   </w:t>
      </w:r>
    </w:p>
    <w:p w14:paraId="7066DECF"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Artículo 18.- idoneidad   </w:t>
      </w:r>
    </w:p>
    <w:p w14:paraId="7C996D08"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28941D0"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88CED91" w14:textId="77777777" w:rsidR="0028322F" w:rsidRDefault="0028322F" w:rsidP="00EB4D2D">
      <w:pPr>
        <w:pStyle w:val="Textonotapie"/>
        <w:jc w:val="both"/>
        <w:rPr>
          <w:rFonts w:ascii="Arial Narrow" w:hAnsi="Arial Narrow"/>
          <w:sz w:val="16"/>
          <w:szCs w:val="16"/>
        </w:rPr>
      </w:pPr>
    </w:p>
    <w:p w14:paraId="5E4A26FC"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Artículo 19.- obligación de los proveedores </w:t>
      </w:r>
    </w:p>
    <w:p w14:paraId="726F0DC9"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26DFCAAD" w:rsidR="00711750" w:rsidRPr="00C20DB0" w:rsidRDefault="00711750" w:rsidP="00EB4D2D">
      <w:pPr>
        <w:pStyle w:val="Textonotapie"/>
        <w:jc w:val="both"/>
        <w:rPr>
          <w:rFonts w:ascii="Arial Narrow" w:hAnsi="Arial Narrow"/>
          <w:sz w:val="16"/>
          <w:szCs w:val="16"/>
        </w:rPr>
      </w:pPr>
    </w:p>
  </w:footnote>
  <w:footnote w:id="5">
    <w:p w14:paraId="1330EE1E" w14:textId="77777777" w:rsidR="0028322F" w:rsidRDefault="00711750" w:rsidP="00EB4D2D">
      <w:pPr>
        <w:pStyle w:val="Textonotapie"/>
        <w:ind w:left="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43AA5CBC"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ab/>
        <w:t>Artículo 56.- métodos comerciales coercitivos</w:t>
      </w:r>
    </w:p>
    <w:p w14:paraId="764659FE"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56.1 De manera enunciativa y no limitativa, el derecho de todo consumidor a la protección contra los métodos comerciales coercitivos implica que los proveedores no pueden:</w:t>
      </w:r>
    </w:p>
    <w:p w14:paraId="4441F38C"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w:t>
      </w:r>
    </w:p>
    <w:p w14:paraId="1B242EB9"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1303FD96" w:rsidR="00711750" w:rsidRPr="00C20DB0" w:rsidRDefault="00711750" w:rsidP="00EB4D2D">
      <w:pPr>
        <w:pStyle w:val="Textonotapie"/>
        <w:ind w:left="567"/>
        <w:jc w:val="both"/>
        <w:rPr>
          <w:rFonts w:ascii="Arial Narrow" w:hAnsi="Arial Narrow"/>
          <w:sz w:val="16"/>
          <w:szCs w:val="16"/>
        </w:rPr>
      </w:pPr>
    </w:p>
  </w:footnote>
  <w:footnote w:id="6">
    <w:p w14:paraId="33BABEB9" w14:textId="77777777" w:rsidR="0028322F" w:rsidRDefault="00121544" w:rsidP="00EB4D2D">
      <w:pPr>
        <w:pStyle w:val="Textonotapie"/>
        <w:jc w:val="both"/>
        <w:rPr>
          <w:rFonts w:ascii="Arial Narrow" w:hAnsi="Arial Narrow"/>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sz w:val="16"/>
          <w:szCs w:val="16"/>
        </w:rPr>
        <w:t xml:space="preserve">          </w:t>
      </w:r>
      <w:r w:rsidR="0028322F">
        <w:rPr>
          <w:rFonts w:ascii="Arial Narrow" w:hAnsi="Arial Narrow"/>
          <w:sz w:val="16"/>
          <w:szCs w:val="16"/>
        </w:rPr>
        <w:tab/>
        <w:t xml:space="preserve">LEY 29571, CÓDIGO DE PROTECCIÓN Y DEFENSA DEL CONSUMIDOR, publicado el 2 de setiembre de 2010 y modificado por DECRETO LEGISLATIVO 1308   </w:t>
      </w:r>
    </w:p>
    <w:p w14:paraId="39D431F1"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Artículo 47.- protección mínima del contrato de consumo</w:t>
      </w:r>
    </w:p>
    <w:p w14:paraId="225F044F"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En los contratos de consumo se observa lo siguiente:</w:t>
      </w:r>
    </w:p>
    <w:p w14:paraId="36135581"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w:t>
      </w:r>
    </w:p>
    <w:p w14:paraId="14435C4B"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1E7F49EA" w:rsidR="00121544" w:rsidRPr="00C20DB0" w:rsidRDefault="00121544" w:rsidP="00EB4D2D">
      <w:pPr>
        <w:pStyle w:val="Textonotapie"/>
        <w:jc w:val="both"/>
        <w:rPr>
          <w:rFonts w:ascii="Arial Narrow" w:hAnsi="Arial Narrow"/>
          <w:sz w:val="16"/>
          <w:szCs w:val="16"/>
        </w:rPr>
      </w:pPr>
    </w:p>
  </w:footnote>
  <w:footnote w:id="7">
    <w:p w14:paraId="69ED2DEA" w14:textId="77777777" w:rsidR="0028322F" w:rsidRDefault="00121544" w:rsidP="00EB4D2D">
      <w:pPr>
        <w:pStyle w:val="Textonotapie"/>
        <w:ind w:firstLine="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7429A651"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1.- derechos de los consumidores</w:t>
      </w:r>
    </w:p>
    <w:p w14:paraId="79810446"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b/>
        <w:t>1.1 (…)</w:t>
      </w:r>
    </w:p>
    <w:p w14:paraId="2E3EB100"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b. 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C2DAC35"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b/>
        <w:t>(…).</w:t>
      </w:r>
    </w:p>
    <w:p w14:paraId="191E75D7" w14:textId="77777777" w:rsidR="0028322F" w:rsidRDefault="0028322F" w:rsidP="00EB4D2D">
      <w:pPr>
        <w:pStyle w:val="Textonotapie"/>
        <w:ind w:firstLine="567"/>
        <w:jc w:val="both"/>
        <w:rPr>
          <w:rFonts w:ascii="Arial Narrow" w:hAnsi="Arial Narrow" w:cs="Arial"/>
          <w:sz w:val="16"/>
          <w:szCs w:val="16"/>
        </w:rPr>
      </w:pPr>
    </w:p>
    <w:p w14:paraId="2778CC98"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2.- información relevante</w:t>
      </w:r>
    </w:p>
    <w:p w14:paraId="7C11DFDB"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AC297C2"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2.2 La información debe ser veraz, suficiente, de fácil comprensión, apropiada, oportuna y fácilmente accesible, debiendo ser brindada en idioma castellano. </w:t>
      </w:r>
    </w:p>
    <w:p w14:paraId="148EE1BC"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7C7E29E"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2.4 Al evaluarse la información, deben considerarse los problemas de confusión que generarían al consumidor el suministro de información excesiva o sumamente compleja, atendiendo a la naturaleza del producto adquirido o al servicio contratado. </w:t>
      </w:r>
    </w:p>
    <w:p w14:paraId="6AD60276" w14:textId="09CAE535" w:rsidR="00121544" w:rsidRPr="00C20DB0" w:rsidRDefault="00121544" w:rsidP="00EB4D2D">
      <w:pPr>
        <w:pStyle w:val="Textonotapie"/>
        <w:ind w:firstLine="567"/>
        <w:jc w:val="both"/>
        <w:rPr>
          <w:rFonts w:ascii="Arial Narrow" w:hAnsi="Arial Narrow"/>
          <w:sz w:val="16"/>
          <w:szCs w:val="16"/>
        </w:rPr>
      </w:pPr>
    </w:p>
  </w:footnote>
  <w:footnote w:id="8">
    <w:p w14:paraId="00756322" w14:textId="77777777" w:rsidR="0028322F" w:rsidRDefault="00F71384" w:rsidP="00EB4D2D">
      <w:pPr>
        <w:pStyle w:val="Textonotapie"/>
        <w:ind w:firstLine="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77211B08"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88.- reclamo de productos o servicios financieros y de seguros</w:t>
      </w:r>
    </w:p>
    <w:p w14:paraId="2665DE0A"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09E912CC" w14:textId="773AD0B6" w:rsidR="00F71384" w:rsidRPr="00C20DB0" w:rsidRDefault="00F71384" w:rsidP="00EB4D2D">
      <w:pPr>
        <w:pStyle w:val="Textonotapie"/>
        <w:ind w:firstLine="567"/>
        <w:jc w:val="both"/>
        <w:rPr>
          <w:rFonts w:ascii="Arial Narrow" w:hAnsi="Arial Narrow"/>
          <w:sz w:val="16"/>
          <w:szCs w:val="16"/>
        </w:rPr>
      </w:pPr>
    </w:p>
  </w:footnote>
  <w:footnote w:id="9">
    <w:p w14:paraId="537193DE" w14:textId="77777777" w:rsidR="0028322F" w:rsidRDefault="00CA59A2" w:rsidP="00EB4D2D">
      <w:pPr>
        <w:pStyle w:val="Textonotapie"/>
        <w:tabs>
          <w:tab w:val="left" w:pos="567"/>
        </w:tabs>
        <w:ind w:left="567" w:right="-1"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SOBRE FACULTADES, NORMAS Y ORGANIZACIÓN DEL INDECOPI, APROBADA POR DECRETO LEGISLATIVO 807</w:t>
      </w:r>
    </w:p>
    <w:p w14:paraId="5F2A3105"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Artículo 24.- El Secretario Técnico se encargará de la tramitación del procedimiento. Para ello, cuenta con las siguientes facultades:</w:t>
      </w:r>
    </w:p>
    <w:p w14:paraId="61E62385"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 xml:space="preserve">(...) </w:t>
      </w:r>
    </w:p>
    <w:p w14:paraId="212EDAF2"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 xml:space="preserve">c) Admitir denuncias a trámite, en aquellos casos en que la Comisión le haya delegado esta facultad. </w:t>
      </w:r>
    </w:p>
    <w:p w14:paraId="0E3EB0FE"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w:t>
      </w:r>
    </w:p>
    <w:p w14:paraId="4B308FE1"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 xml:space="preserve">. </w:t>
      </w:r>
    </w:p>
    <w:p w14:paraId="7E788299" w14:textId="1618A9A3"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46399BD7"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E6FE2">
        <w:rPr>
          <w:rFonts w:ascii="Arial Narrow" w:hAnsi="Arial Narrow" w:cs="Arial"/>
          <w:sz w:val="16"/>
          <w:szCs w:val="16"/>
        </w:rPr>
        <w:tab/>
        <w:t xml:space="preserve">El número de trabajadores se atenderá siempre que la empresa haya sido constituida antes de la vigencia de la </w:t>
      </w:r>
      <w:r w:rsidR="000E6FE2" w:rsidRPr="000E6FE2">
        <w:rPr>
          <w:rFonts w:ascii="Arial Narrow" w:hAnsi="Arial Narrow" w:cs="Arial"/>
          <w:sz w:val="16"/>
          <w:szCs w:val="16"/>
        </w:rPr>
        <w:t xml:space="preserve">Ley </w:t>
      </w:r>
      <w:r w:rsidRPr="000E6FE2">
        <w:rPr>
          <w:rFonts w:ascii="Arial Narrow" w:hAnsi="Arial Narrow" w:cs="Arial"/>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73FFBBA1" w14:textId="77777777" w:rsidR="0028322F" w:rsidRDefault="00CA59A2" w:rsidP="00EB4D2D">
      <w:pPr>
        <w:pStyle w:val="Textonotapie"/>
        <w:tabs>
          <w:tab w:val="left" w:pos="284"/>
        </w:tabs>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61174138"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ab/>
        <w:t>Artículo 110.- sanciones Administrativas</w:t>
      </w:r>
    </w:p>
    <w:p w14:paraId="7E470B5B"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w:t>
      </w:r>
    </w:p>
    <w:p w14:paraId="6B0CE04C"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D3EF674"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w:t>
      </w:r>
    </w:p>
    <w:p w14:paraId="3B6754D8" w14:textId="6805B00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6E40124C" w14:textId="77777777" w:rsidR="0028322F" w:rsidRDefault="00CA59A2" w:rsidP="000E6FE2">
      <w:pPr>
        <w:spacing w:after="0" w:line="240" w:lineRule="auto"/>
        <w:ind w:left="567"/>
        <w:jc w:val="both"/>
        <w:rPr>
          <w:rFonts w:ascii="Arial Narrow" w:hAnsi="Arial Narrow" w:cs="Arial"/>
          <w:sz w:val="16"/>
          <w:szCs w:val="16"/>
          <w:vertAlign w:val="superscript"/>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0028322F">
        <w:rPr>
          <w:rFonts w:ascii="Arial Narrow" w:hAnsi="Arial Narrow" w:cs="Arial"/>
          <w:sz w:val="16"/>
          <w:szCs w:val="16"/>
          <w:vertAlign w:val="superscript"/>
        </w:rPr>
        <w:t xml:space="preserve">      </w:t>
      </w:r>
      <w:r w:rsidR="0028322F">
        <w:rPr>
          <w:rFonts w:ascii="Arial Narrow" w:hAnsi="Arial Narrow" w:cs="Arial"/>
          <w:sz w:val="16"/>
          <w:szCs w:val="16"/>
          <w:vertAlign w:val="superscript"/>
        </w:rPr>
        <w:tab/>
        <w:t>LEY 29571, CÓDIGO DE PROTECCIÓN Y DEFENSA DEL CONSUMIDOR, publicado el 2 de setiembre de 2010 y modificado por DECRETO LEGISLATIVO 1308</w:t>
      </w:r>
    </w:p>
    <w:p w14:paraId="598C41C3"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ab/>
        <w:t>Artículo 110.- sanciones administrativas</w:t>
      </w:r>
    </w:p>
    <w:p w14:paraId="1C20C9CF"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306F9A9"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leves, con una amonestación o con una multa de hasta cincuenta (50) UIT.</w:t>
      </w:r>
    </w:p>
    <w:p w14:paraId="63DEBC47"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graves, con una multa de hasta ciento cincuenta (150) UIT.</w:t>
      </w:r>
    </w:p>
    <w:p w14:paraId="11363781"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muy graves, con una multa de hasta cuatrocientos cincuenta (450) UIT.</w:t>
      </w:r>
    </w:p>
    <w:p w14:paraId="707B74D3" w14:textId="67FC12EC" w:rsidR="00CA59A2" w:rsidRPr="00C20DB0" w:rsidRDefault="0028322F" w:rsidP="000E6FE2">
      <w:pPr>
        <w:spacing w:after="0" w:line="240" w:lineRule="auto"/>
        <w:ind w:left="567"/>
        <w:jc w:val="both"/>
        <w:rPr>
          <w:rFonts w:ascii="Arial Narrow" w:eastAsia="Arial Narrow" w:hAnsi="Arial Narrow" w:cs="Arial"/>
          <w:sz w:val="16"/>
          <w:szCs w:val="16"/>
        </w:rPr>
      </w:pPr>
      <w:r>
        <w:rPr>
          <w:rFonts w:ascii="Arial Narrow" w:hAnsi="Arial Narrow" w:cs="Arial"/>
          <w:sz w:val="16"/>
          <w:szCs w:val="16"/>
          <w:vertAlign w:val="superscript"/>
        </w:rPr>
        <w:t>(…).</w:t>
      </w:r>
    </w:p>
  </w:footnote>
  <w:footnote w:id="13">
    <w:p w14:paraId="436B6E7A" w14:textId="77777777" w:rsidR="0028322F" w:rsidRDefault="00CA59A2" w:rsidP="00EB4D2D">
      <w:pPr>
        <w:spacing w:after="0" w:line="240" w:lineRule="auto"/>
        <w:ind w:left="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63574D1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Artículo 114.- medidas correctivas</w:t>
      </w:r>
    </w:p>
    <w:p w14:paraId="7413FC1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B7B25A8"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88F98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Las medidas correctivas complementarias pueden dictarse de oficio o a pedido de parte.</w:t>
      </w:r>
    </w:p>
    <w:p w14:paraId="1BBEA4FA" w14:textId="77777777" w:rsidR="0028322F" w:rsidRDefault="0028322F" w:rsidP="00EB4D2D">
      <w:pPr>
        <w:spacing w:after="0" w:line="240" w:lineRule="auto"/>
        <w:ind w:left="567"/>
        <w:jc w:val="both"/>
        <w:rPr>
          <w:rFonts w:ascii="Arial Narrow" w:hAnsi="Arial Narrow" w:cs="Arial"/>
          <w:sz w:val="16"/>
          <w:szCs w:val="16"/>
        </w:rPr>
      </w:pPr>
    </w:p>
    <w:p w14:paraId="0BD0AC3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Artículo 115.- medidas correctivas reparadoras</w:t>
      </w:r>
    </w:p>
    <w:p w14:paraId="4F9790D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9BA886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Reparar productos.</w:t>
      </w:r>
    </w:p>
    <w:p w14:paraId="714D89A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Cambiar productos por otros de idénticas o similares características, cuando la reparación no sea posible o no resulte razonable según las circunstancias.</w:t>
      </w:r>
    </w:p>
    <w:p w14:paraId="45289B7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523CE29D"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7FA31CA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Cumplir con ejecutar otras prestaciones u obligaciones legales o convencionales a su cargo.</w:t>
      </w:r>
    </w:p>
    <w:p w14:paraId="654ADC8B"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7035F69"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En los supuestos de pagos indebidos o en exceso, devolver estos montos, más los intereses correspondientes.</w:t>
      </w:r>
    </w:p>
    <w:p w14:paraId="2206B45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Pagar los gastos incurridos por el consumidor para mitigar las consecuencias de la infracción administrativa.</w:t>
      </w:r>
    </w:p>
    <w:p w14:paraId="162F637A"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Otras medidas reparadoras análogas de efectos equivalentes a las anteriores.</w:t>
      </w:r>
    </w:p>
    <w:p w14:paraId="196DA76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FADFA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95D395"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66C9CA8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1441485"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5CC928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639A408" w14:textId="77777777" w:rsidR="0028322F" w:rsidRDefault="0028322F" w:rsidP="00EB4D2D">
      <w:pPr>
        <w:spacing w:after="0" w:line="240" w:lineRule="auto"/>
        <w:ind w:left="567"/>
        <w:jc w:val="both"/>
        <w:rPr>
          <w:rFonts w:ascii="Arial Narrow" w:hAnsi="Arial Narrow" w:cs="Arial"/>
          <w:sz w:val="16"/>
          <w:szCs w:val="16"/>
        </w:rPr>
      </w:pPr>
    </w:p>
    <w:p w14:paraId="3341C6F9"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Artículo 116.- medidas correctivas complementarias</w:t>
      </w:r>
    </w:p>
    <w:p w14:paraId="321C029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2CC088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4343B7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b. Declarar inexigibles las cláusulas que han sido identificadas como abusivas en el procedimiento. </w:t>
      </w:r>
    </w:p>
    <w:p w14:paraId="59C8DB1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c. El decomiso y destrucción de la mercadería, envases, envolturas o etiquetas. </w:t>
      </w:r>
    </w:p>
    <w:p w14:paraId="28D92C31"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d. En caso de infracciones muy graves y de reincidencia o reiterancia: </w:t>
      </w:r>
    </w:p>
    <w:p w14:paraId="44FC800F"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(i) Solicitar a la autoridad correspondiente la clausura temporal del establecimiento industrial, comercial o de servicios por un plazo máximo de seis (6) meses. </w:t>
      </w:r>
    </w:p>
    <w:p w14:paraId="43AB4ACD"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(ii) Solicitar a la autoridad competente la inhabilitación, temporal o permanente, del proveedor en función de los alcances de la infracción sancionada. </w:t>
      </w:r>
    </w:p>
    <w:p w14:paraId="15F1369F"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2CA88854"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f. Cualquier otra medida correctiva que tenga el objeto de revertir los efectos de la conducta infractora o evitar que esta se produzca nuevamente en el futuro. </w:t>
      </w:r>
    </w:p>
    <w:p w14:paraId="2BC1CE9E"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5882C4B9"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00772351" w14:textId="77777777" w:rsidR="0028322F" w:rsidRDefault="00CA59A2" w:rsidP="00EB4D2D">
      <w:pPr>
        <w:pStyle w:val="Textonotapie"/>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146E7C2B"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Artículo 112.- criterios de graduación de las sanciones administrativas</w:t>
      </w:r>
    </w:p>
    <w:p w14:paraId="6838E47A"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w:t>
      </w:r>
    </w:p>
    <w:p w14:paraId="4FBC87B3"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Se consideran circunstancias atenuantes especiales, las siguientes:</w:t>
      </w:r>
    </w:p>
    <w:p w14:paraId="6331CA64"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w:t>
      </w:r>
    </w:p>
    <w:p w14:paraId="36034B7E"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3B43E05E" w:rsidR="00CA59A2" w:rsidRPr="00C20DB0" w:rsidRDefault="00CA59A2" w:rsidP="00EB4D2D">
      <w:pPr>
        <w:pStyle w:val="Textonotapie"/>
        <w:jc w:val="both"/>
        <w:rPr>
          <w:rFonts w:ascii="Arial Narrow" w:hAnsi="Arial Narrow" w:cs="Arial"/>
          <w:sz w:val="16"/>
          <w:szCs w:val="16"/>
        </w:rPr>
      </w:pPr>
    </w:p>
  </w:footnote>
  <w:footnote w:id="15">
    <w:p w14:paraId="7E5FA75F" w14:textId="77777777" w:rsidR="0028322F" w:rsidRDefault="00CA59A2" w:rsidP="00EB4D2D">
      <w:pPr>
        <w:pStyle w:val="NormalWeb"/>
        <w:spacing w:after="0" w:line="240" w:lineRule="auto"/>
        <w:ind w:left="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0028322F">
        <w:rPr>
          <w:rFonts w:ascii="Arial Narrow" w:hAnsi="Arial Narrow" w:cs="Arial"/>
          <w:b/>
          <w:bCs/>
          <w:sz w:val="16"/>
          <w:szCs w:val="16"/>
        </w:rPr>
        <w:tab/>
        <w:t>DECRETO LEGISLATIVO 807, LEY SOBRE FACULTADES, NORMAS Y ORGANIZACIÓN DEL INDECOPI FACULTADES DE LAS COMISIONES Y OFICINAS DEL INDECOPI</w:t>
      </w:r>
    </w:p>
    <w:p w14:paraId="711EBEAF" w14:textId="77777777" w:rsidR="0028322F" w:rsidRDefault="0028322F" w:rsidP="00EB4D2D">
      <w:pPr>
        <w:pStyle w:val="NormalWeb"/>
        <w:spacing w:after="0" w:line="240" w:lineRule="auto"/>
        <w:ind w:left="567"/>
        <w:jc w:val="both"/>
        <w:rPr>
          <w:rFonts w:ascii="Arial Narrow" w:hAnsi="Arial Narrow" w:cs="Arial"/>
          <w:b/>
          <w:bCs/>
          <w:sz w:val="16"/>
          <w:szCs w:val="16"/>
        </w:rPr>
      </w:pPr>
      <w:r>
        <w:rPr>
          <w:rFonts w:ascii="Arial Narrow" w:hAnsi="Arial Narrow" w:cs="Arial"/>
          <w:b/>
          <w:bCs/>
          <w:sz w:val="16"/>
          <w:szCs w:val="16"/>
        </w:rPr>
        <w:t>Artículo 29.-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27FEB2D1"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0B89C9B9" w14:textId="77777777" w:rsidR="0028322F" w:rsidRDefault="005B4857" w:rsidP="000E6FE2">
      <w:pPr>
        <w:pStyle w:val="Textonotapie"/>
        <w:ind w:left="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ab/>
        <w:t>TEXTO ÚNICO ORDENADO DE LA LEY DEL PROCEDIMIENTO ADMINISTRATIVO GENERAL, aprobado mediante DECRETO SUPREMO 006-2026-JUS y publicado el 30 de abril de 2026</w:t>
      </w:r>
    </w:p>
    <w:p w14:paraId="36ABECAE"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Artículo 20.- modalidades de notificación</w:t>
      </w:r>
    </w:p>
    <w:p w14:paraId="51382C8A"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39B11D2"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1AFB81A" w:rsidR="005B4857" w:rsidRPr="00C20DB0" w:rsidRDefault="0028322F" w:rsidP="000E6FE2">
      <w:pPr>
        <w:pStyle w:val="Textonotapie"/>
        <w:ind w:left="567"/>
        <w:jc w:val="both"/>
        <w:rPr>
          <w:rFonts w:ascii="Arial Narrow" w:hAnsi="Arial Narrow" w:cs="Arial"/>
          <w:sz w:val="16"/>
          <w:szCs w:val="16"/>
          <w:lang w:val="es-ES"/>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126</cp:revision>
  <dcterms:created xsi:type="dcterms:W3CDTF">2024-06-18T08:44:00Z</dcterms:created>
  <dcterms:modified xsi:type="dcterms:W3CDTF">2026-07-23T01:44:00Z</dcterms:modified>
</cp:coreProperties>
</file>