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F71E5" w:rsidR="00CA59A2" w:rsidRPr="0026598E" w:rsidRDefault="00CA59A2" w:rsidP="00F95A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87219" w:rsidRPr="00487219">
        <w:rPr>
          <w:rFonts w:ascii="Arial Narrow" w:eastAsia="Arial Narrow" w:hAnsi="Arial Narrow" w:cs="Arial Narrow"/>
          <w:b/>
          <w:bCs/>
          <w:color w:val="000000"/>
          <w:kern w:val="0"/>
          <w:sz w:val="22"/>
          <w:szCs w:val="22"/>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DENUNCIADO</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MATERIAS</w:t>
      </w:r>
      <w:r w:rsidRPr="00487219">
        <w:rPr>
          <w:rFonts w:ascii="Arial Narrow" w:eastAsia="Arial Narrow" w:hAnsi="Arial Narrow" w:cs="Arial Narrow"/>
          <w:b/>
          <w:color w:val="000000"/>
          <w:kern w:val="0"/>
          <w:sz w:val="22"/>
          <w:szCs w:val="22"/>
          <w:lang w:eastAsia="es-PE"/>
          <w14:ligatures w14:val="none"/>
        </w:rPr>
        <w:tab/>
        <w:t xml:space="preserve">: </w:t>
      </w:r>
      <w:r w:rsidRPr="0048721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RESOLUCIÓN </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87219">
        <w:rPr>
          <w:rFonts w:ascii="Arial Narrow" w:eastAsia="Arial Narrow" w:hAnsi="Arial Narrow" w:cs="Arial Narrow"/>
          <w:color w:val="000000"/>
          <w:kern w:val="0"/>
          <w:sz w:val="22"/>
          <w:szCs w:val="22"/>
          <w:shd w:val="clear" w:color="auto" w:fill="FFFFFF"/>
          <w:lang w:eastAsia="es-PE"/>
          <w14:ligatures w14:val="none"/>
        </w:rPr>
        <w:t xml:space="preserve">Lima, </w:t>
      </w:r>
      <w:r w:rsidR="005268A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87219">
        <w:rPr>
          <w:rFonts w:ascii="Arial Narrow" w:eastAsia="Arial Narrow" w:hAnsi="Arial Narrow" w:cs="Arial Narrow"/>
          <w:color w:val="000000"/>
          <w:kern w:val="0"/>
          <w:sz w:val="22"/>
          <w:szCs w:val="22"/>
          <w:shd w:val="clear" w:color="auto" w:fill="FFFFFF"/>
          <w:lang w:eastAsia="es-PE"/>
          <w14:ligatures w14:val="none"/>
        </w:rPr>
        <w:t xml:space="preserve"/>
      </w:r>
      <w:r w:rsidR="00487219">
        <w:rPr>
          <w:rFonts w:ascii="Arial Narrow" w:eastAsia="Arial Narrow" w:hAnsi="Arial Narrow" w:cs="Arial Narrow"/>
          <w:color w:val="000000"/>
          <w:kern w:val="0"/>
          <w:sz w:val="22"/>
          <w:szCs w:val="22"/>
          <w:shd w:val="clear" w:color="auto" w:fill="FFFFFF"/>
          <w:lang w:eastAsia="es-PE"/>
          <w14:ligatures w14:val="none"/>
        </w:rPr>
        <w:t xml:space="preserve"/>
      </w:r>
      <w:r w:rsidRPr="004872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la señora [APELLIDO] denunció a Rímac por presuntas infracciones a la Ley 29571, Código de Protección y Defensa del Consumidor</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665">
        <w:rPr>
          <w:rFonts w:ascii="Arial Narrow" w:eastAsia="Arial Narrow" w:hAnsi="Arial Narrow" w:cs="Arial Narrow"/>
          <w:color w:val="000000"/>
          <w:kern w:val="0"/>
          <w:sz w:val="22"/>
          <w:szCs w:val="22"/>
          <w:lang w:val="es-ES" w:eastAsia="es-ES"/>
          <w14:ligatures w14:val="none"/>
        </w:rPr>
        <w:t xml:space="preserve"/>
      </w:r>
      <w:r w:rsidR="00B40665" w:rsidRPr="00B40665">
        <w:rPr>
          <w:rFonts w:ascii="Arial Narrow" w:eastAsia="Arial Narrow" w:hAnsi="Arial Narrow" w:cs="Arial Narrow"/>
          <w:color w:val="000000"/>
          <w:kern w:val="0"/>
          <w:sz w:val="22"/>
          <w:szCs w:val="22"/>
          <w:lang w:val="es-ES" w:eastAsia="es-ES"/>
          <w14:ligatures w14:val="none"/>
        </w:rPr>
        <w:t/>
      </w:r>
      <w:r w:rsidR="00996DC2"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kern w:val="0"/>
          <w14:ligatures w14:val="none"/>
          <w:sz w:val="22"/>
          <w:szCs w:val="22"/>
        </w:rPr>
        <w:t xml:space="preserve"/>
      </w:r>
      <w:r w:rsidR="00B40665" w:rsidRPr="00B40665">
        <w:rPr>
          <w:rFonts w:ascii="Arial Narrow" w:eastAsia="Arial Narrow" w:hAnsi="Arial Narrow" w:cs="Arial Narrow"/>
          <w:kern w:val="0"/>
          <w14:ligatures w14:val="none"/>
          <w:sz w:val="22"/>
          <w:szCs w:val="22"/>
        </w:rPr>
        <w:t xml:space="preserve"/>
      </w:r>
      <w:r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xml:space="preserve"/>
      </w:r>
      <w:r w:rsidRPr="00BF3AD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F3AD2" w:rsidRDefault="00CA59A2" w:rsidP="00F95A1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Posteriormente, </w:t>
      </w:r>
      <w:r w:rsidR="00FC6D79" w:rsidRPr="00BF3AD2">
        <w:rPr>
          <w:rFonts w:ascii="Arial Narrow" w:eastAsia="Arial Narrow" w:hAnsi="Arial Narrow" w:cs="Arial Narrow"/>
          <w:color w:val="000000"/>
          <w:kern w:val="0"/>
          <w:sz w:val="22"/>
          <w:szCs w:val="22"/>
          <w:lang w:eastAsia="es-ES"/>
          <w14:ligatures w14:val="none"/>
        </w:rPr>
        <w:t>adquirió con Rímac</w:t>
      </w:r>
      <w:r w:rsidRPr="00BF3AD2">
        <w:rPr>
          <w:rFonts w:ascii="Arial Narrow" w:eastAsia="Arial Narrow" w:hAnsi="Arial Narrow" w:cs="Arial Narrow"/>
          <w:color w:val="000000"/>
          <w:kern w:val="0"/>
          <w:sz w:val="22"/>
          <w:szCs w:val="22"/>
          <w:lang w:eastAsia="es-ES"/>
          <w14:ligatures w14:val="none"/>
        </w:rPr>
        <w:t xml:space="preserve"> </w:t>
      </w:r>
      <w:r w:rsidR="00C21333" w:rsidRPr="00BF3AD2">
        <w:rPr>
          <w:rFonts w:ascii="Arial Narrow" w:eastAsia="Arial Narrow" w:hAnsi="Arial Narrow" w:cs="Arial Narrow"/>
          <w:color w:val="000000"/>
          <w:kern w:val="0"/>
          <w:sz w:val="22"/>
          <w:szCs w:val="22"/>
          <w:lang w:eastAsia="es-ES"/>
          <w14:ligatures w14:val="none"/>
        </w:rPr>
        <w:t>el Seguro Vehicular - P</w:t>
      </w:r>
      <w:r w:rsidRPr="00BF3AD2">
        <w:rPr>
          <w:rFonts w:ascii="Arial Narrow" w:eastAsia="Arial Narrow" w:hAnsi="Arial Narrow" w:cs="Arial Narrow"/>
          <w:color w:val="000000"/>
          <w:kern w:val="0"/>
          <w:sz w:val="22"/>
          <w:szCs w:val="22"/>
          <w:lang w:eastAsia="es-ES"/>
          <w14:ligatures w14:val="none"/>
        </w:rPr>
        <w:t>óliza 2101-1453106</w:t>
      </w:r>
      <w:r w:rsidR="00260D26" w:rsidRPr="00BF3AD2">
        <w:rPr>
          <w:rFonts w:ascii="Arial Narrow" w:eastAsia="Arial Narrow" w:hAnsi="Arial Narrow" w:cs="Arial Narrow"/>
          <w:color w:val="000000"/>
          <w:kern w:val="0"/>
          <w:sz w:val="22"/>
          <w:szCs w:val="22"/>
          <w:lang w:eastAsia="es-ES"/>
          <w14:ligatures w14:val="none"/>
        </w:rPr>
        <w:t xml:space="preserve"> (en adelante, Seguro Vehicular)</w:t>
      </w:r>
      <w:r w:rsidR="00FC6D79" w:rsidRPr="00BF3AD2">
        <w:rPr>
          <w:rFonts w:ascii="Arial Narrow" w:eastAsia="Arial Narrow" w:hAnsi="Arial Narrow" w:cs="Arial Narrow"/>
          <w:color w:val="000000"/>
          <w:kern w:val="0"/>
          <w:sz w:val="22"/>
          <w:szCs w:val="22"/>
          <w:lang w:eastAsia="es-ES"/>
          <w14:ligatures w14:val="none"/>
        </w:rPr>
        <w:t>, para el vehículo Hyundai New Elantra 2019</w:t>
      </w:r>
      <w:r w:rsidR="00260D26" w:rsidRPr="00BF3AD2">
        <w:rPr>
          <w:rFonts w:ascii="Arial Narrow" w:eastAsia="Arial Narrow" w:hAnsi="Arial Narrow" w:cs="Arial Narrow"/>
          <w:color w:val="000000"/>
          <w:kern w:val="0"/>
          <w:sz w:val="22"/>
          <w:szCs w:val="22"/>
          <w:lang w:eastAsia="es-ES"/>
          <w14:ligatures w14:val="none"/>
        </w:rPr>
        <w:t xml:space="preserve"> (en adelante, vehículo asegurado)</w:t>
      </w:r>
      <w:r w:rsidR="00FC6D79" w:rsidRPr="00BF3AD2">
        <w:rPr>
          <w:rFonts w:ascii="Arial Narrow" w:eastAsia="Arial Narrow" w:hAnsi="Arial Narrow" w:cs="Arial Narrow"/>
          <w:color w:val="000000"/>
          <w:kern w:val="0"/>
          <w:sz w:val="22"/>
          <w:szCs w:val="22"/>
          <w:lang w:eastAsia="es-ES"/>
          <w14:ligatures w14:val="none"/>
        </w:rPr>
        <w:t>,</w:t>
      </w:r>
      <w:r w:rsidRPr="00BF3AD2">
        <w:rPr>
          <w:rFonts w:ascii="Arial Narrow" w:eastAsia="Arial Narrow" w:hAnsi="Arial Narrow" w:cs="Arial Narrow"/>
          <w:color w:val="000000"/>
          <w:kern w:val="0"/>
          <w:sz w:val="22"/>
          <w:szCs w:val="22"/>
          <w:lang w:eastAsia="es-ES"/>
          <w14:ligatures w14:val="none"/>
        </w:rPr>
        <w:t xml:space="preserve"> por un valor de US$ 19 000,00</w:t>
      </w:r>
      <w:r w:rsidR="00FC6D79" w:rsidRPr="00BF3AD2">
        <w:rPr>
          <w:rFonts w:ascii="Arial Narrow" w:eastAsia="Arial Narrow" w:hAnsi="Arial Narrow" w:cs="Arial Narrow"/>
          <w:color w:val="000000"/>
          <w:kern w:val="0"/>
          <w:sz w:val="22"/>
          <w:szCs w:val="22"/>
          <w:lang w:eastAsia="es-ES"/>
          <w14:ligatures w14:val="none"/>
        </w:rPr>
        <w:t>.</w:t>
      </w:r>
    </w:p>
    <w:p w14:paraId="6E8D3258" w14:textId="77777777" w:rsidR="00FC6D79" w:rsidRPr="00BF3AD2" w:rsidRDefault="00FC6D79" w:rsidP="00F95A1B">
      <w:pPr>
        <w:spacing w:after="0" w:line="240" w:lineRule="auto"/>
        <w:jc w:val="both"/>
        <w:rPr>
          <w:rFonts w:ascii="Arial Narrow" w:eastAsia="Arial Narrow" w:hAnsi="Arial Narrow" w:cs="Arial Narrow"/>
          <w:color w:val="000000"/>
          <w:kern w:val="0"/>
          <w:sz w:val="22"/>
          <w:szCs w:val="22"/>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19 de diciembre de 2024, </w:t>
      </w:r>
      <w:r w:rsidR="00205643">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w:t>
      </w:r>
      <w:r w:rsidR="00260D26" w:rsidRPr="00BF3AD2">
        <w:rPr>
          <w:rFonts w:ascii="Arial Narrow" w:eastAsia="Arial Narrow" w:hAnsi="Arial Narrow" w:cs="Arial Narrow"/>
          <w:color w:val="000000"/>
          <w:kern w:val="0"/>
          <w:sz w:val="22"/>
          <w:szCs w:val="22"/>
          <w:lang w:eastAsia="es-ES"/>
          <w14:ligatures w14:val="none"/>
        </w:rPr>
        <w:t>vehículo</w:t>
      </w:r>
      <w:r w:rsidR="00205643">
        <w:rPr>
          <w:rFonts w:ascii="Arial Narrow" w:eastAsia="Arial Narrow" w:hAnsi="Arial Narrow" w:cs="Arial Narrow"/>
          <w:color w:val="000000"/>
          <w:kern w:val="0"/>
          <w:sz w:val="22"/>
          <w:szCs w:val="22"/>
          <w:lang w:eastAsia="es-ES"/>
          <w14:ligatures w14:val="none"/>
        </w:rPr>
        <w:t xml:space="preserve"> asegurado fue robado y reportó el incidente</w:t>
      </w:r>
      <w:r w:rsidR="00260D26" w:rsidRPr="00BF3AD2">
        <w:rPr>
          <w:rFonts w:ascii="Arial Narrow" w:eastAsia="Arial Narrow" w:hAnsi="Arial Narrow" w:cs="Arial Narrow"/>
          <w:color w:val="000000"/>
          <w:kern w:val="0"/>
          <w:sz w:val="22"/>
          <w:szCs w:val="22"/>
          <w:lang w:eastAsia="es-ES"/>
          <w14:ligatures w14:val="none"/>
        </w:rPr>
        <w:t xml:space="preserve"> a Rímac</w:t>
      </w:r>
      <w:r w:rsidR="00E4335B" w:rsidRPr="00BF3AD2">
        <w:rPr>
          <w:rFonts w:ascii="Arial Narrow" w:eastAsia="Arial Narrow" w:hAnsi="Arial Narrow" w:cs="Arial Narrow"/>
          <w:color w:val="000000"/>
          <w:kern w:val="0"/>
          <w:sz w:val="22"/>
          <w:szCs w:val="22"/>
          <w:lang w:eastAsia="es-ES"/>
          <w14:ligatures w14:val="none"/>
        </w:rPr>
        <w:t xml:space="preserve"> y las autoridades correspondientes</w:t>
      </w:r>
      <w:r w:rsidRPr="00BF3AD2">
        <w:rPr>
          <w:rFonts w:ascii="Arial Narrow" w:eastAsia="Arial Narrow" w:hAnsi="Arial Narrow" w:cs="Arial Narrow"/>
          <w:color w:val="000000"/>
          <w:kern w:val="0"/>
          <w:sz w:val="22"/>
          <w:szCs w:val="22"/>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22 de enero de 2025, Rímac </w:t>
      </w:r>
      <w:r w:rsidR="00260D26" w:rsidRPr="00BF3AD2">
        <w:rPr>
          <w:rFonts w:ascii="Arial Narrow" w:eastAsia="Arial Narrow" w:hAnsi="Arial Narrow" w:cs="Arial Narrow"/>
          <w:color w:val="000000"/>
          <w:kern w:val="0"/>
          <w:sz w:val="22"/>
          <w:szCs w:val="22"/>
          <w:lang w:eastAsia="es-ES"/>
          <w14:ligatures w14:val="none"/>
        </w:rPr>
        <w:t xml:space="preserve">le </w:t>
      </w:r>
      <w:r w:rsidRPr="00BF3AD2">
        <w:rPr>
          <w:rFonts w:ascii="Arial Narrow" w:eastAsia="Arial Narrow" w:hAnsi="Arial Narrow" w:cs="Arial Narrow"/>
          <w:color w:val="000000"/>
          <w:kern w:val="0"/>
          <w:sz w:val="22"/>
          <w:szCs w:val="22"/>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Arial Narrow" w:hAnsi="Arial Narrow" w:cs="Arial Narrow"/>
          <w:color w:val="000000"/>
          <w:kern w:val="0"/>
          <w:sz w:val="22"/>
          <w:szCs w:val="22"/>
          <w:lang w:eastAsia="es-ES"/>
          <w14:ligatures w14:val="none"/>
        </w:rPr>
        <w:t xml:space="preserve">; la cual fue una </w:t>
      </w:r>
      <w:r w:rsidRPr="00BF3AD2">
        <w:rPr>
          <w:rFonts w:ascii="Arial Narrow" w:eastAsia="Arial Narrow" w:hAnsi="Arial Narrow" w:cs="Arial Narrow"/>
          <w:color w:val="000000"/>
          <w:kern w:val="0"/>
          <w:sz w:val="22"/>
          <w:szCs w:val="22"/>
          <w:lang w:eastAsia="es-ES"/>
          <w14:ligatures w14:val="none"/>
        </w:rPr>
        <w:t xml:space="preserve">propuesta </w:t>
      </w:r>
      <w:r w:rsidR="00260D26" w:rsidRPr="00BF3AD2">
        <w:rPr>
          <w:rFonts w:ascii="Arial Narrow" w:eastAsia="Arial Narrow" w:hAnsi="Arial Narrow" w:cs="Arial Narrow"/>
          <w:color w:val="000000"/>
          <w:kern w:val="0"/>
          <w:sz w:val="22"/>
          <w:szCs w:val="22"/>
          <w:lang w:eastAsia="es-ES"/>
          <w14:ligatures w14:val="none"/>
        </w:rPr>
        <w:t>que</w:t>
      </w:r>
      <w:r w:rsidRPr="00BF3AD2">
        <w:rPr>
          <w:rFonts w:ascii="Arial Narrow" w:eastAsia="Arial Narrow" w:hAnsi="Arial Narrow" w:cs="Arial Narrow"/>
          <w:color w:val="000000"/>
          <w:kern w:val="0"/>
          <w:sz w:val="22"/>
          <w:szCs w:val="22"/>
          <w:lang w:eastAsia="es-ES"/>
          <w14:ligatures w14:val="none"/>
        </w:rPr>
        <w:t xml:space="preserve"> rechaz</w:t>
      </w:r>
      <w:r w:rsidR="00260D26" w:rsidRPr="00BF3AD2">
        <w:rPr>
          <w:rFonts w:ascii="Arial Narrow" w:eastAsia="Arial Narrow" w:hAnsi="Arial Narrow" w:cs="Arial Narrow"/>
          <w:color w:val="000000"/>
          <w:kern w:val="0"/>
          <w:sz w:val="22"/>
          <w:szCs w:val="22"/>
          <w:lang w:eastAsia="es-ES"/>
          <w14:ligatures w14:val="none"/>
        </w:rPr>
        <w:t>ó</w:t>
      </w:r>
      <w:r w:rsidRPr="00BF3AD2">
        <w:rPr>
          <w:rFonts w:ascii="Arial Narrow" w:eastAsia="Arial Narrow" w:hAnsi="Arial Narrow" w:cs="Arial Narrow"/>
          <w:color w:val="000000"/>
          <w:kern w:val="0"/>
          <w:sz w:val="22"/>
          <w:szCs w:val="22"/>
          <w:lang w:eastAsia="es-ES"/>
          <w14:ligatures w14:val="none"/>
        </w:rPr>
        <w:t>.</w:t>
      </w:r>
    </w:p>
    <w:p w14:paraId="18FD3561"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marzo de 2025, el vehículo fue recuperado por la </w:t>
      </w:r>
      <w:r w:rsidR="009D46F2" w:rsidRPr="00BF3AD2">
        <w:rPr>
          <w:rFonts w:ascii="Arial Narrow" w:eastAsia="Arial Narrow" w:hAnsi="Arial Narrow" w:cs="Arial Narrow"/>
          <w:color w:val="000000"/>
          <w:kern w:val="0"/>
          <w:sz w:val="22"/>
          <w:szCs w:val="22"/>
          <w:lang w:eastAsia="es-ES"/>
          <w14:ligatures w14:val="none"/>
        </w:rPr>
        <w:t xml:space="preserve">Policía Nacional del Perú </w:t>
      </w:r>
      <w:r w:rsidRPr="00BF3AD2">
        <w:rPr>
          <w:rFonts w:ascii="Arial Narrow" w:eastAsia="Arial Narrow" w:hAnsi="Arial Narrow" w:cs="Arial Narrow"/>
          <w:color w:val="000000"/>
          <w:kern w:val="0"/>
          <w:sz w:val="22"/>
          <w:szCs w:val="22"/>
          <w:lang w:eastAsia="es-ES"/>
          <w14:ligatures w14:val="none"/>
        </w:rPr>
        <w:t>y entregado el 2 de abril de 2025, cambiando la condición de robo total a recuperación. Ese mismo día,</w:t>
      </w:r>
      <w:r w:rsidR="009D46F2" w:rsidRPr="00BF3AD2">
        <w:rPr>
          <w:rFonts w:ascii="Arial Narrow" w:eastAsia="Arial Narrow" w:hAnsi="Arial Narrow" w:cs="Arial Narrow"/>
          <w:color w:val="000000"/>
          <w:kern w:val="0"/>
          <w:sz w:val="22"/>
          <w:szCs w:val="22"/>
          <w:lang w:eastAsia="es-ES"/>
          <w14:ligatures w14:val="none"/>
        </w:rPr>
        <w:t xml:space="preserve"> el vehículo asegurado</w:t>
      </w:r>
      <w:r w:rsidRPr="00BF3AD2">
        <w:rPr>
          <w:rFonts w:ascii="Arial Narrow" w:eastAsia="Arial Narrow" w:hAnsi="Arial Narrow" w:cs="Arial Narrow"/>
          <w:color w:val="000000"/>
          <w:kern w:val="0"/>
          <w:sz w:val="22"/>
          <w:szCs w:val="22"/>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julio de 2025, el taller presentó una cotización por S/ 38 191,00, </w:t>
      </w:r>
      <w:r w:rsidR="009D46F2" w:rsidRPr="00BF3AD2">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cual Rímac declaró nuevamente pérdida total</w:t>
      </w:r>
      <w:r w:rsidR="009D46F2" w:rsidRPr="00BF3AD2">
        <w:rPr>
          <w:rFonts w:ascii="Arial Narrow" w:eastAsia="Arial Narrow" w:hAnsi="Arial Narrow" w:cs="Arial Narrow"/>
          <w:color w:val="000000"/>
          <w:kern w:val="0"/>
          <w:sz w:val="22"/>
          <w:szCs w:val="22"/>
          <w:lang w:eastAsia="es-ES"/>
          <w14:ligatures w14:val="none"/>
        </w:rPr>
        <w:t xml:space="preserve"> del vehículo asegurado</w:t>
      </w:r>
      <w:r w:rsidRPr="00BF3AD2">
        <w:rPr>
          <w:rFonts w:ascii="Arial Narrow" w:eastAsia="Arial Narrow" w:hAnsi="Arial Narrow" w:cs="Arial Narrow"/>
          <w:color w:val="000000"/>
          <w:kern w:val="0"/>
          <w:sz w:val="22"/>
          <w:szCs w:val="22"/>
          <w:lang w:eastAsia="es-ES"/>
          <w14:ligatures w14:val="none"/>
        </w:rPr>
        <w:t>.</w:t>
      </w:r>
    </w:p>
    <w:p w14:paraId="0A243265"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5059">
        <w:rPr>
          <w:rFonts w:ascii="Arial Narrow" w:eastAsia="Arial Narrow" w:hAnsi="Arial Narrow" w:cs="Arial Narrow"/>
          <w:kern w:val="0"/>
          <w14:ligatures w14:val="none"/>
          <w:sz w:val="22"/>
          <w:szCs w:val="22"/>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E0E0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sz w:val="22"/>
          <w:szCs w:val="22"/>
          <w:vertAlign w:val="superscript"/>
          <w14:ligatures w14:val="none"/>
        </w:rPr>
        <w:footnoteReference w:id="2"/>
      </w:r>
      <w:r w:rsidRPr="00DE0E0D">
        <w:rPr>
          <w:rFonts w:ascii="Arial Narrow" w:eastAsia="Arial Narrow" w:hAnsi="Arial Narrow" w:cs="Arial Narrow"/>
          <w:color w:val="000000"/>
          <w:kern w:val="0"/>
          <w:sz w:val="22"/>
          <w:szCs w:val="22"/>
          <w:lang w:eastAsia="es-PE"/>
          <w14:ligatures w14:val="none"/>
        </w:rPr>
        <w:t xml:space="preserve">, </w:t>
      </w:r>
      <w:r w:rsidR="00121544" w:rsidRPr="00DE0E0D">
        <w:rPr>
          <w:rFonts w:ascii="Arial Narrow" w:eastAsia="Arial Narrow" w:hAnsi="Arial Narrow" w:cs="Arial Narrow"/>
          <w:color w:val="000000"/>
          <w:kern w:val="0"/>
          <w:sz w:val="22"/>
          <w:szCs w:val="22"/>
          <w:lang w:eastAsia="es-PE"/>
          <w14:ligatures w14:val="none"/>
        </w:rPr>
        <w:t xml:space="preserve">considera </w:t>
      </w:r>
      <w:r w:rsidR="00121544" w:rsidRPr="00DE0E0D">
        <w:rPr>
          <w:rFonts w:ascii="Arial Narrow" w:eastAsia="Arial Narrow" w:hAnsi="Arial Narrow" w:cs="Arial Narrow"/>
          <w:kern w:val="0"/>
          <w14:ligatures w14:val="none"/>
          <w:sz w:val="22"/>
          <w:szCs w:val="22"/>
        </w:rPr>
        <w:t xml:space="preserve">que el hecho denunciado, consistente en que </w:t>
      </w:r>
      <w:r w:rsidR="007657BB" w:rsidRPr="007657BB">
        <w:rPr>
          <w:rFonts w:ascii="Arial Narrow" w:eastAsia="Arial Narrow" w:hAnsi="Arial Narrow" w:cs="Arial Narrow"/>
          <w:kern w:val="0"/>
          <w:sz w:val="22"/>
          <w:szCs w:val="22"/>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y 19</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del Código</w:t>
      </w:r>
      <w:r w:rsidR="00711750" w:rsidRPr="00DE0E0D">
        <w:rPr>
          <w:rStyle w:val="Refdenotaalpie"/>
          <w:rFonts w:ascii="Arial Narrow" w:eastAsia="Arial Narrow" w:hAnsi="Arial Narrow" w:cs="Arial Narrow"/>
          <w:kern w:val="0"/>
          <w:sz w:val="22"/>
          <w:szCs w:val="22"/>
          <w:vertAlign w:val="superscript"/>
          <w14:ligatures w14:val="none"/>
        </w:rPr>
        <w:footnoteReference w:id="3"/>
      </w:r>
      <w:r w:rsidR="00711750" w:rsidRPr="00DE0E0D">
        <w:rPr>
          <w:rFonts w:ascii="Arial Narrow" w:eastAsia="Arial Narrow" w:hAnsi="Arial Narrow" w:cs="Arial Narrow"/>
          <w:kern w:val="0"/>
          <w14:ligatures w14:val="none"/>
          <w:sz w:val="22"/>
          <w:szCs w:val="22"/>
        </w:rPr>
        <w:t>.</w:t>
      </w:r>
    </w:p>
    <w:p w14:paraId="01834AA8" w14:textId="77777777" w:rsidR="00234887" w:rsidRPr="00DE0E0D" w:rsidRDefault="00234887" w:rsidP="00F95A1B">
      <w:pPr>
        <w:pStyle w:val="Prrafodelista"/>
        <w:spacing w:line="240" w:lineRule="auto"/>
        <w:rPr>
          <w:rFonts w:ascii="Arial Narrow" w:eastAsia="Arial Narrow" w:hAnsi="Arial Narrow" w:cs="Arial Narrow"/>
          <w:color w:val="000000"/>
          <w:kern w:val="0"/>
          <w:sz w:val="22"/>
          <w:szCs w:val="22"/>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E0E0D">
        <w:rPr>
          <w:rStyle w:val="Refdenotaalpie"/>
          <w:rFonts w:ascii="Arial Narrow" w:eastAsia="Arial Narrow" w:hAnsi="Arial Narrow" w:cs="Arial Narrow"/>
          <w:sz w:val="22"/>
          <w:szCs w:val="22"/>
          <w:vertAlign w:val="superscript"/>
        </w:rPr>
        <w:footnoteReference w:id="4"/>
      </w:r>
      <w:r w:rsidRPr="00DE0E0D">
        <w:rPr>
          <w:rFonts w:ascii="Arial Narrow" w:eastAsia="Arial Narrow" w:hAnsi="Arial Narrow" w:cs="Arial Narrow"/>
          <w:color w:val="000000"/>
          <w:kern w:val="0"/>
          <w:sz w:val="22"/>
          <w:szCs w:val="22"/>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0E0D">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en ejercicio de las facultades que la ley le confiere, convien</w:t>
      </w:r>
      <w:r w:rsidRPr="00715405">
        <w:rPr>
          <w:rFonts w:ascii="Arial Narrow" w:eastAsia="Arial Narrow" w:hAnsi="Arial Narrow" w:cs="Arial Narrow"/>
          <w:color w:val="000000"/>
          <w:kern w:val="0"/>
          <w:sz w:val="22"/>
          <w:szCs w:val="22"/>
          <w:lang w:val="es-ES" w:eastAsia="es-ES"/>
          <w14:ligatures w14:val="none"/>
        </w:rPr>
        <w:t xml:space="preserve">e requerir </w:t>
      </w:r>
      <w:r w:rsidR="00715405" w:rsidRPr="00715405">
        <w:rPr>
          <w:rFonts w:ascii="Arial Narrow" w:eastAsia="Arial Narrow" w:hAnsi="Arial Narrow" w:cs="Arial Narrow"/>
          <w:color w:val="000000"/>
          <w:kern w:val="0"/>
          <w:sz w:val="22"/>
          <w:szCs w:val="22"/>
          <w:lang w:val="es-ES" w:eastAsia="es-ES"/>
          <w14:ligatures w14:val="none"/>
        </w:rPr>
        <w:t xml:space="preserve">a la </w:t>
      </w:r>
      <w:r w:rsidR="00715405" w:rsidRPr="00715405">
        <w:rPr>
          <w:rFonts w:ascii="Arial Narrow" w:eastAsia="Arial Narrow" w:hAnsi="Arial Narrow" w:cs="Arial Narrow"/>
          <w:color w:val="000000"/>
          <w:kern w:val="0"/>
          <w:sz w:val="22"/>
          <w:szCs w:val="22"/>
          <w:lang w:val="es-ES" w:eastAsia="es-ES"/>
          <w14:ligatures w14:val="none"/>
        </w:rPr>
        <w:lastRenderedPageBreak/>
        <w:t>compañía aseguradora</w:t>
      </w:r>
      <w:r w:rsidRPr="0071540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w:t>
      </w:r>
      <w:r w:rsidRPr="00EB255D">
        <w:rPr>
          <w:rFonts w:ascii="Arial Narrow" w:eastAsia="Arial Narrow" w:hAnsi="Arial Narrow" w:cs="Arial Narrow"/>
          <w:color w:val="000000"/>
          <w:kern w:val="0"/>
          <w:sz w:val="22"/>
          <w:szCs w:val="22"/>
          <w:lang w:val="es-ES" w:eastAsia="es-ES"/>
          <w14:ligatures w14:val="none"/>
        </w:rPr>
        <w:t xml:space="preserve">pla con lo siguiente: </w:t>
      </w:r>
      <w:r w:rsidR="00F74683" w:rsidRPr="00F7468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3D761B85" w:rsidR="00121544" w:rsidRPr="00D60C6D" w:rsidRDefault="00CA59A2" w:rsidP="00D60C6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6A42" w:rsidRPr="00F96A42">
        <w:rPr>
          <w:rFonts w:ascii="Arial Narrow" w:eastAsia="Arial Narrow" w:hAnsi="Arial Narrow" w:cs="Arial Narrow"/>
          <w:color w:val="000000"/>
          <w:kern w:val="0"/>
          <w:sz w:val="22"/>
          <w:szCs w:val="22"/>
          <w:shd w:val="clear" w:color="auto" w:fill="FFFFFF"/>
          <w:lang w:eastAsia="es-PE"/>
          <w14:ligatures w14:val="none"/>
        </w:rPr>
        <w:t/>
      </w:r>
      <w:r w:rsidR="00F96A4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15405">
        <w:rPr>
          <w:rFonts w:ascii="Arial Narrow" w:eastAsia="Arial Narrow" w:hAnsi="Arial Narrow" w:cs="Arial Narrow"/>
          <w:color w:val="000000"/>
          <w:kern w:val="0"/>
          <w:sz w:val="22"/>
          <w:szCs w:val="22"/>
          <w:shd w:val="clear" w:color="auto" w:fill="FFFFFF"/>
          <w:lang w:eastAsia="es-PE"/>
          <w14:ligatures w14:val="none"/>
        </w:rPr>
        <w:t/>
      </w:r>
      <w:r w:rsidR="00D60C6D">
        <w:rPr>
          <w:rFonts w:ascii="Arial Narrow" w:eastAsia="Arial Narrow" w:hAnsi="Arial Narrow" w:cs="Arial Narrow"/>
          <w:color w:val="000000"/>
          <w:kern w:val="0"/>
          <w:sz w:val="22"/>
          <w:szCs w:val="22"/>
          <w:shd w:val="clear" w:color="auto" w:fill="FFFFFF"/>
          <w:lang w:eastAsia="es-PE"/>
          <w14:ligatures w14:val="none"/>
        </w:rPr>
        <w:t/>
      </w:r>
      <w:r w:rsidR="00711750" w:rsidRPr="00D60C6D">
        <w:rPr>
          <w:rFonts w:ascii="Arial Narrow" w:eastAsia="Arial Narrow" w:hAnsi="Arial Narrow" w:cs="Arial Narrow"/>
          <w:color w:val="000000"/>
          <w:kern w:val="0"/>
          <w:sz w:val="22"/>
          <w:szCs w:val="22"/>
          <w:lang w:eastAsia="es-PE"/>
          <w14:ligatures w14:val="none"/>
        </w:rPr>
        <w:t/>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711750" w:rsidRPr="00D60C6D">
        <w:rPr>
          <w:rFonts w:ascii="Arial Narrow" w:eastAsia="Arial Narrow" w:hAnsi="Arial Narrow" w:cs="Arial Narrow"/>
          <w:kern w:val="0"/>
          <w:sz w:val="22"/>
          <w:szCs w:val="22"/>
          <w:lang w:eastAsia="es-PE"/>
          <w14:ligatures w14:val="none"/>
        </w:rPr>
        <w:t xml:space="preserve"/>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205643" w:rsidRPr="00D60C6D">
        <w:rPr>
          <w:rFonts w:ascii="Arial Narrow" w:eastAsia="Arial Narrow" w:hAnsi="Arial Narrow" w:cs="Arial Narrow"/>
          <w:kern w:val="0"/>
          <w:sz w:val="22"/>
          <w:szCs w:val="22"/>
          <w:shd w:val="clear" w:color="auto" w:fill="FFFFFF"/>
          <w:lang w:eastAsia="es-PE"/>
          <w14:ligatures w14:val="none"/>
        </w:rPr>
        <w:t/>
      </w:r>
      <w:r w:rsidR="00467775" w:rsidRPr="00D60C6D">
        <w:rPr>
          <w:rFonts w:ascii="Arial Narrow" w:eastAsia="Arial Narrow" w:hAnsi="Arial Narrow" w:cs="Arial Narrow"/>
          <w:kern w:val="0"/>
          <w14:ligatures w14:val="none"/>
          <w:sz w:val="22"/>
          <w:szCs w:val="22"/>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color w:val="000000"/>
          <w:kern w:val="0"/>
          <w:sz w:val="22"/>
          <w:szCs w:val="22"/>
          <w:lang w:eastAsia="es-ES"/>
          <w14:ligatures w14:val="none"/>
        </w:rPr>
        <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sz w:val="22"/>
          <w:szCs w:val="22"/>
        </w:rPr>
      </w:pPr>
    </w:p>
    <w:p w14:paraId="0A292C9F" w14:textId="18D4A426" w:rsidR="00CA59A2" w:rsidRPr="00DE0E0D" w:rsidRDefault="00CA59A2" w:rsidP="00F95A1B">
      <w:pPr>
        <w:spacing w:line="240" w:lineRule="auto"/>
        <w:contextualSpacing/>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b/>
          <w:color w:val="000000"/>
          <w:kern w:val="0"/>
          <w:sz w:val="22"/>
          <w:szCs w:val="22"/>
          <w:lang w:eastAsia="es-PE"/>
          <w14:ligatures w14:val="none"/>
        </w:rPr>
        <w:t>SEGUNDO:</w:t>
      </w:r>
      <w:r w:rsidRPr="00DE0E0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0E0D">
        <w:rPr>
          <w:rFonts w:ascii="Arial Narrow" w:eastAsia="Arial Narrow" w:hAnsi="Arial Narrow" w:cs="Arial Narrow"/>
          <w:color w:val="000000"/>
          <w:kern w:val="0"/>
          <w:sz w:val="22"/>
          <w:szCs w:val="22"/>
          <w:lang w:val="es-ES" w:eastAsia="es-ES"/>
          <w14:ligatures w14:val="none"/>
        </w:rPr>
        <w:t xml:space="preserve">del </w:t>
      </w:r>
      <w:r w:rsidR="00F96A42" w:rsidRPr="00DE0E0D">
        <w:rPr>
          <w:rFonts w:ascii="Arial Narrow" w:eastAsia="Arial Narrow" w:hAnsi="Arial Narrow" w:cs="Arial Narrow"/>
          <w:color w:val="000000"/>
          <w:kern w:val="0"/>
          <w:sz w:val="22"/>
          <w:szCs w:val="22"/>
          <w:lang w:val="es-ES" w:eastAsia="es-ES"/>
          <w14:ligatures w14:val="none"/>
        </w:rPr>
        <w:t>12 de agosto de 2025</w:t>
      </w:r>
      <w:r w:rsidRPr="00DE0E0D">
        <w:rPr>
          <w:rFonts w:ascii="Arial Narrow" w:eastAsia="Arial Narrow" w:hAnsi="Arial Narrow" w:cs="Arial Narrow"/>
          <w:kern w:val="0"/>
          <w14:ligatures w14:val="none"/>
          <w:sz w:val="22"/>
          <w:szCs w:val="22"/>
        </w:rPr>
        <w:t>.</w:t>
      </w:r>
    </w:p>
    <w:p w14:paraId="68A17E97" w14:textId="77777777" w:rsidR="00CA59A2" w:rsidRPr="00DE0E0D" w:rsidRDefault="00CA59A2" w:rsidP="00F95A1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 xml:space="preserve">TERCERO:</w:t>
      </w:r>
      <w:r w:rsidRPr="00DE0E0D">
        <w:rPr>
          <w:rFonts w:ascii="Arial Narrow" w:eastAsia="Arial Narrow" w:hAnsi="Arial Narrow" w:cs="Arial Narrow"/>
          <w:color w:val="000000"/>
          <w:kern w:val="0"/>
          <w:sz w:val="22"/>
          <w:szCs w:val="22"/>
          <w:lang w:eastAsia="es-PE"/>
          <w14:ligatures w14:val="none"/>
        </w:rPr>
        <w:t xml:space="preserve"> </w:t>
      </w:r>
      <w:r w:rsidRPr="00DE0E0D">
        <w:rPr>
          <w:rFonts w:ascii="Arial Narrow" w:eastAsia="Arial Narrow" w:hAnsi="Arial Narrow" w:cs="Arial Narrow"/>
          <w:color w:val="000000"/>
          <w:kern w:val="0"/>
          <w:sz w:val="22"/>
          <w:szCs w:val="22"/>
          <w:lang w:eastAsia="es-PE"/>
          <w14:ligatures w14:val="none"/>
        </w:rPr>
        <w:t>requerir a Rímac Seguros</w:t>
      </w:r>
      <w:r w:rsidRPr="00304237">
        <w:rPr>
          <w:rFonts w:ascii="Arial Narrow" w:eastAsia="Arial Narrow" w:hAnsi="Arial Narrow" w:cs="Arial Narrow"/>
          <w:color w:val="000000"/>
          <w:kern w:val="0"/>
          <w:sz w:val="22"/>
          <w:szCs w:val="22"/>
          <w:lang w:eastAsia="es-PE"/>
          <w14:ligatures w14:val="none"/>
        </w:rPr>
        <w:t xml:space="preserve">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B59180F" w:rsidR="00CA59A2" w:rsidRPr="0026598E"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B255D" w:rsidRPr="00EB255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EBD697" w:rsidR="00CA59A2" w:rsidRPr="00A67ADF" w:rsidRDefault="00CA59A2" w:rsidP="00F95A1B">
      <w:pPr>
        <w:suppressAutoHyphens/>
        <w:spacing w:after="0" w:line="240" w:lineRule="auto"/>
        <w:jc w:val="both"/>
        <w:rPr>
          <w:rFonts w:ascii="Arial Narrow" w:eastAsia="Arial Narrow" w:hAnsi="Arial Narrow" w:cs="Arial Narrow"/>
          <w:sz w:val="22"/>
          <w:szCs w:val="22"/>
        </w:rPr>
      </w:pPr>
      <w:r w:rsidRPr="00715405">
        <w:rPr>
          <w:rFonts w:ascii="Arial Narrow" w:eastAsia="Arial Narrow" w:hAnsi="Arial Narrow" w:cs="Arial Narrow"/>
          <w:b/>
          <w:bCs/>
          <w:sz w:val="22"/>
          <w:szCs w:val="22"/>
        </w:rPr>
        <w:t xml:space="preserve">DÉCIMO:</w:t>
      </w:r>
      <w:r w:rsidRPr="00715405">
        <w:rPr>
          <w:rFonts w:ascii="Arial Narrow" w:eastAsia="Arial Narrow" w:hAnsi="Arial Narrow" w:cs="Arial Narrow"/>
          <w:sz w:val="22"/>
          <w:szCs w:val="22"/>
        </w:rPr>
        <w:t xml:space="preserve"> </w:t>
      </w:r>
      <w:r w:rsidRPr="00715405">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5405">
        <w:rPr>
          <w:rFonts w:ascii="Arial Narrow" w:eastAsia="Arial Narrow" w:hAnsi="Arial Narrow" w:cs="Arial Narrow"/>
          <w:spacing w:val="-3"/>
          <w:kern w:val="0"/>
          <w14:ligatures w14:val="none"/>
          <w:sz w:val="22"/>
          <w:szCs w:val="22"/>
        </w:rPr>
        <w:t/>
      </w:r>
      <w:r w:rsidRPr="00715405">
        <w:rPr>
          <w:rFonts w:ascii="Arial Narrow" w:eastAsia="Arial Narrow" w:hAnsi="Arial Narrow" w:cs="Arial Narrow"/>
          <w:spacing w:val="-3"/>
          <w:kern w:val="0"/>
          <w14:ligatures w14:val="none"/>
          <w:sz w:val="22"/>
          <w:szCs w:val="22"/>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304237">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5405">
        <w:rPr>
          <w:rFonts w:ascii="Arial Narrow" w:eastAsia="Arial Narrow" w:hAnsi="Arial Narrow" w:cs="Arial Narrow"/>
          <w:color w:val="000000"/>
          <w:sz w:val="22"/>
          <w:szCs w:val="22"/>
        </w:rPr>
        <w:t/>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kern w:val="0"/>
          <w:sz w:val="22"/>
          <w:szCs w:val="22"/>
          <w:lang w:eastAsia="es-PE"/>
          <w14:ligatures w14:val="none"/>
        </w:rPr>
        <w:t/>
      </w:r>
      <w:r w:rsidRPr="007154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95A1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F95A1B">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95A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F95A1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t>Publicado</w:t>
      </w:r>
      <w:r w:rsidRPr="00C44439">
        <w:rPr>
          <w:rFonts w:ascii="Arial Narrow" w:eastAsia="Arial Narrow" w:hAnsi="Arial Narrow" w:cs="Arial Narrow"/>
          <w:b/>
          <w:sz w:val="16"/>
          <w:szCs w:val="16"/>
        </w:rPr>
        <w:t xml:space="preserve"> </w:t>
      </w:r>
      <w:r w:rsidRPr="00C444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ab/>
        <w:t>Artículo 27.-</w:t>
      </w:r>
      <w:r w:rsidRPr="00C44439">
        <w:rPr>
          <w:rFonts w:ascii="Arial Narrow" w:eastAsia="Arial Narrow" w:hAnsi="Arial Narrow" w:cs="Arial Narrow"/>
          <w:sz w:val="16"/>
          <w:szCs w:val="16"/>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LEY SOBRE FACULTADES, NORMAS Y ORGANIZACIÓN DEL INDECOPI, APROBADA POR DECRETO LEGISLATIVO 807 Artículo 24.-</w:t>
      </w:r>
      <w:r w:rsidRPr="00C444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vertAlign w:val="superscript"/>
        </w:rPr>
        <w:tab/>
        <w:t xml:space="preserve"/>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110.- Sanciones administrativas</w:t>
      </w:r>
    </w:p>
    <w:p w14:paraId="15C6524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r>
      <w:r w:rsidRPr="00C44439">
        <w:rPr>
          <w:rFonts w:ascii="Arial Narrow" w:eastAsia="Arial Narrow" w:hAnsi="Arial Narrow" w:cs="Arial Narrow"/>
          <w:b/>
          <w:sz w:val="16"/>
          <w:szCs w:val="16"/>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b/>
          <w:sz w:val="16"/>
          <w:szCs w:val="16"/>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4439" w:rsidRDefault="00CA59A2" w:rsidP="00CA59A2">
      <w:pPr>
        <w:spacing w:after="0" w:line="240" w:lineRule="auto"/>
        <w:ind w:left="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443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b/>
          <w:bCs/>
          <w:sz w:val="16"/>
          <w:szCs w:val="16"/>
          <w:vertAlign w:val="superscript"/>
        </w:rPr>
        <w:footnoteRef/>
      </w:r>
      <w:r w:rsidRPr="00C44439">
        <w:rPr>
          <w:rFonts w:ascii="Arial Narrow" w:eastAsia="Arial Narrow" w:hAnsi="Arial Narrow" w:cs="Arial Narrow"/>
          <w:b/>
          <w:bCs/>
          <w:sz w:val="16"/>
          <w:szCs w:val="16"/>
        </w:rPr>
        <w:tab/>
        <w:t xml:space="preserve"/>
      </w:r>
      <w:r w:rsidRPr="00C4443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eastAsia="Arial Narrow" w:hAnsi="Arial Narrow" w:cs="Arial Narrow"/>
          <w:bCs/>
          <w:sz w:val="16"/>
          <w:szCs w:val="16"/>
        </w:rPr>
      </w:pPr>
      <w:r w:rsidRPr="00C44439">
        <w:rPr>
          <w:rFonts w:ascii="Arial Narrow" w:eastAsia="Arial Narrow" w:hAnsi="Arial Narrow" w:cs="Arial Narrow"/>
          <w:b/>
          <w:sz w:val="16"/>
          <w:szCs w:val="16"/>
        </w:rPr>
        <w:t xml:space="preserve">Artículo 29.- </w:t>
      </w:r>
      <w:r w:rsidRPr="00C444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ab/>
        <w:t xml:space="preserve"/>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20.- Modalidades de notificación</w:t>
      </w:r>
    </w:p>
    <w:p w14:paraId="23580398" w14:textId="77777777" w:rsidR="00CA59A2" w:rsidRPr="00C44439" w:rsidRDefault="00CA59A2" w:rsidP="00CA59A2">
      <w:pPr>
        <w:pStyle w:val="Textonotapie"/>
        <w:ind w:left="1134"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20.4. </w:t>
      </w:r>
      <w:r w:rsidRPr="00C4443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