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66B2E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2BB8" w:rsidRPr="004A2BB8">
        <w:rPr>
          <w:rFonts w:ascii="Arial Narrow" w:eastAsia="Arial Narrow" w:hAnsi="Arial Narrow" w:cs="Arial Narrow"/>
          <w:b/>
          <w:bCs/>
          <w:color w:val="000000"/>
          <w:kern w:val="0"/>
          <w:sz w:val="22"/>
          <w:szCs w:val="22"/>
          <w:shd w:val="clear" w:color="auto" w:fill="FFFFFF"/>
          <w:lang w:eastAsia="es-PE"/>
          <w14:ligatures w14:val="none"/>
        </w:rPr>
        <w:t>1889-2025</w:t>
      </w:r>
      <w:r w:rsidRPr="004A2BB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F41D1" w:rsidRPr="00DF41D1">
        <w:rPr>
          <w:rFonts w:ascii="Arial Narrow" w:eastAsia="Arial Narrow" w:hAnsi="Arial Narrow" w:cs="Arial Narrow"/>
          <w:b/>
          <w:color w:val="000000"/>
          <w:kern w:val="0"/>
          <w:sz w:val="22"/>
          <w:szCs w:val="22"/>
          <w:lang w:eastAsia="es-PE"/>
          <w14:ligatures w14:val="none"/>
        </w:rPr>
        <w:t>PACÍFICO COMPAÑÍA DE SEGUROS Y REASEGUROS S.A</w:t>
      </w:r>
      <w:r w:rsidR="00DF41D1" w:rsidRPr="008D14DF">
        <w:rPr>
          <w:rFonts w:ascii="Arial Narrow" w:eastAsia="Arial Narrow" w:hAnsi="Arial Narrow" w:cs="Arial Narrow"/>
          <w:b/>
          <w:color w:val="000000"/>
          <w:kern w:val="0"/>
          <w:sz w:val="22"/>
          <w:szCs w:val="22"/>
          <w:lang w:eastAsia="es-PE"/>
          <w14:ligatures w14:val="none"/>
        </w:rPr>
        <w:t xml:space="preserve">. </w:t>
      </w:r>
      <w:r w:rsidRPr="008D14DF">
        <w:rPr>
          <w:rFonts w:ascii="Arial Narrow" w:eastAsia="Arial Narrow" w:hAnsi="Arial Narrow" w:cs="Arial Narrow"/>
          <w:b/>
          <w:color w:val="000000"/>
          <w:kern w:val="0"/>
          <w:sz w:val="22"/>
          <w:szCs w:val="22"/>
          <w:lang w:eastAsia="es-PE"/>
          <w14:ligatures w14:val="none"/>
        </w:rPr>
        <w:t>(</w:t>
      </w:r>
      <w:r w:rsidR="00DF41D1" w:rsidRPr="008D14DF">
        <w:rPr>
          <w:rFonts w:ascii="Arial Narrow" w:eastAsia="Arial Narrow" w:hAnsi="Arial Narrow" w:cs="Arial Narrow"/>
          <w:b/>
          <w:color w:val="000000"/>
          <w:kern w:val="0"/>
          <w:sz w:val="22"/>
          <w:szCs w:val="22"/>
          <w:lang w:eastAsia="es-PE"/>
          <w14:ligatures w14:val="none"/>
        </w:rPr>
        <w:t>PACÍFICO</w:t>
      </w:r>
      <w:r w:rsidRPr="008D14D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F41D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913890"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D14DF">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14D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F5BD6A8"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14DF">
        <w:rPr>
          <w:rFonts w:ascii="Arial Narrow" w:eastAsia="Arial Narrow" w:hAnsi="Arial Narrow" w:cs="Arial Narrow"/>
          <w:color w:val="000000"/>
          <w:kern w:val="0"/>
          <w:sz w:val="22"/>
          <w:szCs w:val="22"/>
          <w:lang w:val="es-ES" w:eastAsia="es-ES"/>
          <w14:ligatures w14:val="none"/>
        </w:rPr>
        <w:t xml:space="preserve">Mediante el escrito del 5 de junio de 2025, subsanada mediante escrito del 8 de julio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14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14DF" w:rsidRPr="008D14DF">
        <w:rPr>
          <w:rFonts w:ascii="Arial Narrow" w:eastAsia="Arial Narrow" w:hAnsi="Arial Narrow" w:cs="Arial Narrow"/>
          <w:color w:val="000000"/>
          <w:kern w:val="0"/>
          <w:sz w:val="22"/>
          <w:szCs w:val="22"/>
          <w:lang w:val="es-ES" w:eastAsia="es-ES"/>
          <w14:ligatures w14:val="none"/>
        </w:rPr>
        <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D14DF">
        <w:rPr>
          <w:rFonts w:ascii="Arial Narrow" w:eastAsia="Arial Narrow" w:hAnsi="Arial Narrow" w:cs="Arial Narrow"/>
          <w:color w:val="000000"/>
          <w:kern w:val="0"/>
          <w:sz w:val="22"/>
          <w:szCs w:val="22"/>
          <w:lang w:val="es-ES" w:eastAsia="es-ES"/>
          <w14:ligatures w14:val="none"/>
        </w:rPr>
        <w:t xml:space="preserve"/>
      </w:r>
      <w:r w:rsidR="008D14DF" w:rsidRPr="008D14DF">
        <w:rPr>
          <w:rFonts w:ascii="Arial Narrow" w:eastAsia="Arial Narrow" w:hAnsi="Arial Narrow" w:cs="Arial Narrow"/>
          <w:color w:val="000000"/>
          <w:kern w:val="0"/>
          <w:sz w:val="22"/>
          <w:szCs w:val="22"/>
          <w:lang w:val="es-ES" w:eastAsia="es-ES"/>
          <w14:ligatures w14:val="none"/>
        </w:rPr>
        <w:t xml:space="preserve"/>
      </w:r>
      <w:r w:rsidR="00996DC2" w:rsidRPr="008D14DF">
        <w:rPr>
          <w:rFonts w:ascii="Arial Narrow" w:eastAsia="Arial Narrow" w:hAnsi="Arial Narrow" w:cs="Arial Narrow"/>
          <w:color w:val="000000"/>
          <w:kern w:val="0"/>
          <w:sz w:val="22"/>
          <w:szCs w:val="22"/>
          <w:lang w:val="es-ES" w:eastAsia="es-ES"/>
          <w14:ligatures w14:val="none"/>
        </w:rPr>
        <w:t/>
      </w:r>
      <w:r w:rsidR="00996DC2"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kern w:val="0"/>
          <w14:ligatures w14:val="none"/>
          <w:sz w:val="22"/>
          <w:szCs w:val="22"/>
        </w:rPr>
        <w:t xml:space="preserve"/>
      </w:r>
      <w:r w:rsidR="008D14DF"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kern w:val="0"/>
          <w14:ligatures w14:val="none"/>
          <w:sz w:val="22"/>
          <w:szCs w:val="22"/>
        </w:rPr>
        <w:t xml:space="preserve"/>
      </w:r>
      <w:r w:rsidR="008D14DF" w:rsidRPr="008D14DF">
        <w:rPr>
          <w:rFonts w:ascii="Arial Narrow" w:eastAsia="Arial Narrow" w:hAnsi="Arial Narrow" w:cs="Arial Narrow"/>
          <w:kern w:val="0"/>
          <w14:ligatures w14:val="none"/>
          <w:sz w:val="22"/>
          <w:szCs w:val="22"/>
        </w:rPr>
        <w:t xml:space="preserve"/>
      </w:r>
      <w:r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color w:val="000000"/>
          <w:kern w:val="0"/>
          <w:sz w:val="22"/>
          <w:szCs w:val="22"/>
          <w:lang w:val="es-ES" w:eastAsia="es-ES"/>
          <w14:ligatures w14:val="none"/>
        </w:rPr>
        <w:t xml:space="preserve"/>
      </w:r>
      <w:r w:rsidR="008D14DF" w:rsidRPr="008D14DF">
        <w:rPr>
          <w:rFonts w:ascii="Arial Narrow" w:eastAsia="Arial Narrow" w:hAnsi="Arial Narrow" w:cs="Arial Narrow"/>
          <w:color w:val="000000"/>
          <w:kern w:val="0"/>
          <w:sz w:val="22"/>
          <w:szCs w:val="22"/>
          <w:lang w:val="es-ES" w:eastAsia="es-ES"/>
          <w14:ligatures w14:val="none"/>
        </w:rPr>
        <w:t xml:space="preserve"/>
      </w:r>
      <w:r w:rsidRPr="008D14D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0ED45AC" w14: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Con anterioridad al 4 de abril de 2023, su empleador contrató a su favor el Seguro Vida Ley – Póliza 85099 </w:t>
      </w:r>
      <w:r>
        <w:rPr>
          <w:rFonts w:ascii="Arial Narrow" w:eastAsia="Arial Narrow" w:hAnsi="Arial Narrow" w:cs="Arial Narrow"/>
          <w:color w:val="000000"/>
          <w:kern w:val="0"/>
          <w:sz w:val="22"/>
          <w:szCs w:val="22"/>
          <w:lang w:eastAsia="es-ES"/>
          <w14:ligatures w14:val="none"/>
        </w:rPr>
        <w:t xml:space="preserve">emitido por Pacífico </w:t>
      </w:r>
      <w:r w:rsidRPr="00E97826">
        <w:rPr>
          <w:rFonts w:ascii="Arial Narrow" w:eastAsia="Arial Narrow" w:hAnsi="Arial Narrow" w:cs="Arial Narrow"/>
          <w:color w:val="000000"/>
          <w:kern w:val="0"/>
          <w:sz w:val="22"/>
          <w:szCs w:val="22"/>
          <w:lang w:eastAsia="es-ES"/>
          <w14:ligatures w14:val="none"/>
        </w:rPr>
        <w:t>(en adelante, “Seguro Vida Ley”) con cobertura por invalidez total y permanente</w:t>
      </w:r>
      <w:r>
        <w:rPr>
          <w:rFonts w:ascii="Arial Narrow" w:eastAsia="Arial Narrow" w:hAnsi="Arial Narrow" w:cs="Arial Narrow"/>
          <w:color w:val="000000"/>
          <w:kern w:val="0"/>
          <w:sz w:val="22"/>
          <w:szCs w:val="22"/>
          <w:lang w:eastAsia="es-ES"/>
          <w14:ligatures w14:val="none"/>
        </w:rPr>
        <w:t>.</w:t>
      </w:r>
    </w:p>
    <w:p w14:paraId="720E345B" w14:textId="77777777" w:rsidR="00D04D02" w:rsidRPr="00E97826" w:rsidRDefault="00D04D02" w:rsidP="00D04D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996B84A"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w14:paraId="799185DF" w14:textId="77777777" w:rsidR="00E97826" w:rsidRPr="00E97826" w:rsidRDefault="00E97826" w:rsidP="00E97826">
      <w:pPr>
        <w:spacing w:after="0" w:line="240" w:lineRule="auto"/>
        <w:jc w:val="both"/>
        <w:rPr>
          <w:rFonts w:ascii="Arial Narrow" w:eastAsia="Arial Narrow" w:hAnsi="Arial Narrow" w:cs="Arial Narrow"/>
          <w:color w:val="000000"/>
          <w:kern w:val="0"/>
          <w:sz w:val="22"/>
          <w:szCs w:val="22"/>
          <w:lang w:eastAsia="es-ES"/>
          <w14:ligatures w14:val="none"/>
        </w:rPr>
      </w:pPr>
    </w:p>
    <w:p w14:paraId="5EC9AD14" w14: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Desde el 4 de abril de 2023 hasta el 4 de mayo de 2023, permaneció internado en la Unidad de Cuidados Intensivos</w:t>
      </w:r>
      <w:r w:rsidR="00D04D02">
        <w:rPr>
          <w:rFonts w:ascii="Arial Narrow" w:eastAsia="Arial Narrow" w:hAnsi="Arial Narrow" w:cs="Arial Narrow"/>
          <w:color w:val="000000"/>
          <w:kern w:val="0"/>
          <w:sz w:val="22"/>
          <w:szCs w:val="22"/>
          <w:lang w:eastAsia="es-ES"/>
          <w14:ligatures w14:val="none"/>
        </w:rPr>
        <w:t xml:space="preserve"> (en adelante, UCI)</w:t>
      </w:r>
      <w:r w:rsidRPr="00E97826">
        <w:rPr>
          <w:rFonts w:ascii="Arial Narrow" w:eastAsia="Arial Narrow" w:hAnsi="Arial Narrow" w:cs="Arial Narrow"/>
          <w:color w:val="000000"/>
          <w:kern w:val="0"/>
          <w:sz w:val="22"/>
          <w:szCs w:val="22"/>
          <w:lang w:eastAsia="es-ES"/>
          <w14:ligatures w14: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w14:paraId="2EAA4104" w14:textId="77777777" w:rsidR="00E97826" w:rsidRPr="00E97826" w:rsidRDefault="00E97826" w:rsidP="00E978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8D019B"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Del 4 de mayo de 2023 al 25 de mayo de 2023, continuó inconsciente, con traqueostomía, sonda nasogástrica e inmovilidad en las cuatro extremidades. </w:t>
      </w:r>
    </w:p>
    <w:p w14:paraId="0EA9A432" w14:textId="77777777" w:rsidR="00E97826" w:rsidRPr="00E97826" w:rsidRDefault="00E97826" w:rsidP="00E978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0CBD53" w14: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El 25 de mayo de 2023, fue trasladado al Hospital Geriátrico San Isidro Labrador</w:t>
      </w:r>
      <w:r w:rsidR="004B4A2D">
        <w:rPr>
          <w:rFonts w:ascii="Arial Narrow" w:eastAsia="Arial Narrow" w:hAnsi="Arial Narrow" w:cs="Arial Narrow"/>
          <w:color w:val="000000"/>
          <w:kern w:val="0"/>
          <w:sz w:val="22"/>
          <w:szCs w:val="22"/>
          <w:lang w:eastAsia="es-ES"/>
          <w14:ligatures w14:val="none"/>
        </w:rPr>
        <w:t xml:space="preserve"> (en adelante, el Hospital)</w:t>
      </w:r>
      <w:r w:rsidRPr="00E97826">
        <w:rPr>
          <w:rFonts w:ascii="Arial Narrow" w:eastAsia="Arial Narrow" w:hAnsi="Arial Narrow" w:cs="Arial Narrow"/>
          <w:color w:val="000000"/>
          <w:kern w:val="0"/>
          <w:sz w:val="22"/>
          <w:szCs w:val="22"/>
          <w:lang w:eastAsia="es-ES"/>
          <w14:ligatures w14:val="none"/>
        </w:rPr>
        <w:t xml:space="preserve"> para rehabilitación física. Presentaba movilidad reducida (desplazamiento en silla de ruedas), desorientación temporal, amnesia reciente, alteración del juicio y dependencia en actividades básicas. </w:t>
      </w:r>
    </w:p>
    <w:p w14:paraId="6B99E4C6" w14:textId="77777777" w:rsidR="00E97826" w:rsidRPr="00E97826" w:rsidRDefault="00E97826" w:rsidP="00E978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9EA714D"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w14:paraId="38773B17" w14:textId="77777777" w:rsidR="00E97826" w:rsidRPr="00E97826" w:rsidRDefault="00E97826" w:rsidP="00E978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22AE02"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En la primera semana de diciembre de 2023, sufrió su primera crisis epiléptica generalizada, por lo que se le prescribió fenitoína. Las crisis persistieron semanalmente. </w:t>
      </w:r>
    </w:p>
    <w:p w14:paraId="05A51CAD" w14:textId="77777777" w:rsidR="00E97826" w:rsidRPr="00E97826" w:rsidRDefault="00E97826" w:rsidP="00E97826">
      <w:pPr>
        <w:spacing w:after="0" w:line="240" w:lineRule="auto"/>
        <w:jc w:val="both"/>
        <w:rPr>
          <w:rFonts w:ascii="Arial Narrow" w:eastAsia="Arial Narrow" w:hAnsi="Arial Narrow" w:cs="Arial Narrow"/>
          <w:color w:val="000000"/>
          <w:kern w:val="0"/>
          <w:sz w:val="22"/>
          <w:szCs w:val="22"/>
          <w:lang w:eastAsia="es-ES"/>
          <w14:ligatures w14:val="none"/>
        </w:rPr>
      </w:pPr>
    </w:p>
    <w:p w14:paraId="2A49CC53" w14: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lastRenderedPageBreak/>
        <w:t xml:space="preserve">Hasta fines de diciembre de 2023, continuó en rehabilitación </w:t>
      </w:r>
      <w:r w:rsidR="004B4A2D">
        <w:rPr>
          <w:rFonts w:ascii="Arial Narrow" w:eastAsia="Arial Narrow" w:hAnsi="Arial Narrow" w:cs="Arial Narrow"/>
          <w:color w:val="000000"/>
          <w:kern w:val="0"/>
          <w:sz w:val="22"/>
          <w:szCs w:val="22"/>
          <w:lang w:eastAsia="es-ES"/>
          <w14:ligatures w14:val="none"/>
        </w:rPr>
        <w:t>el Hospital</w:t>
      </w:r>
      <w:r w:rsidRPr="00E97826">
        <w:rPr>
          <w:rFonts w:ascii="Arial Narrow" w:eastAsia="Arial Narrow" w:hAnsi="Arial Narrow" w:cs="Arial Narrow"/>
          <w:color w:val="000000"/>
          <w:kern w:val="0"/>
          <w:sz w:val="22"/>
          <w:szCs w:val="22"/>
          <w:lang w:eastAsia="es-ES"/>
          <w14:ligatures w14:val="none"/>
        </w:rPr>
        <w:t xml:space="preserve">. Logró recuperación parcial de la marcha, pero con inseguridad, debilidad en extremidades izquierdas y dependencia para actividades cotidianas. </w:t>
      </w:r>
      <w:r w:rsidR="004B4A2D">
        <w:rPr>
          <w:rFonts w:ascii="Arial Narrow" w:eastAsia="Arial Narrow" w:hAnsi="Arial Narrow" w:cs="Arial Narrow"/>
          <w:color w:val="000000"/>
          <w:kern w:val="0"/>
          <w:sz w:val="22"/>
          <w:szCs w:val="22"/>
          <w:lang w:eastAsia="es-ES"/>
          <w14:ligatures w14:val="none"/>
        </w:rPr>
        <w:t xml:space="preserve"> </w:t>
      </w:r>
    </w:p>
    <w:p w14:paraId="44972EA5" w14:textId="77777777" w:rsidR="00842472" w:rsidRPr="00842472" w:rsidRDefault="00842472" w:rsidP="00842472">
      <w:pPr>
        <w:pStyle w:val="Prrafodelista"/>
        <w:rPr>
          <w:rFonts w:ascii="Arial Narrow" w:eastAsia="Arial Narrow" w:hAnsi="Arial Narrow" w:cs="Arial Narrow"/>
          <w:color w:val="000000"/>
          <w:kern w:val="0"/>
          <w:sz w:val="22"/>
          <w:szCs w:val="22"/>
          <w:lang w:eastAsia="es-ES"/>
          <w14:ligatures w14:val="none"/>
        </w:rPr>
      </w:pPr>
    </w:p>
    <w:p w14:paraId="7324E0B9" w14: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15 de abril de 2024, se emitió e</w:t>
      </w:r>
      <w:r w:rsidRPr="00842472">
        <w:rPr>
          <w:rFonts w:ascii="Arial Narrow" w:eastAsia="Arial Narrow" w:hAnsi="Arial Narrow" w:cs="Arial Narrow"/>
          <w:color w:val="000000"/>
          <w:kern w:val="0"/>
          <w:sz w:val="22"/>
          <w:szCs w:val="22"/>
          <w:lang w:eastAsia="es-ES"/>
          <w14:ligatures w14:val="none"/>
        </w:rPr>
        <w:t xml:space="preserve">l Dictamen de Evaluación y Calificación de la COMAFP </w:t>
      </w:r>
      <w:r w:rsidR="00AD7EAF">
        <w:rPr>
          <w:rFonts w:ascii="Arial Narrow" w:eastAsia="Arial Narrow" w:hAnsi="Arial Narrow" w:cs="Arial Narrow"/>
          <w:color w:val="000000"/>
          <w:kern w:val="0"/>
          <w:sz w:val="22"/>
          <w:szCs w:val="22"/>
          <w:lang w:eastAsia="es-ES"/>
          <w14:ligatures w14:val="none"/>
        </w:rPr>
        <w:t>mediante el cual</w:t>
      </w:r>
      <w:r>
        <w:rPr>
          <w:rFonts w:ascii="Arial Narrow" w:eastAsia="Arial Narrow" w:hAnsi="Arial Narrow" w:cs="Arial Narrow"/>
          <w:color w:val="000000"/>
          <w:kern w:val="0"/>
          <w:sz w:val="22"/>
          <w:szCs w:val="22"/>
          <w:lang w:eastAsia="es-ES"/>
          <w14:ligatures w14:val="none"/>
        </w:rPr>
        <w:t xml:space="preserve"> </w:t>
      </w:r>
      <w:r w:rsidR="00A27E23" w:rsidRPr="00A27E23">
        <w:rPr>
          <w:rFonts w:ascii="Arial Narrow" w:eastAsia="Arial Narrow" w:hAnsi="Arial Narrow" w:cs="Arial Narrow"/>
          <w:color w:val="000000"/>
          <w:kern w:val="0"/>
          <w:sz w:val="22"/>
          <w:szCs w:val="22"/>
          <w:lang w:eastAsia="es-ES"/>
          <w14:ligatures w14:val="none"/>
        </w:rPr>
        <w:t xml:space="preserve">quedó establecido </w:t>
      </w:r>
      <w:r w:rsidR="00A27E23">
        <w:rPr>
          <w:rFonts w:ascii="Arial Narrow" w:eastAsia="Arial Narrow" w:hAnsi="Arial Narrow" w:cs="Arial Narrow"/>
          <w:color w:val="000000"/>
          <w:kern w:val="0"/>
          <w:sz w:val="22"/>
          <w:szCs w:val="22"/>
          <w:lang w:eastAsia="es-ES"/>
          <w14:ligatures w14:val="none"/>
        </w:rPr>
        <w:t>su</w:t>
      </w:r>
      <w:r w:rsidR="00A27E23" w:rsidRPr="00A27E23">
        <w:rPr>
          <w:rFonts w:ascii="Arial Narrow" w:eastAsia="Arial Narrow" w:hAnsi="Arial Narrow" w:cs="Arial Narrow"/>
          <w:color w:val="000000"/>
          <w:kern w:val="0"/>
          <w:sz w:val="22"/>
          <w:szCs w:val="22"/>
          <w:lang w:eastAsia="es-ES"/>
          <w14:ligatures w14:val="none"/>
        </w:rPr>
        <w:t xml:space="preserve"> condición neurológica actual que </w:t>
      </w:r>
      <w:r w:rsidR="00A27E23">
        <w:rPr>
          <w:rFonts w:ascii="Arial Narrow" w:eastAsia="Arial Narrow" w:hAnsi="Arial Narrow" w:cs="Arial Narrow"/>
          <w:color w:val="000000"/>
          <w:kern w:val="0"/>
          <w:sz w:val="22"/>
          <w:szCs w:val="22"/>
          <w:lang w:eastAsia="es-ES"/>
          <w14:ligatures w14:val="none"/>
        </w:rPr>
        <w:t>le</w:t>
      </w:r>
      <w:r w:rsidR="00A27E23" w:rsidRPr="00A27E23">
        <w:rPr>
          <w:rFonts w:ascii="Arial Narrow" w:eastAsia="Arial Narrow" w:hAnsi="Arial Narrow" w:cs="Arial Narrow"/>
          <w:color w:val="000000"/>
          <w:kern w:val="0"/>
          <w:sz w:val="22"/>
          <w:szCs w:val="22"/>
          <w:lang w:eastAsia="es-ES"/>
          <w14:ligatures w14:val="none"/>
        </w:rPr>
        <w:t xml:space="preserve"> inhabilita de forma permanente y total para realizar cualquier trabajo u ocupación</w:t>
      </w:r>
      <w:r w:rsidR="00A27E23">
        <w:rPr>
          <w:rFonts w:ascii="Arial Narrow" w:eastAsia="Arial Narrow" w:hAnsi="Arial Narrow" w:cs="Arial Narrow"/>
          <w:color w:val="000000"/>
          <w:kern w:val="0"/>
          <w:sz w:val="22"/>
          <w:szCs w:val="22"/>
          <w:lang w:eastAsia="es-ES"/>
          <w14:ligatures w14:val="none"/>
        </w:rPr>
        <w:t>.</w:t>
      </w:r>
      <w:r w:rsidR="00865E1C">
        <w:rPr>
          <w:rFonts w:ascii="Arial Narrow" w:eastAsia="Arial Narrow" w:hAnsi="Arial Narrow" w:cs="Arial Narrow"/>
          <w:color w:val="000000"/>
          <w:kern w:val="0"/>
          <w:sz w:val="22"/>
          <w:szCs w:val="22"/>
          <w:lang w:eastAsia="es-ES"/>
          <w14:ligatures w14:val="none"/>
        </w:rPr>
        <w:t xml:space="preserve"> </w:t>
      </w:r>
      <w:r w:rsidRPr="00865E1C">
        <w:rPr>
          <w:rFonts w:ascii="Arial Narrow" w:eastAsia="Arial Narrow" w:hAnsi="Arial Narrow" w:cs="Arial Narrow"/>
          <w:color w:val="000000"/>
          <w:kern w:val="0"/>
          <w:sz w:val="22"/>
          <w:szCs w:val="22"/>
          <w:lang w:eastAsia="es-ES"/>
          <w14:ligatures w14:val="none"/>
        </w:rPr>
        <w:t xml:space="preserve">Posteriormente, solicitó a Pacífico el otorgamiento de cobertura </w:t>
      </w:r>
      <w:r w:rsidR="007E30E4" w:rsidRPr="00865E1C">
        <w:rPr>
          <w:rFonts w:ascii="Arial Narrow" w:eastAsia="Arial Narrow" w:hAnsi="Arial Narrow" w:cs="Arial Narrow"/>
          <w:color w:val="000000"/>
          <w:kern w:val="0"/>
          <w:sz w:val="22"/>
          <w:szCs w:val="22"/>
          <w:lang w:eastAsia="es-ES"/>
          <w14:ligatures w14:val="none"/>
        </w:rPr>
        <w:t>del Seguro Vida Ley.</w:t>
      </w:r>
    </w:p>
    <w:p w14:paraId="176B7BBD" w14:textId="77777777" w:rsidR="00E97826" w:rsidRPr="00CF7547" w:rsidRDefault="00E97826" w:rsidP="00CF7547">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215E215C" w:rsidR="00CA59A2" w:rsidRPr="00235E2C" w:rsidRDefault="00E97826" w:rsidP="00E978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El 28 de octubre de 2024, mediante Carta BEN-011024/2024, Pacífico Seguros rechazó el pago de la cobertura por invalidez total y permanente del Seguro Vida Ley, argumentando que no cumplía los supuestos contractuales de invalidez absoluta. </w:t>
      </w:r>
    </w:p>
    <w:p w14:paraId="33E14FF7" w14:textId="77777777" w:rsidR="00CA59A2" w:rsidRPr="00235E2C"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5E2C">
        <w:rPr>
          <w:rFonts w:ascii="Arial Narrow" w:eastAsia="Arial Narrow" w:hAnsi="Arial Narrow" w:cs="Arial Narrow"/>
          <w:kern w:val="0"/>
          <w14:ligatures w14:val="none"/>
          <w:sz w:val="22"/>
          <w:szCs w:val="22"/>
        </w:rPr>
        <w:t xml:space="preserve">El señor [APELLIDO] solicitó, en calidad de medida correctiva, que Pacífico cumpla con: (i) reconocer y activar la cobertura por incapacidad total y permanente conforme a lo establecido en la póliza contratada; y, (ii) otorgar la suma de S/ 53 386,56 por el concepto de 32 remuneraciones mensuales percibidas asegurables.</w:t>
      </w:r>
      <w:r w:rsidR="00CA59A2" w:rsidRPr="00235E2C">
        <w:rPr>
          <w:rFonts w:ascii="Arial Narrow" w:eastAsia="Arial Narrow" w:hAnsi="Arial Narrow" w:cs="Arial Narrow"/>
          <w:color w:val="000000"/>
          <w:kern w:val="0"/>
          <w:sz w:val="22"/>
          <w:szCs w:val="22"/>
          <w:lang w:val="es-ES" w:eastAsia="es-ES"/>
          <w14:ligatures w14:val="none"/>
        </w:rPr>
        <w:t xml:space="preserve"/>
      </w:r>
      <w:r w:rsidRPr="00235E2C">
        <w:rPr>
          <w:rFonts w:ascii="Arial Narrow" w:eastAsia="Arial Narrow" w:hAnsi="Arial Narrow" w:cs="Arial Narrow"/>
          <w:color w:val="000000"/>
          <w:kern w:val="0"/>
          <w:sz w:val="22"/>
          <w:szCs w:val="22"/>
          <w:lang w:val="es-ES" w:eastAsia="es-ES"/>
          <w14:ligatures w14:val="none"/>
        </w:rPr>
        <w:t xml:space="preserve"/>
      </w:r>
      <w:r w:rsidR="00CA59A2"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w:r>
      <w:proofErr w:type="spellStart"/>
      <w:r w:rsidR="002039BC" w:rsidRPr="00235E2C">
        <w:rPr>
          <w:rFonts w:ascii="Arial Narrow" w:eastAsia="Arial Narrow" w:hAnsi="Arial Narrow" w:cs="Arial Narrow"/>
          <w:color w:val="000000"/>
          <w:kern w:val="0"/>
          <w:sz w:val="22"/>
          <w:szCs w:val="22"/>
          <w:lang w:val="es-ES" w:eastAsia="es-ES"/>
          <w14:ligatures w14:val="none"/>
        </w:rPr>
        <w:t/>
      </w:r>
      <w:proofErr w:type="spellEnd"/>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w:r>
      <w:r w:rsidR="000E5B15" w:rsidRPr="00235E2C">
        <w:rPr>
          <w:rFonts w:ascii="Arial Narrow" w:eastAsia="Arial Narrow" w:hAnsi="Arial Narrow" w:cs="Arial Narrow"/>
          <w:color w:val="000000"/>
          <w:kern w:val="0"/>
          <w:sz w:val="22"/>
          <w:szCs w:val="22"/>
          <w:lang w:val="es-ES" w:eastAsia="es-ES"/>
          <w14:ligatures w14:val="none"/>
        </w:rPr>
        <w:t/>
      </w:r>
      <w:r w:rsidR="00235E2C" w:rsidRPr="00235E2C">
        <w:rPr>
          <w:rFonts w:ascii="Arial Narrow" w:eastAsia="Arial Narrow" w:hAnsi="Arial Narrow" w:cs="Arial Narrow"/>
          <w:color w:val="000000"/>
          <w:kern w:val="0"/>
          <w:sz w:val="22"/>
          <w:szCs w:val="22"/>
          <w:lang w:val="es-ES" w:eastAsia="es-ES"/>
          <w14:ligatures w14:val="none"/>
        </w:rPr>
        <w:t xml:space="preserve"/>
      </w:r>
      <w:r w:rsidR="00CA59A2" w:rsidRPr="00235E2C">
        <w:rPr>
          <w:rFonts w:ascii="Arial Narrow" w:eastAsia="Arial Narrow" w:hAnsi="Arial Narrow" w:cs="Arial Narrow"/>
          <w:color w:val="000000"/>
          <w:kern w:val="0"/>
          <w:sz w:val="22"/>
          <w:szCs w:val="22"/>
          <w:lang w:val="es-ES" w:eastAsia="es-ES"/>
          <w14:ligatures w14:val="none"/>
        </w:rPr>
        <w:t/>
      </w:r>
    </w:p>
    <w:p w14:paraId="66005174" w14:textId="77777777" w:rsidR="00CA59A2" w:rsidRPr="00235E2C"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5E2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35E2C"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215A9C9F" w:rsidR="00CA59A2" w:rsidRPr="0011069C" w:rsidRDefault="00CA59A2" w:rsidP="001D652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 w:name="_Hlk140755208"/>
      <w:bookmarkStart w:id="2" w:name="_Hlk155945813"/>
      <w:bookmarkStart w:id="3" w:name="_Hlk155944687"/>
      <w:r w:rsidRPr="00235E2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35E2C">
        <w:rPr>
          <w:rStyle w:val="Refdenotaalpie"/>
          <w:rFonts w:ascii="Arial Narrow" w:eastAsia="Arial Narrow" w:hAnsi="Arial Narrow" w:cs="Arial Narrow"/>
          <w:kern w:val="0"/>
          <w:sz w:val="22"/>
          <w:szCs w:val="22"/>
          <w:vertAlign w:val="superscript"/>
          <w14:ligatures w14:val="none"/>
        </w:rPr>
        <w:footnoteReference w:id="3"/>
      </w:r>
      <w:r w:rsidRPr="00235E2C">
        <w:rPr>
          <w:rFonts w:ascii="Arial Narrow" w:eastAsia="Arial Narrow" w:hAnsi="Arial Narrow" w:cs="Arial Narrow"/>
          <w:color w:val="000000"/>
          <w:kern w:val="0"/>
          <w:sz w:val="22"/>
          <w:szCs w:val="22"/>
          <w:lang w:eastAsia="es-PE"/>
          <w14:ligatures w14:val="none"/>
        </w:rPr>
        <w:t xml:space="preserve">, </w:t>
      </w:r>
      <w:r w:rsidR="00121544" w:rsidRPr="00235E2C">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consistente en que </w:t>
      </w:r>
      <w:r w:rsidR="00031495" w:rsidRPr="00031495">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Vida Ley – Póliza </w:t>
      </w:r>
      <w:proofErr w:type="spellStart"/>
      <w:r w:rsidR="00031495" w:rsidRPr="00031495">
        <w:rPr>
          <w:rFonts w:ascii="Arial Narrow" w:eastAsia="Arial Narrow" w:hAnsi="Arial Narrow" w:cs="Arial Narrow"/>
          <w:kern w:val="0"/>
          <w:sz w:val="22"/>
          <w:szCs w:val="22"/>
          <w:shd w:val="clear" w:color="auto" w:fill="FFFFFF"/>
          <w:lang w:eastAsia="es-PE"/>
          <w14:ligatures w14:val="none"/>
        </w:rPr>
        <w:t/>
      </w:r>
      <w:proofErr w:type="spellEnd"/>
      <w:r w:rsidR="00031495" w:rsidRPr="00031495">
        <w:rPr>
          <w:rFonts w:ascii="Arial Narrow" w:eastAsia="Arial Narrow" w:hAnsi="Arial Narrow" w:cs="Arial Narrow"/>
          <w:kern w:val="0"/>
          <w:sz w:val="22"/>
          <w:szCs w:val="22"/>
          <w:shd w:val="clear" w:color="auto" w:fill="FFFFFF"/>
          <w:lang w:eastAsia="es-PE"/>
          <w14:ligatures w14:val="none"/>
        </w:rPr>
        <w:t xml:space="preserve"> 85099 por la invalidez total y permanente que padecía</w:t>
      </w:r>
      <w:r w:rsidR="00711750" w:rsidRPr="0011069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14:ligatures w14:val="none"/>
          <w:sz w:val="22"/>
          <w:szCs w:val="22"/>
        </w:rPr>
        <w:t xml:space="preserve"> y 19</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14:ligatures w14:val="none"/>
          <w:sz w:val="22"/>
          <w:szCs w:val="22"/>
        </w:rPr>
        <w:t xml:space="preserve"> del Código</w:t>
      </w:r>
      <w:r w:rsidR="00711750" w:rsidRPr="0011069C">
        <w:rPr>
          <w:rStyle w:val="Refdenotaalpie"/>
          <w:rFonts w:ascii="Arial Narrow" w:eastAsia="Arial Narrow" w:hAnsi="Arial Narrow" w:cs="Arial Narrow"/>
          <w:kern w:val="0"/>
          <w:sz w:val="22"/>
          <w:szCs w:val="22"/>
          <w:vertAlign w:val="superscript"/>
          <w14:ligatures w14:val="none"/>
        </w:rPr>
        <w:footnoteReference w:id="4"/>
      </w:r>
      <w:r w:rsidR="00711750" w:rsidRPr="0011069C">
        <w:rPr>
          <w:rFonts w:ascii="Arial Narrow" w:eastAsia="Arial Narrow" w:hAnsi="Arial Narrow" w:cs="Arial Narrow"/>
          <w:kern w:val="0"/>
          <w14:ligatures w14:val="none"/>
          <w:sz w:val="22"/>
          <w:szCs w:val="22"/>
        </w:rPr>
        <w:t>.</w:t>
      </w: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9133FF"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0970DF">
        <w:rPr>
          <w:rFonts w:ascii="Arial Narrow" w:eastAsia="Arial Narrow" w:hAnsi="Arial Narrow" w:cs="Arial Narrow"/>
          <w:color w:val="000000"/>
          <w:kern w:val="0"/>
          <w:sz w:val="22"/>
          <w:szCs w:val="22"/>
          <w:lang w:val="es-ES" w:eastAsia="es-ES"/>
          <w14:ligatures w14:val="none"/>
        </w:rPr>
        <w:t xml:space="preserve">conviene requerir </w:t>
      </w:r>
      <w:r w:rsidR="000970DF" w:rsidRPr="000970DF">
        <w:rPr>
          <w:rFonts w:ascii="Arial Narrow" w:eastAsia="Arial Narrow" w:hAnsi="Arial Narrow" w:cs="Arial Narrow"/>
          <w:color w:val="000000"/>
          <w:kern w:val="0"/>
          <w:sz w:val="22"/>
          <w:szCs w:val="22"/>
          <w:lang w:val="es-ES" w:eastAsia="es-ES"/>
          <w14:ligatures w14:val="none"/>
        </w:rPr>
        <w:t xml:space="preserve">a la compañía aseguradora </w:t>
      </w:r>
      <w:r w:rsidRPr="000970DF">
        <w:rPr>
          <w:rFonts w:ascii="Arial Narrow" w:eastAsia="Arial Narrow" w:hAnsi="Arial Narrow" w:cs="Arial Narrow"/>
          <w:color w:val="000000"/>
          <w:kern w:val="0"/>
          <w:sz w:val="22"/>
          <w:szCs w:val="22"/>
          <w:lang w:val="es-ES" w:eastAsia="es-ES"/>
          <w14:ligatures w14:val="none"/>
        </w:rPr>
        <w:t>que, en un plazo no mayor de cinco (5) días hábile</w:t>
      </w:r>
      <w:r w:rsidRPr="0026598E">
        <w:rPr>
          <w:rFonts w:ascii="Arial Narrow" w:eastAsia="Arial Narrow" w:hAnsi="Arial Narrow" w:cs="Arial Narrow"/>
          <w:color w:val="000000"/>
          <w:kern w:val="0"/>
          <w:sz w:val="22"/>
          <w:szCs w:val="22"/>
          <w:lang w:val="es-ES" w:eastAsia="es-ES"/>
          <w14:ligatures w14:val="none"/>
        </w:rPr>
        <w:t>s contado a partir del día siguiente de la notificación de la presente resolución, cumpla con lo siguiente</w:t>
      </w:r>
      <w:r w:rsidRPr="001D6522">
        <w:rPr>
          <w:rFonts w:ascii="Arial Narrow" w:eastAsia="Arial Narrow" w:hAnsi="Arial Narrow" w:cs="Arial Narrow"/>
          <w:color w:val="000000"/>
          <w:kern w:val="0"/>
          <w:sz w:val="22"/>
          <w:szCs w:val="22"/>
          <w:lang w:val="es-ES" w:eastAsia="es-ES"/>
          <w14:ligatures w14:val="none"/>
        </w:rPr>
        <w:t xml:space="preserve">: </w:t>
      </w:r>
      <w:r w:rsidR="0092056F" w:rsidRPr="0092056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2056F" w:rsidRPr="0092056F">
        <w:rPr>
          <w:rFonts w:ascii="Arial Narrow" w:eastAsia="Arial Narrow" w:hAnsi="Arial Narrow" w:cs="Arial Narrow"/>
          <w:color w:val="000000"/>
          <w:kern w:val="0"/>
          <w:sz w:val="22"/>
          <w:szCs w:val="22"/>
          <w:lang w:val="es-ES" w:eastAsia="es-ES"/>
          <w14:ligatures w14:val="none"/>
        </w:rPr>
        <w:t/>
      </w:r>
      <w:proofErr w:type="spellEnd"/>
      <w:r w:rsidR="0092056F" w:rsidRPr="0092056F">
        <w:rPr>
          <w:rFonts w:ascii="Arial Narrow" w:eastAsia="Arial Narrow" w:hAnsi="Arial Narrow" w:cs="Arial Narrow"/>
          <w:color w:val="000000"/>
          <w:kern w:val="0"/>
          <w:sz w:val="22"/>
          <w:szCs w:val="22"/>
          <w:lang w:val="es-ES" w:eastAsia="es-ES"/>
          <w14:ligatures w14:val="none"/>
        </w:rPr>
        <w:t xml:space="preserve"> 85099 del Seguro Vida Ley, así como el cargo de remisión de la póliza; (</w:t>
      </w:r>
      <w:proofErr w:type="spellStart"/>
      <w:r w:rsidR="0092056F" w:rsidRPr="0092056F">
        <w:rPr>
          <w:rFonts w:ascii="Arial Narrow" w:eastAsia="Arial Narrow" w:hAnsi="Arial Narrow" w:cs="Arial Narrow"/>
          <w:color w:val="000000"/>
          <w:kern w:val="0"/>
          <w:sz w:val="22"/>
          <w:szCs w:val="22"/>
          <w:lang w:val="es-ES" w:eastAsia="es-ES"/>
          <w14:ligatures w14:val="none"/>
        </w:rPr>
        <w:t>ii</w:t>
      </w:r>
      <w:proofErr w:type="spellEnd"/>
      <w:r w:rsidR="0092056F" w:rsidRPr="0092056F">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2056F" w:rsidRPr="0092056F">
        <w:rPr>
          <w:rFonts w:ascii="Arial Narrow" w:eastAsia="Arial Narrow" w:hAnsi="Arial Narrow" w:cs="Arial Narrow"/>
          <w:color w:val="000000"/>
          <w:kern w:val="0"/>
          <w:sz w:val="22"/>
          <w:szCs w:val="22"/>
          <w:lang w:val="es-ES" w:eastAsia="es-ES"/>
          <w14:ligatures w14:val="none"/>
        </w:rPr>
        <w:t>iii</w:t>
      </w:r>
      <w:proofErr w:type="spellEnd"/>
      <w:r w:rsidR="0092056F" w:rsidRPr="009205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1D65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77E33436" w:rsidR="00121544" w:rsidRPr="0011069C" w:rsidRDefault="00CA59A2" w:rsidP="001106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junio de 2025, subsanada mediante escrito del 8 de julio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Vida Ley – Póliza 85099 por la invalidez total y permanente que padecía.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2298" w:rsidRPr="00752298">
        <w:rPr>
          <w:rFonts w:ascii="Arial Narrow" w:eastAsia="Arial Narrow" w:hAnsi="Arial Narrow" w:cs="Arial Narrow"/>
          <w:color w:val="000000"/>
          <w:kern w:val="0"/>
          <w:sz w:val="22"/>
          <w:szCs w:val="22"/>
          <w:shd w:val="clear" w:color="auto" w:fill="FFFFFF"/>
          <w:lang w:eastAsia="es-PE"/>
          <w14:ligatures w14:val="none"/>
        </w:rPr>
        <w:t/>
      </w:r>
      <w:r w:rsidR="00752298">
        <w:rPr>
          <w:rFonts w:ascii="Arial Narrow" w:eastAsia="Arial Narrow" w:hAnsi="Arial Narrow" w:cs="Arial Narrow"/>
          <w:color w:val="000000"/>
          <w:kern w:val="0"/>
          <w:sz w:val="22"/>
          <w:szCs w:val="22"/>
          <w:shd w:val="clear" w:color="auto" w:fill="FFFFFF"/>
          <w:lang w:eastAsia="es-PE"/>
          <w14:ligatures w14:val="none"/>
        </w:rPr>
        <w:t xml:space="preserve"/>
      </w:r>
      <w:r w:rsidRPr="000970DF">
        <w:rPr>
          <w:rFonts w:ascii="Arial Narrow" w:eastAsia="Arial Narrow" w:hAnsi="Arial Narrow" w:cs="Arial Narrow"/>
          <w:color w:val="000000"/>
          <w:kern w:val="0"/>
          <w:sz w:val="22"/>
          <w:szCs w:val="22"/>
          <w:shd w:val="clear" w:color="auto" w:fill="FFFFFF"/>
          <w:lang w:eastAsia="es-PE"/>
          <w14:ligatures w14:val="none"/>
        </w:rPr>
        <w:t xml:space="preserve"/>
      </w:r>
      <w:r w:rsidR="000970DF" w:rsidRPr="000970DF">
        <w:rPr>
          <w:rFonts w:ascii="Arial Narrow" w:eastAsia="Arial Narrow" w:hAnsi="Arial Narrow" w:cs="Arial Narrow"/>
          <w:spacing w:val="-3"/>
          <w:kern w:val="0"/>
          <w14:ligatures w14:val="none"/>
          <w:sz w:val="22"/>
          <w:szCs w:val="22"/>
        </w:rPr>
        <w:t xml:space="preserve"/>
      </w:r>
      <w:r w:rsidR="00FB6235">
        <w:rPr>
          <w:rFonts w:ascii="Arial Narrow" w:eastAsia="Arial Narrow" w:hAnsi="Arial Narrow" w:cs="Arial Narrow"/>
          <w:color w:val="000000"/>
          <w:kern w:val="0"/>
          <w:sz w:val="22"/>
          <w:szCs w:val="22"/>
          <w:shd w:val="clear" w:color="auto" w:fill="FFFFFF"/>
          <w:lang w:eastAsia="es-PE"/>
          <w14:ligatures w14:val="none"/>
        </w:rPr>
        <w:t/>
      </w:r>
      <w:r w:rsidR="000970DF"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00B7278E" w:rsidRPr="00F4320E">
        <w:rPr>
          <w:rFonts w:ascii="Arial Narrow" w:eastAsia="Arial Narrow" w:hAnsi="Arial Narrow" w:cs="Arial Narrow"/>
          <w:sz w:val="22"/>
          <w:szCs w:val="22"/>
        </w:rPr>
        <w:t/>
      </w:r>
      <w:r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4320E">
        <w:rPr>
          <w:rFonts w:ascii="Arial Narrow" w:eastAsia="Arial Narrow" w:hAnsi="Arial Narrow" w:cs="Arial Narrow"/>
          <w:color w:val="000000"/>
          <w:kern w:val="0"/>
          <w:sz w:val="22"/>
          <w:szCs w:val="22"/>
          <w:shd w:val="clear" w:color="auto" w:fill="FFFFFF"/>
          <w:lang w:eastAsia="es-PE"/>
          <w14:ligatures w14:val="none"/>
        </w:rPr>
        <w:t/>
      </w:r>
      <w:r w:rsidR="0011069C">
        <w:rPr>
          <w:rFonts w:ascii="Arial Narrow" w:eastAsia="Arial Narrow" w:hAnsi="Arial Narrow" w:cs="Arial Narrow"/>
          <w:color w:val="000000"/>
          <w:kern w:val="0"/>
          <w:sz w:val="22"/>
          <w:szCs w:val="22"/>
          <w:shd w:val="clear" w:color="auto" w:fill="FFFFFF"/>
          <w:lang w:eastAsia="es-PE"/>
          <w14:ligatures w14:val="none"/>
        </w:rPr>
        <w:t xml:space="preserve"/>
      </w:r>
      <w:r w:rsid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sz w:val="22"/>
          <w:szCs w:val="22"/>
          <w:shd w:val="clear" w:color="auto" w:fill="FFFFFF"/>
          <w:lang w:eastAsia="es-PE"/>
          <w14:ligatures w14:val="none"/>
        </w:rPr>
        <w:t xml:space="preserve"/>
      </w:r>
      <w:r w:rsidR="00711750" w:rsidRPr="0011069C">
        <w:rPr>
          <w:rFonts w:ascii="Arial Narrow" w:eastAsia="Arial Narrow" w:hAnsi="Arial Narrow" w:cs="Arial Narrow"/>
          <w:kern w:val="0"/>
          <w:sz w:val="22"/>
          <w:szCs w:val="22"/>
          <w:lang w:eastAsia="es-PE"/>
          <w14:ligatures w14:val="none"/>
        </w:rPr>
        <w:t xml:space="preserve"/>
      </w:r>
      <w:r w:rsidR="00711750" w:rsidRPr="0011069C">
        <w:rPr>
          <w:rFonts w:ascii="Arial Narrow" w:eastAsia="Arial Narrow" w:hAnsi="Arial Narrow" w:cs="Arial Narrow"/>
          <w:kern w:val="0"/>
          <w:sz w:val="22"/>
          <w:szCs w:val="22"/>
          <w:shd w:val="clear" w:color="auto" w:fill="FFFFFF"/>
          <w:lang w:eastAsia="es-PE"/>
          <w14:ligatures w14:val="none"/>
        </w:rPr>
        <w:t xml:space="preserve"/>
      </w:r>
      <w:r w:rsidR="001D6522" w:rsidRPr="00031495">
        <w:rPr>
          <w:rFonts w:ascii="Arial Narrow" w:eastAsia="Arial Narrow" w:hAnsi="Arial Narrow" w:cs="Arial Narrow"/>
          <w:kern w:val="0"/>
          <w:sz w:val="22"/>
          <w:szCs w:val="22"/>
          <w:shd w:val="clear" w:color="auto" w:fill="FFFFFF"/>
          <w:lang w:eastAsia="es-PE"/>
          <w14:ligatures w14:val="none"/>
        </w:rPr>
        <w:t/>
      </w:r>
      <w:r w:rsidR="00711750" w:rsidRPr="00031495">
        <w:rPr>
          <w:rFonts w:ascii="Arial Narrow" w:eastAsia="Arial Narrow" w:hAnsi="Arial Narrow" w:cs="Arial Narrow"/>
          <w:kern w:val="0"/>
          <w:sz w:val="22"/>
          <w:szCs w:val="22"/>
          <w:shd w:val="clear" w:color="auto" w:fill="FFFFFF"/>
          <w:lang w:eastAsia="es-PE"/>
          <w14:ligatures w14:val="none"/>
        </w:rPr>
        <w:t xml:space="preserve"/>
      </w:r>
      <w:r w:rsidR="001D6522" w:rsidRPr="00031495">
        <w:rPr>
          <w:rFonts w:ascii="Arial Narrow" w:eastAsia="Arial Narrow" w:hAnsi="Arial Narrow" w:cs="Arial Narrow"/>
          <w:kern w:val="0"/>
          <w:sz w:val="22"/>
          <w:szCs w:val="22"/>
          <w:shd w:val="clear" w:color="auto" w:fill="FFFFFF"/>
          <w:lang w:eastAsia="es-PE"/>
          <w14:ligatures w14:val="none"/>
        </w:rPr>
        <w:t xml:space="preserve"/>
      </w:r>
      <w:r w:rsidR="00621201" w:rsidRPr="00031495">
        <w:rPr>
          <w:rFonts w:ascii="Arial Narrow" w:eastAsia="Arial Narrow" w:hAnsi="Arial Narrow" w:cs="Arial Narrow"/>
          <w:kern w:val="0"/>
          <w:sz w:val="22"/>
          <w:szCs w:val="22"/>
          <w:shd w:val="clear" w:color="auto" w:fill="FFFFFF"/>
          <w:lang w:eastAsia="es-PE"/>
          <w14:ligatures w14:val="none"/>
        </w:rPr>
        <w:t xml:space="preserve"/>
      </w:r>
      <w:r w:rsidR="00711750" w:rsidRPr="00031495">
        <w:rPr>
          <w:rFonts w:ascii="Arial Narrow" w:eastAsia="Arial Narrow" w:hAnsi="Arial Narrow" w:cs="Arial Narrow"/>
          <w:kern w:val="0"/>
          <w:sz w:val="22"/>
          <w:szCs w:val="22"/>
          <w:shd w:val="clear" w:color="auto" w:fill="FFFFFF"/>
          <w:lang w:eastAsia="es-PE"/>
          <w14:ligatures w14:val="none"/>
        </w:rPr>
        <w:t xml:space="preserve"/>
      </w:r>
      <w:r w:rsidR="00F4320E" w:rsidRPr="00031495">
        <w:rPr>
          <w:rFonts w:ascii="Arial Narrow" w:eastAsia="Arial Narrow" w:hAnsi="Arial Narrow" w:cs="Arial Narrow"/>
          <w:color w:val="000000"/>
          <w:kern w:val="0"/>
          <w:sz w:val="22"/>
          <w:szCs w:val="22"/>
          <w:lang w:eastAsia="es-ES"/>
          <w14:ligatures w14:val="none"/>
        </w:rPr>
        <w:t xml:space="preserve"/>
      </w:r>
      <w:r w:rsidR="00621201" w:rsidRPr="00031495">
        <w:rPr>
          <w:rFonts w:ascii="Arial Narrow" w:eastAsia="Arial Narrow" w:hAnsi="Arial Narrow" w:cs="Arial Narrow"/>
          <w:kern w:val="0"/>
          <w:sz w:val="22"/>
          <w:szCs w:val="22"/>
          <w:shd w:val="clear" w:color="auto" w:fill="FFFFFF"/>
          <w:lang w:eastAsia="es-PE"/>
          <w14:ligatures w14:val="none"/>
        </w:rPr>
        <w:t xml:space="preserve"/>
      </w:r>
      <w:r w:rsidR="00031495" w:rsidRPr="00031495">
        <w:rPr>
          <w:rFonts w:ascii="Arial Narrow" w:eastAsia="Arial Narrow" w:hAnsi="Arial Narrow" w:cs="Arial Narrow"/>
          <w:kern w:val="0"/>
          <w:sz w:val="22"/>
          <w:szCs w:val="22"/>
          <w:shd w:val="clear" w:color="auto" w:fill="FFFFFF"/>
          <w:lang w:eastAsia="es-PE"/>
          <w14:ligatures w14:val="none"/>
        </w:rPr>
        <w:t/>
      </w:r>
      <w:r w:rsidR="00621201">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0B5536F4"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52298" w:rsidRPr="00752298">
        <w:rPr>
          <w:rFonts w:ascii="Arial Narrow" w:eastAsia="Arial Narrow" w:hAnsi="Arial Narrow" w:cs="Arial Narrow"/>
          <w:color w:val="000000"/>
          <w:kern w:val="0"/>
          <w:sz w:val="22"/>
          <w:szCs w:val="22"/>
          <w:lang w:val="es-ES" w:eastAsia="es-ES"/>
          <w14:ligatures w14:val="none"/>
        </w:rPr>
        <w:t xml:space="preserve">5 de junio de 2025, subsanada mediante escrito del 8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26339C"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278E" w:rsidRPr="00B7278E">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CF7B03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[APELLIDO]: requerir que, en un plazo no mayor de cinco (5) días hábiles contado a partir del día siguiente de la notificación de la presente resolución, el proveedor denunciado cumpla con: (i) presentar una copia completa, legible y debidamente suscrita de la Póliza 85099 del Seguro Vida Ley, así como el cargo de remisión de la póliza; (ii) presentar los medios probatorios que acrediten que el rechazo fue justificado; y, (iii) presentar todas las comunicaciones cursadas con la parte denunciante en virtud del hecho materia de denuncia.</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1D6522" w:rsidRPr="001D6522">
        <w:rPr>
          <w:rFonts w:ascii="Arial Narrow" w:eastAsia="Arial Narrow" w:hAnsi="Arial Narrow" w:cs="Arial Narrow"/>
          <w:color w:val="000000"/>
          <w:kern w:val="0"/>
          <w:sz w:val="22"/>
          <w:szCs w:val="22"/>
          <w:lang w:val="es-ES" w:eastAsia="es-ES"/>
          <w14:ligatures w14:val="none"/>
        </w:rPr>
        <w:t xml:space="preserve"/>
      </w:r>
      <w:r w:rsidR="001D6522" w:rsidRPr="001D6522">
        <w:rPr>
          <w:rFonts w:ascii="Arial Narrow" w:eastAsia="Arial Narrow" w:hAnsi="Arial Narrow" w:cs="Arial Narrow"/>
          <w:color w:val="000000"/>
          <w:kern w:val="0"/>
          <w:sz w:val="22"/>
          <w:szCs w:val="22"/>
          <w:lang w:eastAsia="es-ES"/>
          <w14:ligatures w14:val="none"/>
        </w:rPr>
        <w:t/>
      </w:r>
      <w:r w:rsidR="001D6522" w:rsidRPr="001D6522">
        <w:rPr>
          <w:rFonts w:ascii="Arial Narrow" w:eastAsia="Arial Narrow" w:hAnsi="Arial Narrow" w:cs="Arial Narrow"/>
          <w:color w:val="000000"/>
          <w:kern w:val="0"/>
          <w:sz w:val="22"/>
          <w:szCs w:val="22"/>
          <w:lang w:val="es-ES" w:eastAsia="es-ES"/>
          <w14:ligatures w14:val="none"/>
        </w:rPr>
        <w:t/>
      </w:r>
      <w:proofErr w:type="spellStart"/>
      <w:r w:rsidR="001D6522" w:rsidRPr="001D6522">
        <w:rPr>
          <w:rFonts w:ascii="Arial Narrow" w:eastAsia="Arial Narrow" w:hAnsi="Arial Narrow" w:cs="Arial Narrow"/>
          <w:color w:val="000000"/>
          <w:kern w:val="0"/>
          <w:sz w:val="22"/>
          <w:szCs w:val="22"/>
          <w:lang w:val="es-ES" w:eastAsia="es-ES"/>
          <w14:ligatures w14:val="none"/>
        </w:rPr>
        <w:t/>
      </w:r>
      <w:proofErr w:type="spellEnd"/>
      <w:r w:rsidR="001D6522" w:rsidRPr="001D6522">
        <w:rPr>
          <w:rFonts w:ascii="Arial Narrow" w:eastAsia="Arial Narrow" w:hAnsi="Arial Narrow" w:cs="Arial Narrow"/>
          <w:color w:val="000000"/>
          <w:kern w:val="0"/>
          <w:sz w:val="22"/>
          <w:szCs w:val="22"/>
          <w:lang w:val="es-ES" w:eastAsia="es-ES"/>
          <w14:ligatures w14:val="none"/>
        </w:rPr>
        <w:t/>
      </w:r>
      <w:proofErr w:type="spellStart"/>
      <w:r w:rsidR="001D6522" w:rsidRPr="001D6522">
        <w:rPr>
          <w:rFonts w:ascii="Arial Narrow" w:eastAsia="Arial Narrow" w:hAnsi="Arial Narrow" w:cs="Arial Narrow"/>
          <w:color w:val="000000"/>
          <w:kern w:val="0"/>
          <w:sz w:val="22"/>
          <w:szCs w:val="22"/>
          <w:lang w:val="es-ES" w:eastAsia="es-ES"/>
          <w14:ligatures w14:val="none"/>
        </w:rPr>
        <w:t/>
      </w:r>
      <w:proofErr w:type="spellEnd"/>
      <w:r w:rsidR="001D6522" w:rsidRPr="001D65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0A1F03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70DF">
        <w:rPr>
          <w:rFonts w:ascii="Arial Narrow" w:eastAsia="Arial Narrow" w:hAnsi="Arial Narrow" w:cs="Arial Narrow"/>
          <w:spacing w:val="-3"/>
          <w:kern w:val="0"/>
          <w14:ligatures w14:val="none"/>
          <w:sz w:val="22"/>
          <w:szCs w:val="22"/>
        </w:rPr>
        <w:t/>
      </w:r>
      <w:r w:rsidR="000970DF" w:rsidRPr="000970DF">
        <w:rPr>
          <w:rFonts w:ascii="Arial Narrow" w:eastAsia="Arial Narrow" w:hAnsi="Arial Narrow" w:cs="Arial Narrow"/>
          <w:spacing w:val="-3"/>
          <w:kern w:val="0"/>
          <w14:ligatures w14:val="none"/>
          <w:sz w:val="22"/>
          <w:szCs w:val="22"/>
        </w:rPr>
        <w:t/>
      </w:r>
      <w:r w:rsidRPr="000970DF">
        <w:rPr>
          <w:rFonts w:ascii="Arial Narrow" w:eastAsia="Arial Narrow" w:hAnsi="Arial Narrow" w:cs="Arial Narrow"/>
          <w:spacing w:val="-3"/>
          <w:kern w:val="0"/>
          <w14:ligatures w14:val="none"/>
          <w:sz w:val="22"/>
          <w:szCs w:val="22"/>
        </w:rPr>
        <w:t xml:space="preserve"/>
      </w:r>
      <w:r w:rsidR="00FB6235">
        <w:rPr>
          <w:rFonts w:ascii="Arial Narrow" w:eastAsia="Arial Narrow" w:hAnsi="Arial Narrow" w:cs="Arial Narrow"/>
          <w:color w:val="000000"/>
          <w:kern w:val="0"/>
          <w:sz w:val="22"/>
          <w:szCs w:val="22"/>
          <w:shd w:val="clear" w:color="auto" w:fill="FFFFFF"/>
          <w:lang w:eastAsia="es-PE"/>
          <w14:ligatures w14:val="none"/>
        </w:rPr>
        <w:t/>
      </w:r>
      <w:r w:rsidR="000970DF" w:rsidRPr="000970DF">
        <w:rPr>
          <w:rFonts w:ascii="Arial Narrow" w:eastAsia="Arial Narrow" w:hAnsi="Arial Narrow" w:cs="Arial Narrow"/>
          <w:color w:val="000000"/>
          <w:kern w:val="0"/>
          <w:sz w:val="22"/>
          <w:szCs w:val="22"/>
          <w:shd w:val="clear" w:color="auto" w:fill="FFFFFF"/>
          <w:lang w:eastAsia="es-PE"/>
          <w14:ligatures w14:val="none"/>
        </w:rPr>
        <w:t xml:space="preserve"/>
      </w:r>
      <w:r w:rsidRPr="000970D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083D8417" w14:textId="5D76C4FA"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278E" w:rsidRPr="00B7278E">
        <w:rPr>
          <w:rFonts w:ascii="Arial Narrow" w:eastAsia="Arial Narrow" w:hAnsi="Arial Narrow" w:cs="Arial Narrow"/>
          <w:sz w:val="22"/>
          <w:szCs w:val="22"/>
        </w:rPr>
        <w:t>Pacífico Compañía de Seguros y Reaseguros S.A</w:t>
      </w:r>
      <w:r w:rsidRPr="00B7278E">
        <w:rPr>
          <w:rFonts w:ascii="Arial Narrow" w:eastAsia="Arial Narrow" w:hAnsi="Arial Narrow" w:cs="Arial Narrow"/>
          <w:sz w:val="22"/>
          <w:szCs w:val="22"/>
        </w:rPr>
        <w:t xml:space="preserve">. </w:t>
      </w:r>
      <w:r w:rsidRPr="00B7278E">
        <w:rPr>
          <w:rFonts w:ascii="Arial Narrow" w:eastAsia="Arial Narrow" w:hAnsi="Arial Narrow" w:cs="Arial Narrow"/>
          <w:sz w:val="22"/>
          <w:szCs w:val="22"/>
          <w:shd w:val="clear" w:color="auto" w:fill="FFFFFF"/>
        </w:rPr>
        <w:t xml:space="preserve">para que </w:t>
      </w:r>
      <w:r w:rsidRPr="00B7278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7CA5FCAE" w14:textId="77777777" w:rsidR="00AC737B" w:rsidRDefault="00AC737B"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9C3BDAF" w14:textId="77777777" w:rsidR="00AC737B" w:rsidRPr="0026598E" w:rsidRDefault="00AC737B"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03817B30" w:rsidR="001B5674" w:rsidRPr="00AC737B" w:rsidRDefault="0058044E" w:rsidP="00AC737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C73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1A82CAE4"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ab/>
        <w:t xml:space="preserve"/>
      </w:r>
      <w:r w:rsidRPr="00AC737B">
        <w:rPr>
          <w:rFonts w:ascii="Arial Narrow" w:eastAsia="Arial Narrow" w:hAnsi="Arial Narrow" w:cs="Arial Narrow"/>
          <w:sz w:val="16"/>
          <w:szCs w:val="16"/>
        </w:rPr>
        <w:tab/>
        <w:t>Publicado</w:t>
      </w:r>
      <w:r w:rsidRPr="00AC737B">
        <w:rPr>
          <w:rFonts w:ascii="Arial Narrow" w:eastAsia="Arial Narrow" w:hAnsi="Arial Narrow" w:cs="Arial Narrow"/>
          <w:b/>
          <w:sz w:val="16"/>
          <w:szCs w:val="16"/>
        </w:rPr>
        <w:t xml:space="preserve"> </w:t>
      </w:r>
      <w:r w:rsidRPr="00AC737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0EF652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ab/>
        <w:t xml:space="preserve"/>
      </w:r>
      <w:r w:rsidRPr="00AC737B">
        <w:rPr>
          <w:rFonts w:ascii="Arial Narrow" w:eastAsia="Arial Narrow" w:hAnsi="Arial Narrow" w:cs="Arial Narrow"/>
          <w:sz w:val="16"/>
          <w:szCs w:val="16"/>
        </w:rPr>
        <w:tab/>
        <w:t xml:space="preserve">Denuncia remitida a esta Comisión mediante MEMORANDUM </w:t>
      </w:r>
      <w:r w:rsidR="00FC1C87" w:rsidRPr="00AC737B">
        <w:rPr>
          <w:rFonts w:ascii="Arial Narrow" w:eastAsia="Arial Narrow" w:hAnsi="Arial Narrow" w:cs="Arial Narrow"/>
          <w:sz w:val="16"/>
          <w:szCs w:val="16"/>
        </w:rPr>
        <w:t xml:space="preserve">001724-2025-PS1/INDECOPI </w:t>
      </w:r>
      <w:r w:rsidRPr="00AC737B">
        <w:rPr>
          <w:rFonts w:ascii="Arial Narrow" w:eastAsia="Arial Narrow" w:hAnsi="Arial Narrow" w:cs="Arial Narrow"/>
          <w:sz w:val="16"/>
          <w:szCs w:val="16"/>
        </w:rPr>
        <w:t xml:space="preserve">de fecha </w:t>
      </w:r>
      <w:r w:rsidR="00FC1C87" w:rsidRPr="00AC737B">
        <w:rPr>
          <w:rFonts w:ascii="Arial Narrow" w:eastAsia="Arial Narrow" w:hAnsi="Arial Narrow" w:cs="Arial Narrow"/>
          <w:sz w:val="16"/>
          <w:szCs w:val="16"/>
        </w:rPr>
        <w:t xml:space="preserve">8 de agosto de 2025</w:t>
      </w:r>
      <w:r w:rsidRPr="00AC737B">
        <w:rPr>
          <w:rFonts w:ascii="Arial Narrow" w:eastAsia="Arial Narrow" w:hAnsi="Arial Narrow" w:cs="Arial Narrow"/>
          <w:sz w:val="16"/>
          <w:szCs w:val="16"/>
        </w:rPr>
        <w:t xml:space="preserve">, </w:t>
      </w:r>
      <w:proofErr w:type="spellStart"/>
      <w:r w:rsidRPr="00AC737B">
        <w:rPr>
          <w:rFonts w:ascii="Arial Narrow" w:eastAsia="Arial Narrow" w:hAnsi="Arial Narrow" w:cs="Arial Narrow"/>
          <w:sz w:val="16"/>
          <w:szCs w:val="16"/>
        </w:rPr>
        <w:t xml:space="preserve">recibida</w:t>
      </w:r>
      <w:proofErr w:type="spellEnd"/>
      <w:r w:rsidRPr="00AC737B">
        <w:rPr>
          <w:rFonts w:ascii="Arial Narrow" w:eastAsia="Arial Narrow" w:hAnsi="Arial Narrow" w:cs="Arial Narrow"/>
          <w:sz w:val="16"/>
          <w:szCs w:val="16"/>
        </w:rPr>
        <w:t xml:space="preserve"> el </w:t>
      </w:r>
      <w:r w:rsidR="00FC1C87" w:rsidRPr="00AC737B">
        <w:rPr>
          <w:rFonts w:ascii="Arial Narrow" w:eastAsia="Arial Narrow" w:hAnsi="Arial Narrow" w:cs="Arial Narrow"/>
          <w:sz w:val="16"/>
          <w:szCs w:val="16"/>
        </w:rPr>
        <w:t xml:space="preserve">8 de agosto de 2025</w:t>
      </w:r>
      <w:r w:rsidRPr="00AC737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ab/>
        <w:t xml:space="preserve"/>
      </w: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t>
      </w: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b/>
          <w:bCs/>
          <w:sz w:val="16"/>
          <w:szCs w:val="16"/>
        </w:rPr>
        <w:tab/>
        <w:t>Artículo 27.-</w:t>
      </w:r>
      <w:r w:rsidRPr="00AC737B">
        <w:rPr>
          <w:rFonts w:ascii="Arial Narrow" w:eastAsia="Arial Narrow" w:hAnsi="Arial Narrow" w:cs="Arial Narrow"/>
          <w:sz w:val="16"/>
          <w:szCs w:val="16"/>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ab/>
        <w:t xml:space="preserve"/>
      </w: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b/>
          <w:bCs/>
          <w:sz w:val="16"/>
          <w:szCs w:val="16"/>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ab/>
        <w:t xml:space="preserve"/>
      </w: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LEY SOBRE FACULTADES, NORMAS Y ORGANIZACIÓN DEL INDECOPI, APROBADA POR DECRETO LEGISLATIVO 807 Artículo 24.-</w:t>
      </w:r>
      <w:r w:rsidRPr="00AC737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ab/>
        <w:t xml:space="preserve"/>
      </w:r>
      <w:r w:rsidRPr="00AC737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C737B">
        <w:rPr>
          <w:rFonts w:ascii="Arial Narrow" w:eastAsia="Arial Narrow" w:hAnsi="Arial Narrow" w:cs="Arial Narrow"/>
          <w:sz w:val="16"/>
          <w:szCs w:val="16"/>
        </w:rPr>
        <w:t/>
      </w:r>
      <w:proofErr w:type="spellEnd"/>
      <w:r w:rsidRPr="00AC737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ab/>
        <w:t xml:space="preserve"/>
      </w:r>
      <w:r w:rsidRPr="00AC737B">
        <w:rPr>
          <w:rFonts w:ascii="Arial Narrow" w:eastAsia="Arial Narrow" w:hAnsi="Arial Narrow" w:cs="Arial Narrow"/>
          <w:sz w:val="16"/>
          <w:szCs w:val="16"/>
        </w:rPr>
        <w:tab/>
      </w:r>
      <w:r w:rsidRPr="00AC737B">
        <w:rPr>
          <w:rFonts w:ascii="Arial Narrow" w:eastAsia="Arial Narrow" w:hAnsi="Arial Narrow" w:cs="Arial Narrow"/>
          <w:b/>
          <w:sz w:val="16"/>
          <w:szCs w:val="16"/>
        </w:rPr>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6D8A2F03" w14:textId="77777777" w:rsidR="00CA59A2" w:rsidRPr="00AC737B" w:rsidRDefault="00CA59A2" w:rsidP="00CA59A2">
      <w:pPr>
        <w:pStyle w:val="Textonotapie"/>
        <w:ind w:left="567" w:hanging="567"/>
        <w:jc w:val="both"/>
        <w:rPr>
          <w:rFonts w:ascii="Arial Narrow" w:eastAsia="Arial Narrow" w:hAnsi="Arial Narrow" w:cs="Arial Narrow"/>
          <w:b/>
          <w:bCs/>
          <w:sz w:val="16"/>
          <w:szCs w:val="16"/>
        </w:rPr>
      </w:pP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C737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vertAlign w:val="superscript"/>
        </w:rPr>
        <w:tab/>
        <w:t xml:space="preserve"/>
      </w:r>
      <w:r w:rsidRPr="00AC737B">
        <w:rPr>
          <w:rFonts w:ascii="Arial Narrow" w:eastAsia="Arial Narrow" w:hAnsi="Arial Narrow" w:cs="Arial Narrow"/>
          <w:sz w:val="16"/>
          <w:szCs w:val="16"/>
        </w:rPr>
        <w:t xml:space="preserve"> </w:t>
      </w:r>
      <w:r w:rsidRPr="00AC737B">
        <w:rPr>
          <w:rFonts w:ascii="Arial Narrow" w:eastAsia="Arial Narrow" w:hAnsi="Arial Narrow" w:cs="Arial Narrow"/>
          <w:sz w:val="16"/>
          <w:szCs w:val="16"/>
        </w:rPr>
        <w:tab/>
      </w:r>
      <w:r w:rsidRPr="00AC737B">
        <w:rPr>
          <w:rFonts w:ascii="Arial Narrow" w:eastAsia="Arial Narrow" w:hAnsi="Arial Narrow" w:cs="Arial Narrow"/>
          <w:b/>
          <w:sz w:val="16"/>
          <w:szCs w:val="16"/>
        </w:rPr>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Narrow"/>
          <w:b/>
          <w:sz w:val="16"/>
          <w:szCs w:val="16"/>
        </w:rPr>
      </w:pPr>
      <w:r w:rsidRPr="00AC737B">
        <w:rPr>
          <w:rFonts w:ascii="Arial Narrow" w:eastAsia="Arial Narrow" w:hAnsi="Arial Narrow" w:cs="Arial Narrow"/>
          <w:b/>
          <w:sz w:val="16"/>
          <w:szCs w:val="16"/>
        </w:rPr>
        <w:tab/>
        <w:t>Artículo 110.- Sanciones administrativas</w:t>
      </w:r>
    </w:p>
    <w:p w14:paraId="15C6524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ab/>
        <w:t xml:space="preserve"/>
      </w: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AC737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r>
      <w:r w:rsidRPr="00AC737B">
        <w:rPr>
          <w:rFonts w:ascii="Arial Narrow" w:eastAsia="Arial Narrow" w:hAnsi="Arial Narrow" w:cs="Arial Narrow"/>
          <w:b/>
          <w:sz w:val="16"/>
          <w:szCs w:val="16"/>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b/>
          <w:sz w:val="16"/>
          <w:szCs w:val="16"/>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C737B" w:rsidRDefault="00CA59A2" w:rsidP="00CA59A2">
      <w:pPr>
        <w:spacing w:after="0" w:line="240" w:lineRule="auto"/>
        <w:ind w:left="567"/>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d. En caso de infracciones muy graves y de reincidencia o </w:t>
      </w:r>
      <w:proofErr w:type="spellStart"/>
      <w:r w:rsidRPr="00AC737B">
        <w:rPr>
          <w:rFonts w:ascii="Arial Narrow" w:eastAsia="Arial Narrow" w:hAnsi="Arial Narrow" w:cs="Arial Narrow"/>
          <w:sz w:val="16"/>
          <w:szCs w:val="16"/>
        </w:rPr>
        <w:t>reiterancia</w:t>
      </w:r>
      <w:proofErr w:type="spellEnd"/>
      <w:r w:rsidRPr="00AC737B">
        <w:rPr>
          <w:rFonts w:ascii="Arial Narrow" w:eastAsia="Arial Narrow" w:hAnsi="Arial Narrow" w:cs="Arial Narrow"/>
          <w:sz w:val="16"/>
          <w:szCs w:val="16"/>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w:t>
      </w:r>
      <w:proofErr w:type="spellStart"/>
      <w:r w:rsidRPr="00AC737B">
        <w:rPr>
          <w:rFonts w:ascii="Arial Narrow" w:eastAsia="Arial Narrow" w:hAnsi="Arial Narrow" w:cs="Arial Narrow"/>
          <w:sz w:val="16"/>
          <w:szCs w:val="16"/>
        </w:rPr>
        <w:t>ii</w:t>
      </w:r>
      <w:proofErr w:type="spellEnd"/>
      <w:r w:rsidRPr="00AC737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e. Publicación de avisos </w:t>
      </w:r>
      <w:proofErr w:type="spellStart"/>
      <w:r w:rsidRPr="00AC737B">
        <w:rPr>
          <w:rFonts w:ascii="Arial Narrow" w:eastAsia="Arial Narrow" w:hAnsi="Arial Narrow" w:cs="Arial Narrow"/>
          <w:sz w:val="16"/>
          <w:szCs w:val="16"/>
        </w:rPr>
        <w:t>rectificatorios</w:t>
      </w:r>
      <w:proofErr w:type="spellEnd"/>
      <w:r w:rsidRPr="00AC737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ab/>
        <w:t xml:space="preserve"/>
      </w:r>
      <w:r w:rsidRPr="00AC737B">
        <w:rPr>
          <w:rFonts w:ascii="Arial Narrow" w:eastAsia="Arial Narrow" w:hAnsi="Arial Narrow" w:cs="Arial Narrow"/>
          <w:sz w:val="16"/>
          <w:szCs w:val="16"/>
        </w:rPr>
        <w:tab/>
      </w:r>
      <w:r w:rsidRPr="00AC737B">
        <w:rPr>
          <w:rFonts w:ascii="Arial Narrow" w:eastAsia="Arial Narrow" w:hAnsi="Arial Narrow" w:cs="Arial Narrow"/>
          <w:b/>
          <w:sz w:val="16"/>
          <w:szCs w:val="16"/>
        </w:rPr>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Narrow"/>
          <w:b/>
          <w:sz w:val="16"/>
          <w:szCs w:val="16"/>
        </w:rPr>
      </w:pPr>
      <w:r w:rsidRPr="00AC737B">
        <w:rPr>
          <w:rFonts w:ascii="Arial Narrow" w:eastAsia="Arial Narrow" w:hAnsi="Arial Narrow" w:cs="Arial Narrow"/>
          <w:b/>
          <w:sz w:val="16"/>
          <w:szCs w:val="16"/>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Narrow"/>
          <w:sz w:val="16"/>
          <w:szCs w:val="16"/>
        </w:rPr>
        <w:t>liminarmente</w:t>
      </w:r>
      <w:proofErr w:type="spellEnd"/>
      <w:r w:rsidRPr="00AC737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C737B"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b/>
          <w:bCs/>
          <w:sz w:val="16"/>
          <w:szCs w:val="16"/>
          <w:vertAlign w:val="superscript"/>
        </w:rPr>
        <w:footnoteRef/>
      </w:r>
      <w:r w:rsidRPr="00AC737B">
        <w:rPr>
          <w:rFonts w:ascii="Arial Narrow" w:eastAsia="Arial Narrow" w:hAnsi="Arial Narrow" w:cs="Arial Narrow"/>
          <w:b/>
          <w:bCs/>
          <w:sz w:val="16"/>
          <w:szCs w:val="16"/>
        </w:rPr>
        <w:tab/>
        <w:t xml:space="preserve"/>
      </w:r>
      <w:r w:rsidRPr="00AC737B">
        <w:rPr>
          <w:rFonts w:ascii="Arial Narrow" w:eastAsia="Arial Narrow" w:hAnsi="Arial Narrow" w:cs="Arial Narrow"/>
          <w:b/>
          <w:bCs/>
          <w:sz w:val="16"/>
          <w:szCs w:val="16"/>
        </w:rPr>
        <w:tab/>
        <w:t xml:space="preserve">DECRETO LEGISLATIVO </w:t>
      </w:r>
      <w:proofErr w:type="spellStart"/>
      <w:r w:rsidRPr="00AC737B">
        <w:rPr>
          <w:rFonts w:ascii="Arial Narrow" w:eastAsia="Arial Narrow" w:hAnsi="Arial Narrow" w:cs="Arial Narrow"/>
          <w:b/>
          <w:bCs/>
          <w:sz w:val="16"/>
          <w:szCs w:val="16"/>
        </w:rPr>
        <w:t/>
      </w:r>
      <w:proofErr w:type="spellEnd"/>
      <w:r w:rsidRPr="00AC737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eastAsia="Arial Narrow" w:hAnsi="Arial Narrow" w:cs="Arial Narrow"/>
          <w:bCs/>
          <w:sz w:val="16"/>
          <w:szCs w:val="16"/>
        </w:rPr>
      </w:pPr>
      <w:r w:rsidRPr="00AC737B">
        <w:rPr>
          <w:rFonts w:ascii="Arial Narrow" w:eastAsia="Arial Narrow" w:hAnsi="Arial Narrow" w:cs="Arial Narrow"/>
          <w:b/>
          <w:sz w:val="16"/>
          <w:szCs w:val="16"/>
        </w:rPr>
        <w:t xml:space="preserve">Artículo 29.- </w:t>
      </w:r>
      <w:r w:rsidRPr="00AC737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ab/>
        <w:t xml:space="preserve"/>
      </w:r>
      <w:r w:rsidRPr="00AC737B">
        <w:rPr>
          <w:rFonts w:ascii="Arial Narrow" w:eastAsia="Arial Narrow" w:hAnsi="Arial Narrow" w:cs="Arial Narrow"/>
          <w:sz w:val="16"/>
          <w:szCs w:val="16"/>
        </w:rPr>
        <w:tab/>
      </w:r>
      <w:r w:rsidRPr="00AC737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hanging="567"/>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Artículo 20.- Modalidades de notificación</w:t>
      </w:r>
    </w:p>
    <w:p w14:paraId="23580398" w14:textId="77777777" w:rsidR="00CA59A2" w:rsidRPr="00AC737B" w:rsidRDefault="00CA59A2" w:rsidP="00CA59A2">
      <w:pPr>
        <w:pStyle w:val="Textonotapie"/>
        <w:ind w:left="1134"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20.4. </w:t>
      </w:r>
      <w:r w:rsidRPr="00AC737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eastAsia="Arial Narrow" w:hAnsi="Arial Narrow" w:cs="Arial Narrow"/>
          <w:sz w:val="16"/>
          <w:szCs w:val="16"/>
        </w:rPr>
      </w:pPr>
      <w:r w:rsidRPr="00AC737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