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vertAlign w:val="superscript"/>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vertAlign w:val="superscript"/>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Seguros y Reaseguros S.A.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lang w:eastAsia="es-ES"/>
          <w:vertAlign w:val="superscript"/>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Legislativo </w:t>
      </w:r>
      <w:proofErr w:type="gramStart"/>
      <w:r w:rsidR="00A67DAD" w:rsidRPr="58CE57DD">
        <w:rPr>
          <w:rFonts w:ascii="Arial Narrow" w:hAnsi="Arial Narrow" w:cs="Arial"/>
          <w:sz w:val="22"/>
          <w:szCs w:val="22"/>
          <w:lang w:eastAsia="es-ES"/>
        </w:rPr>
        <w:t xml:space="preserve"/>
      </w:r>
      <w:proofErr w:type="gramEnd"/>
      <w:r w:rsidR="00A67DAD" w:rsidRPr="58CE57DD">
        <w:rPr>
          <w:rFonts w:ascii="Arial Narrow" w:hAnsi="Arial Narrow" w:cs="Arial"/>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 xml:space="preserve">EVELING ROA QUISPE</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 xml:space="preserve">Secretaria Técnica</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6"/>
          <w:szCs w:val="15"/>
          <w:vertAlign w:val="superscript"/>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6"/>
          <w:szCs w:val="15"/>
          <w:lang w:eastAsia="en-US"/>
          <w:vertAlign w:val="superscript"/>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 xml:space="preserve">LEY </w:t>
      </w:r>
      <w:r w:rsidRPr="007173E9">
        <w:rPr>
          <w:rFonts w:ascii="Arial Narrow" w:hAnsi="Arial Narrow" w:cs="Arial"/>
          <w:b/>
          <w:bCs/>
          <w:sz w:val="15"/>
          <w:szCs w:val="15"/>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8">
    <w:p>
      <w:pPr>
        <w:pStyle w:val="Textonotapie"/>
        <w:ind w:left="567" w:hanging="567"/>
        <w:jc w:val="both"/>
      </w:pPr>
      <w:r w:rsidRPr="007173E9">
        <w:rPr>
          <w:rStyle w:val="Refdenotaalpie"/>
          <w:rFonts w:ascii="Arial Narrow" w:hAnsi="Arial Narrow"/>
          <w:color w:val="000000" w:themeColor="text1"/>
          <w:sz w:val="16"/>
          <w:szCs w:val="15"/>
          <w:vertAlign w:val="superscript"/>
        </w:rPr>
        <w:footnoteRef/>
      </w:r>
      <w:r>
        <w:rPr>
          <w:rFonts w:ascii="Arial Narrow" w:hAnsi="Arial Narrow"/>
          <w:color w:val="000000" w:themeColor="text1"/>
          <w:sz w:val="15"/>
          <w:szCs w:val="15"/>
        </w:rPr>
        <w:tab/>
      </w:r>
      <w:r>
        <w:rPr>
          <w:rFonts w:ascii="Arial Narrow" w:hAnsi="Arial Narrow"/>
          <w:b/>
          <w:bCs/>
          <w:color w:val="000000" w:themeColor="text1"/>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5"/>
          <w:szCs w:val="15"/>
        </w:rPr>
        <w:tab/>
      </w:r>
      <w:r>
        <w:rPr>
          <w:rFonts w:ascii="Arial Narrow" w:hAnsi="Arial Narrow"/>
          <w:b/>
          <w:bCs/>
          <w:color w:val="000000" w:themeColor="text1"/>
          <w:sz w:val="15"/>
          <w:szCs w:val="15"/>
        </w:rPr>
        <w:t xml:space="preserve">Artículo 26.-</w:t>
      </w:r>
      <w:r>
        <w:rPr>
          <w:rFonts w:ascii="Arial Narrow" w:hAnsi="Arial Narrow"/>
          <w:color w:val="000000" w:themeColor="text1"/>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7173E9">
        <w:rPr>
          <w:rStyle w:val="Refdenotaalpie"/>
          <w:rFonts w:ascii="Arial Narrow" w:hAnsi="Arial Narrow"/>
          <w:color w:val="000000" w:themeColor="text1"/>
          <w:sz w:val="16"/>
          <w:szCs w:val="15"/>
          <w:vertAlign w:val="superscript"/>
        </w:rPr>
        <w:footnoteRef/>
      </w:r>
      <w:r>
        <w:rPr>
          <w:rFonts w:ascii="Arial Narrow" w:hAnsi="Arial Narrow"/>
          <w:color w:val="000000" w:themeColor="text1"/>
          <w:sz w:val="15"/>
          <w:szCs w:val="15"/>
        </w:rPr>
        <w:tab/>
      </w:r>
      <w:r>
        <w:rPr>
          <w:rFonts w:ascii="Arial Narrow" w:hAnsi="Arial Narrow"/>
          <w:b/>
          <w:bCs/>
          <w:color w:val="000000" w:themeColor="text1"/>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5"/>
          <w:szCs w:val="15"/>
        </w:rPr>
        <w:tab/>
      </w:r>
      <w:r>
        <w:rPr>
          <w:rFonts w:ascii="Arial Narrow" w:hAnsi="Arial Narrow"/>
          <w:b/>
          <w:bCs/>
          <w:color w:val="000000" w:themeColor="text1"/>
          <w:sz w:val="15"/>
          <w:szCs w:val="15"/>
        </w:rPr>
        <w:t xml:space="preserve">Artículo 223.- Contestación de la reclamación</w:t>
      </w:r>
    </w:p>
    <w:p>
      <w:pPr>
        <w:pStyle w:val="Textonotapie"/>
        <w:ind w:left="567" w:hanging="567"/>
        <w:jc w:val="both"/>
      </w:pPr>
      <w:r>
        <w:rPr>
          <w:rFonts w:ascii="Arial Narrow" w:hAnsi="Arial Narrow"/>
          <w:color w:val="000000" w:themeColor="text1"/>
          <w:sz w:val="15"/>
          <w:szCs w:val="15"/>
        </w:rPr>
        <w:tab/>
      </w:r>
      <w:r>
        <w:rPr>
          <w:rFonts w:ascii="Arial Narrow" w:hAnsi="Arial Narrow"/>
          <w:color w:val="000000" w:themeColor="text1"/>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6"/>
          <w:szCs w:val="15"/>
          <w:vertAlign w:val="superscript"/>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6"/>
          <w:szCs w:val="15"/>
          <w:vertAlign w:val="superscript"/>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